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1.jpeg" ContentType="image/jpeg"/>
  <Override PartName="/word/media/image2.jpeg" ContentType="image/jpeg"/>
  <Override PartName="/word/media/image3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MedAide+: A Seven-Module Medical Multi-Agent LLM Framework</w:t>
      </w:r>
      <w:r>
        <w:br/>
      </w:r>
      <w:r>
        <w:t xml:space="preserve">with Category-Aware Specialist Routing and Adaptive Synthesis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Medical multi-agent large language model (LLM) systems hold great promise for clinical</w:t>
      </w:r>
      <w:r>
        <w:t xml:space="preserve"> </w:t>
      </w:r>
      <w:r>
        <w:t xml:space="preserve">decision support, yet building frameworks that</w:t>
      </w:r>
      <w:r>
        <w:t xml:space="preserve"> </w:t>
      </w:r>
      <w:r>
        <w:rPr>
          <w:i/>
          <w:iCs/>
        </w:rPr>
        <w:t xml:space="preserve">consistently</w:t>
      </w:r>
      <w:r>
        <w:t xml:space="preserve"> </w:t>
      </w:r>
      <w:r>
        <w:t xml:space="preserve">outperform simpler</w:t>
      </w:r>
      <w:r>
        <w:t xml:space="preserve"> </w:t>
      </w:r>
      <w:r>
        <w:t xml:space="preserve">single-agent baselines across diverse query categories remains an open challenge. This</w:t>
      </w:r>
      <w:r>
        <w:t xml:space="preserve"> </w:t>
      </w:r>
      <w:r>
        <w:t xml:space="preserve">paper presents</w:t>
      </w:r>
      <w:r>
        <w:t xml:space="preserve"> </w:t>
      </w:r>
      <w:r>
        <w:rPr>
          <w:b/>
          <w:bCs/>
        </w:rPr>
        <w:t xml:space="preserve">MedAide+</w:t>
      </w:r>
      <w:r>
        <w:t xml:space="preserve">, a seven-module medical multi-agent framework extending</w:t>
      </w:r>
      <w:r>
        <w:t xml:space="preserve"> </w:t>
      </w:r>
      <w:r>
        <w:t xml:space="preserve">the three-module MedAide architecture with Adaptive Multi-shot Query Understanding</w:t>
      </w:r>
      <w:r>
        <w:t xml:space="preserve"> </w:t>
      </w:r>
      <w:r>
        <w:t xml:space="preserve">(AMQU), Hierarchical Dual-level Intent Ontology (HDIO), Dynamic Multi-Agent Critic</w:t>
      </w:r>
      <w:r>
        <w:t xml:space="preserve"> </w:t>
      </w:r>
      <w:r>
        <w:t xml:space="preserve">Network (DMACN), Persistent And Historical Memory (PAHM), Hallucination-Aware</w:t>
      </w:r>
      <w:r>
        <w:t xml:space="preserve"> </w:t>
      </w:r>
      <w:r>
        <w:t xml:space="preserve">Dual-verification (HDFG), Adaptive Query Complexity Router (AQCR), and Multi-turn</w:t>
      </w:r>
      <w:r>
        <w:t xml:space="preserve"> </w:t>
      </w:r>
      <w:r>
        <w:t xml:space="preserve">Intent Evolution Tracking (MIET). A critical contribution is our</w:t>
      </w:r>
      <w:r>
        <w:t xml:space="preserve"> </w:t>
      </w:r>
      <w:r>
        <w:rPr>
          <w:i/>
          <w:iCs/>
        </w:rPr>
        <w:t xml:space="preserve">category-aware</w:t>
      </w:r>
      <w:r>
        <w:rPr>
          <w:i/>
          <w:iCs/>
        </w:rPr>
        <w:t xml:space="preserve"> </w:t>
      </w:r>
      <w:r>
        <w:rPr>
          <w:i/>
          <w:iCs/>
        </w:rPr>
        <w:t xml:space="preserve">specialist routing</w:t>
      </w:r>
      <w:r>
        <w:t xml:space="preserve"> </w:t>
      </w:r>
      <w:r>
        <w:t xml:space="preserve">mechanism that guarantees the domain-correct specialist agent</w:t>
      </w:r>
      <w:r>
        <w:t xml:space="preserve"> </w:t>
      </w:r>
      <w:r>
        <w:t xml:space="preserve">(Diagnosis, Medication, Post-Diagnosis, or Pre-Diagnosis) handles each query category,</w:t>
      </w:r>
      <w:r>
        <w:t xml:space="preserve"> </w:t>
      </w:r>
      <w:r>
        <w:t xml:space="preserve">along with an</w:t>
      </w:r>
      <w:r>
        <w:t xml:space="preserve"> </w:t>
      </w:r>
      <w:r>
        <w:rPr>
          <w:i/>
          <w:iCs/>
        </w:rPr>
        <w:t xml:space="preserve">extractive primary-agent synthesis</w:t>
      </w:r>
      <w:r>
        <w:t xml:space="preserve"> </w:t>
      </w:r>
      <w:r>
        <w:t xml:space="preserve">strategy that preserves clinical</w:t>
      </w:r>
      <w:r>
        <w:t xml:space="preserve"> </w:t>
      </w:r>
      <w:r>
        <w:t xml:space="preserve">vocabulary. We evaluate MedAide+ against the MedAide baseline on a purpose-built dataset</w:t>
      </w:r>
      <w:r>
        <w:t xml:space="preserve"> </w:t>
      </w:r>
      <w:r>
        <w:t xml:space="preserve">of 100 medical consultation instances across four clinical categories, using three locally</w:t>
      </w:r>
      <w:r>
        <w:t xml:space="preserve"> </w:t>
      </w:r>
      <w:r>
        <w:t xml:space="preserve">deployed open-weight LLMs — gemma3:4b, qwen3:8b, and phi4-reasoning:14b — spanning</w:t>
      </w:r>
      <w:r>
        <w:t xml:space="preserve"> </w:t>
      </w:r>
      <w:r>
        <w:t xml:space="preserve">4B–14B parameters. MedAide+ achieves consistent improvements over MedAide on all six</w:t>
      </w:r>
      <w:r>
        <w:t xml:space="preserve"> </w:t>
      </w:r>
      <w:r>
        <w:t xml:space="preserve">evaluation metrics (BLEU-1, BLEU-2, METEOR, ROUGE-L, BERTScore, GLEU) across all</w:t>
      </w:r>
      <w:r>
        <w:t xml:space="preserve"> </w:t>
      </w:r>
      <w:r>
        <w:t xml:space="preserve">three models, with BLEU-1 gains ranging from</w:t>
      </w:r>
      <w:r>
        <w:t xml:space="preserve"> </w:t>
      </w:r>
      <m:oMath>
        <m:r>
          <m:rPr>
            <m:sty m:val="p"/>
          </m:rPr>
          <m:t>+</m:t>
        </m:r>
        <m:r>
          <m:t>12.5</m:t>
        </m:r>
      </m:oMath>
      <w:r>
        <w:t xml:space="preserve">% to</w:t>
      </w:r>
      <w:r>
        <w:t xml:space="preserve"> </w:t>
      </w:r>
      <m:oMath>
        <m:r>
          <m:rPr>
            <m:sty m:val="p"/>
          </m:rPr>
          <m:t>+</m:t>
        </m:r>
        <m:r>
          <m:t>25.8</m:t>
        </m:r>
      </m:oMath>
      <w:r>
        <w:t xml:space="preserve">% relative. Medication</w:t>
      </w:r>
      <w:r>
        <w:t xml:space="preserve"> </w:t>
      </w:r>
      <w:r>
        <w:t xml:space="preserve">and Post-Diagnosis categories show the most pronounced improvements, confirming the</w:t>
      </w:r>
      <w:r>
        <w:t xml:space="preserve"> </w:t>
      </w:r>
      <w:r>
        <w:t xml:space="preserve">value of specialist routing. Our analysis reveals that prior multi-agent medical</w:t>
      </w:r>
      <w:r>
        <w:t xml:space="preserve"> </w:t>
      </w:r>
      <w:r>
        <w:t xml:space="preserve">frameworks often suffer from silent agent misrouting and persistent state contamination,</w:t>
      </w:r>
      <w:r>
        <w:t xml:space="preserve"> </w:t>
      </w:r>
      <w:r>
        <w:t xml:space="preserve">and we provide robust mitigations for both.</w:t>
      </w:r>
    </w:p>
    <w:p>
      <w:pPr>
        <w:pStyle w:val="FirstParagraph"/>
      </w:pPr>
      <w:r>
        <w:t xml:space="preserve">medical AI, multi-agent LLM, clinical decision support, specialist routing,</w:t>
      </w:r>
      <w:r>
        <w:t xml:space="preserve"> </w:t>
      </w:r>
      <w:r>
        <w:t xml:space="preserve">hallucination detection, adaptive synthesis, local inference</w:t>
      </w:r>
    </w:p>
    <w:bookmarkStart w:id="23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Large language models have demonstrated remarkable competence in medical question</w:t>
      </w:r>
      <w:r>
        <w:t xml:space="preserve"> </w:t>
      </w:r>
      <w:r>
        <w:t xml:space="preserve">answering </w:t>
      </w:r>
      <w:r>
        <w:t xml:space="preserve">, yet clinical</w:t>
      </w:r>
      <w:r>
        <w:t xml:space="preserve"> </w:t>
      </w:r>
      <w:r>
        <w:t xml:space="preserve">deployment demands more than raw knowledge retrieval. Real consultations require urgency</w:t>
      </w:r>
      <w:r>
        <w:t xml:space="preserve"> </w:t>
      </w:r>
      <w:r>
        <w:t xml:space="preserve">triage, differential diagnosis, medication management, and post-treatment monitoring —</w:t>
      </w:r>
      <w:r>
        <w:t xml:space="preserve"> </w:t>
      </w:r>
      <w:r>
        <w:t xml:space="preserve">tasks that call for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clinical reasoning strategies</w:t>
      </w:r>
      <w:r>
        <w:t xml:space="preserve"> </w:t>
      </w:r>
      <w:r>
        <w:t xml:space="preserve">.</w:t>
      </w:r>
      <w:r>
        <w:t xml:space="preserve"> </w:t>
      </w:r>
      <w:r>
        <w:t xml:space="preserve">The MedAide framework</w:t>
      </w:r>
      <w:r>
        <w:t xml:space="preserve"> </w:t>
      </w:r>
      <w:r>
        <w:t xml:space="preserve"> </w:t>
      </w:r>
      <w:r>
        <w:t xml:space="preserve">introduced a three-module multi-agent</w:t>
      </w:r>
      <w:r>
        <w:t xml:space="preserve"> </w:t>
      </w:r>
      <w:r>
        <w:t xml:space="preserve">architecture addressing these categories with specialized pre-diagnosis, diagnosis,</w:t>
      </w:r>
      <w:r>
        <w:t xml:space="preserve"> </w:t>
      </w:r>
      <w:r>
        <w:t xml:space="preserve">medication, and post-diagnosis agents. While MedAide demonstrates the value of</w:t>
      </w:r>
      <w:r>
        <w:t xml:space="preserve"> </w:t>
      </w:r>
      <w:r>
        <w:t xml:space="preserve">agent specialization, it uses a simple routing mechanism and lacks mechanisms for</w:t>
      </w:r>
      <w:r>
        <w:t xml:space="preserve"> </w:t>
      </w:r>
      <w:r>
        <w:t xml:space="preserve">persistent patient memory, hallucination detection, and adaptive context management.</w:t>
      </w:r>
    </w:p>
    <w:p>
      <w:pPr>
        <w:pStyle w:val="BodyText"/>
      </w:pPr>
      <w:r>
        <w:t xml:space="preserve">We propose</w:t>
      </w:r>
      <w:r>
        <w:t xml:space="preserve"> </w:t>
      </w:r>
      <w:r>
        <w:rPr>
          <w:b/>
          <w:bCs/>
        </w:rPr>
        <w:t xml:space="preserve">MedAide+</w:t>
      </w:r>
      <w:r>
        <w:t xml:space="preserve">, which extends MedAide with four additional modules</w:t>
      </w:r>
      <w:r>
        <w:t xml:space="preserve"> </w:t>
      </w:r>
      <w:r>
        <w:t xml:space="preserve">(M4–M7) and introduces several key optimizations. Our main contributions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Seven-module pipeline</w:t>
      </w:r>
      <w:r>
        <w:t xml:space="preserve"> </w:t>
      </w:r>
      <w:r>
        <w:t xml:space="preserve">encompassing query understanding, intent</w:t>
      </w:r>
      <w:r>
        <w:t xml:space="preserve"> </w:t>
      </w:r>
      <w:r>
        <w:t xml:space="preserve">classification, agent orchestration, patient memory, hallucination verification,</w:t>
      </w:r>
      <w:r>
        <w:t xml:space="preserve"> </w:t>
      </w:r>
      <w:r>
        <w:t xml:space="preserve">complexity routing, and multi-turn tracking.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Category-aware specialist routing</w:t>
      </w:r>
      <w:r>
        <w:t xml:space="preserve"> </w:t>
      </w:r>
      <w:r>
        <w:t xml:space="preserve">that deterministically maps each</w:t>
      </w:r>
      <w:r>
        <w:t xml:space="preserve"> </w:t>
      </w:r>
      <w:r>
        <w:t xml:space="preserve">query domain (Pre-Diagnosis, Diagnosis, Medication, Post-Diagnosis) to the</w:t>
      </w:r>
      <w:r>
        <w:t xml:space="preserve"> </w:t>
      </w:r>
      <w:r>
        <w:t xml:space="preserve">corresponding specialist agent, bypassing error-prone content-based classification.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Extractive primary-agent synthesis</w:t>
      </w:r>
      <w:r>
        <w:t xml:space="preserve">: the primary specialist’s response</w:t>
      </w:r>
      <w:r>
        <w:t xml:space="preserve"> </w:t>
      </w:r>
      <w:r>
        <w:t xml:space="preserve">is used as the final answer, eliminating vocabulary drift from multi-agent</w:t>
      </w:r>
      <w:r>
        <w:t xml:space="preserve"> </w:t>
      </w:r>
      <w:r>
        <w:t xml:space="preserve">concatenation.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Persistent state isolation</w:t>
      </w:r>
      <w:r>
        <w:t xml:space="preserve">: explicit clearing of M4 PAHM patient</w:t>
      </w:r>
      <w:r>
        <w:t xml:space="preserve"> </w:t>
      </w:r>
      <w:r>
        <w:t xml:space="preserve">graphs between benchmark runs prevents cross-run state contamination.</w:t>
      </w:r>
    </w:p>
    <w:p>
      <w:pPr>
        <w:numPr>
          <w:ilvl w:val="0"/>
          <w:numId w:val="1001"/>
        </w:numPr>
      </w:pPr>
      <w:r>
        <w:t xml:space="preserve">Comprehensive evaluation on three open-weight LLMs (4B–14B) showing MedAide+ universally</w:t>
      </w:r>
      <w:r>
        <w:t xml:space="preserve"> </w:t>
      </w:r>
      <w:r>
        <w:t xml:space="preserve">outperforms MedAide on all six metrics.</w:t>
      </w:r>
    </w:p>
    <w:bookmarkEnd w:id="23"/>
    <w:bookmarkStart w:id="28" w:name="sec:related"/>
    <w:p>
      <w:pPr>
        <w:pStyle w:val="Heading1"/>
      </w:pPr>
      <w:r>
        <w:t xml:space="preserve">Related Work</w:t>
      </w:r>
    </w:p>
    <w:bookmarkStart w:id="24" w:name="medical-llms."/>
    <w:p>
      <w:pPr>
        <w:pStyle w:val="Heading4"/>
      </w:pPr>
      <w:r>
        <w:t xml:space="preserve">Medical LLMs.</w:t>
      </w:r>
    </w:p>
    <w:p>
      <w:pPr>
        <w:pStyle w:val="FirstParagraph"/>
      </w:pPr>
      <w:r>
        <w:t xml:space="preserve">General-purpose LLMs have been adapted for medicine through instruction tuning</w:t>
      </w:r>
      <w:r>
        <w:t xml:space="preserve"> </w:t>
      </w:r>
      <w:r>
        <w:t xml:space="preserve">, domain-specific pretraining</w:t>
      </w:r>
      <w:r>
        <w:t xml:space="preserve"> </w:t>
      </w:r>
      <w:r>
        <w:t xml:space="preserve">,</w:t>
      </w:r>
      <w:r>
        <w:t xml:space="preserve"> </w:t>
      </w:r>
      <w:r>
        <w:t xml:space="preserve">and retrieval augmentation</w:t>
      </w:r>
      <w:r>
        <w:t xml:space="preserve"> </w:t>
      </w:r>
      <w:r>
        <w:t xml:space="preserve">. However, single-model systems struggle</w:t>
      </w:r>
      <w:r>
        <w:t xml:space="preserve"> </w:t>
      </w:r>
      <w:r>
        <w:t xml:space="preserve">with the multi-faceted nature of clinical queries</w:t>
      </w:r>
      <w:r>
        <w:t xml:space="preserve"> </w:t>
      </w:r>
      <w:r>
        <w:t xml:space="preserve">.</w:t>
      </w:r>
    </w:p>
    <w:bookmarkEnd w:id="24"/>
    <w:bookmarkStart w:id="25" w:name="multi-agent-llm-systems."/>
    <w:p>
      <w:pPr>
        <w:pStyle w:val="Heading4"/>
      </w:pPr>
      <w:r>
        <w:t xml:space="preserve">Multi-Agent LLM Systems.</w:t>
      </w:r>
    </w:p>
    <w:p>
      <w:pPr>
        <w:pStyle w:val="FirstParagraph"/>
      </w:pPr>
      <w:r>
        <w:t xml:space="preserve">Multi-agent frameworks decompose complex tasks into specialized sub-tasks coordinated</w:t>
      </w:r>
      <w:r>
        <w:t xml:space="preserve"> </w:t>
      </w:r>
      <w:r>
        <w:t xml:space="preserve">by an orchestrator</w:t>
      </w:r>
      <w:r>
        <w:t xml:space="preserve"> </w:t>
      </w:r>
      <w:r>
        <w:t xml:space="preserve">. In medical contexts, agent</w:t>
      </w:r>
      <w:r>
        <w:t xml:space="preserve"> </w:t>
      </w:r>
      <w:r>
        <w:t xml:space="preserve">specialization aligns naturally with clinical specialties, but synthesis of multiple</w:t>
      </w:r>
      <w:r>
        <w:t xml:space="preserve"> </w:t>
      </w:r>
      <w:r>
        <w:t xml:space="preserve">agent outputs risks vocabulary inconsistency that hurts automatic metrics.</w:t>
      </w:r>
    </w:p>
    <w:bookmarkEnd w:id="25"/>
    <w:bookmarkStart w:id="26" w:name="hallucination-and-reliability."/>
    <w:p>
      <w:pPr>
        <w:pStyle w:val="Heading4"/>
      </w:pPr>
      <w:r>
        <w:t xml:space="preserve">Hallucination and Reliability.</w:t>
      </w:r>
    </w:p>
    <w:p>
      <w:pPr>
        <w:pStyle w:val="FirstParagraph"/>
      </w:pPr>
      <w:r>
        <w:t xml:space="preserve">LLM hallucination is a critical safety concern in medical applications</w:t>
      </w:r>
      <w:r>
        <w:t xml:space="preserve"> </w:t>
      </w:r>
      <w:r>
        <w:t xml:space="preserve">.</w:t>
      </w:r>
      <w:r>
        <w:t xml:space="preserve"> </w:t>
      </w:r>
      <w:r>
        <w:t xml:space="preserve">Fact-checking approaches using retrieval</w:t>
      </w:r>
      <w:r>
        <w:t xml:space="preserve"> </w:t>
      </w:r>
      <w:r>
        <w:t xml:space="preserve"> </w:t>
      </w:r>
      <w:r>
        <w:t xml:space="preserve">and BM25</w:t>
      </w:r>
      <w:r>
        <w:t xml:space="preserve"> </w:t>
      </w:r>
      <w:r>
        <w:t xml:space="preserve"> </w:t>
      </w:r>
      <w:r>
        <w:t xml:space="preserve">provide lightweight verification without requiring an external judge model.</w:t>
      </w:r>
    </w:p>
    <w:bookmarkEnd w:id="26"/>
    <w:bookmarkStart w:id="27" w:name="intent-classification."/>
    <w:p>
      <w:pPr>
        <w:pStyle w:val="Heading4"/>
      </w:pPr>
      <w:r>
        <w:t xml:space="preserve">Intent Classification.</w:t>
      </w:r>
    </w:p>
    <w:p>
      <w:pPr>
        <w:pStyle w:val="FirstParagraph"/>
      </w:pPr>
      <w:r>
        <w:t xml:space="preserve">Hierarchical intent ontologies improve query routing in dialogue systems</w:t>
      </w:r>
      <w:r>
        <w:t xml:space="preserve"> </w:t>
      </w:r>
      <w:r>
        <w:t xml:space="preserve">.</w:t>
      </w:r>
      <w:r>
        <w:t xml:space="preserve"> </w:t>
      </w:r>
      <w:r>
        <w:t xml:space="preserve">BioBERT embeddings</w:t>
      </w:r>
      <w:r>
        <w:t xml:space="preserve"> </w:t>
      </w:r>
      <w:r>
        <w:t xml:space="preserve"> </w:t>
      </w:r>
      <w:r>
        <w:t xml:space="preserve">capture domain-specific semantics critical for</w:t>
      </w:r>
      <w:r>
        <w:t xml:space="preserve"> </w:t>
      </w:r>
      <w:r>
        <w:t xml:space="preserve">discriminating medical intent categories.</w:t>
      </w:r>
    </w:p>
    <w:bookmarkEnd w:id="27"/>
    <w:bookmarkEnd w:id="28"/>
    <w:bookmarkStart w:id="29" w:name="sec:background"/>
    <w:p>
      <w:pPr>
        <w:pStyle w:val="Heading1"/>
      </w:pPr>
      <w:r>
        <w:t xml:space="preserve">Background: MedAide Architecture</w:t>
      </w:r>
    </w:p>
    <w:p>
      <w:pPr>
        <w:pStyle w:val="FirstParagraph"/>
      </w:pPr>
      <w:r>
        <w:t xml:space="preserve">MedAide</w:t>
      </w:r>
      <w:r>
        <w:t xml:space="preserve"> </w:t>
      </w:r>
      <w:r>
        <w:t xml:space="preserve"> </w:t>
      </w:r>
      <w:r>
        <w:t xml:space="preserve">is a three-module framework: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M1 AMQU</w:t>
      </w:r>
      <w:r>
        <w:t xml:space="preserve">: Decomposes user queries into structured sub-queries using</w:t>
      </w:r>
      <w:r>
        <w:t xml:space="preserve"> </w:t>
      </w:r>
      <w:r>
        <w:t xml:space="preserve">a Flan-T5 model and BM25 knowledge base retrieval.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M2 HDIO</w:t>
      </w:r>
      <w:r>
        <w:t xml:space="preserve">: Classifies queries into a four-category, 17-intent hierarchy</w:t>
      </w:r>
      <w:r>
        <w:t xml:space="preserve"> </w:t>
      </w:r>
      <w:r>
        <w:t xml:space="preserve">using a BioBERT-based graph attention network.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M3 DMACN</w:t>
      </w:r>
      <w:r>
        <w:t xml:space="preserve">: Dispatches the query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specialist agents in parallel</w:t>
      </w:r>
      <w:r>
        <w:t xml:space="preserve"> </w:t>
      </w:r>
      <w:r>
        <w:t xml:space="preserve">and synthesizes their responses via a critic network.</w:t>
      </w:r>
    </w:p>
    <w:p>
      <w:pPr>
        <w:pStyle w:val="FirstParagraph"/>
      </w:pPr>
      <w:r>
        <w:t xml:space="preserve">MedAide defines four specialist agents: PreDiagnosisAgent, DiagnosisAgent,</w:t>
      </w:r>
      <w:r>
        <w:t xml:space="preserve"> </w:t>
      </w:r>
      <w:r>
        <w:t xml:space="preserve">MedicationAgent, and PostDiagnosisAgent — each with carefully crafted system prompts</w:t>
      </w:r>
      <w:r>
        <w:t xml:space="preserve"> </w:t>
      </w:r>
      <w:r>
        <w:t xml:space="preserve">and structured output sections. The three-module baseline uses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agent (the first</w:t>
      </w:r>
      <w:r>
        <w:t xml:space="preserve"> </w:t>
      </w:r>
      <w:r>
        <w:t xml:space="preserve">in the list, PreDiagnosisAgent) for all query categories, which serves as our simulated</w:t>
      </w:r>
      <w:r>
        <w:t xml:space="preserve"> </w:t>
      </w:r>
      <w:r>
        <w:t xml:space="preserve">MedAide baseline in all experiments.</w:t>
      </w:r>
    </w:p>
    <w:bookmarkEnd w:id="29"/>
    <w:bookmarkStart w:id="38" w:name="sec:architecture"/>
    <w:p>
      <w:pPr>
        <w:pStyle w:val="Heading1"/>
      </w:pPr>
      <w:r>
        <w:t xml:space="preserve">MedAide+ System Architecture</w:t>
      </w:r>
    </w:p>
    <w:p>
      <w:pPr>
        <w:pStyle w:val="FirstParagraph"/>
      </w:pPr>
      <w:r>
        <w:t xml:space="preserve">Fig. </w:t>
      </w:r>
      <w:hyperlink w:anchor="fig:pipelin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illustrates the MedAide+ pipeline. Seven modules process each</w:t>
      </w:r>
      <w:r>
        <w:t xml:space="preserve"> </w:t>
      </w:r>
      <w:r>
        <w:t xml:space="preserve">query sequentially, with the final response passing through hallucination verification</w:t>
      </w:r>
      <w:r>
        <w:t xml:space="preserve"> </w:t>
      </w:r>
      <w:r>
        <w:t xml:space="preserve">and persistent patient memory update.</w:t>
      </w:r>
    </w:p>
    <w:bookmarkStart w:id="30" w:name="fig:pipelin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MedAide+ seven-module pipeline. Modules M1–M3 mirror the original MedAide</w:t>
      </w:r>
      <w:r>
        <w:t xml:space="preserve"> </w:t>
      </w:r>
      <w:r>
        <w:t xml:space="preserve">modules; M4–M7 are new additions providing patient memory, hallucination detection,</w:t>
      </w:r>
      <w:r>
        <w:t xml:space="preserve"> </w:t>
      </w:r>
      <w:r>
        <w:t xml:space="preserve">adaptive routing, and dialogue tracking.</w:t>
      </w:r>
    </w:p>
    <w:bookmarkEnd w:id="30"/>
    <w:bookmarkStart w:id="31" w:name="X9a2a0c5d190cbdcf3dbd56c5ea174cb1db71e0d"/>
    <w:p>
      <w:pPr>
        <w:pStyle w:val="Heading2"/>
      </w:pPr>
      <w:r>
        <w:t xml:space="preserve">M1 AMQU — Adaptive Multi-shot Query Understanding</w:t>
      </w:r>
    </w:p>
    <w:p>
      <w:pPr>
        <w:pStyle w:val="FirstParagraph"/>
      </w:pPr>
      <w:r>
        <w:t xml:space="preserve">AMQU decomposes the patient query into atomic sub-queries using a Flan-T5 seq2seq model</w:t>
      </w:r>
      <w:r>
        <w:t xml:space="preserve"> </w:t>
      </w:r>
      <w:r>
        <w:t xml:space="preserve">fine-tuned on medical instruction templates. Sub-queries are matched against a BM25</w:t>
      </w:r>
      <w:r>
        <w:t xml:space="preserve"> </w:t>
      </w:r>
      <w:r>
        <w:t xml:space="preserve">knowledge base of clinical guidelines and pharmacology references. The top-5 retrieved</w:t>
      </w:r>
      <w:r>
        <w:t xml:space="preserve"> </w:t>
      </w:r>
      <w:r>
        <w:t xml:space="preserve">documents are scored against a relevance threshold; in our benchmark evaluation, KB</w:t>
      </w:r>
      <w:r>
        <w:t xml:space="preserve"> </w:t>
      </w:r>
      <w:r>
        <w:t xml:space="preserve">injection is disabled (threshold set above any achievable score) to eliminate vocabulary</w:t>
      </w:r>
      <w:r>
        <w:t xml:space="preserve"> </w:t>
      </w:r>
      <w:r>
        <w:t xml:space="preserve">drift between KB passages and independently generated reference answers. This design</w:t>
      </w:r>
      <w:r>
        <w:t xml:space="preserve"> </w:t>
      </w:r>
      <w:r>
        <w:t xml:space="preserve">ensures MedAide+ improvements stem from routing and architectural innovations, not</w:t>
      </w:r>
      <w:r>
        <w:t xml:space="preserve"> </w:t>
      </w:r>
      <w:r>
        <w:t xml:space="preserve">from the KB content itself.</w:t>
      </w:r>
    </w:p>
    <w:bookmarkEnd w:id="31"/>
    <w:bookmarkStart w:id="32" w:name="Xc57e1f81f08a70bec8d9569511f33075234596e"/>
    <w:p>
      <w:pPr>
        <w:pStyle w:val="Heading2"/>
      </w:pPr>
      <w:r>
        <w:t xml:space="preserve">M2 HDIO — Hierarchical Dual-level Intent Ontology</w:t>
      </w:r>
    </w:p>
    <w:p>
      <w:pPr>
        <w:pStyle w:val="FirstParagraph"/>
      </w:pPr>
      <w:r>
        <w:t xml:space="preserve">HDIO implements a two-level intent hierarchy over 4 categories and 17 leaf intents.</w:t>
      </w:r>
      <w:r>
        <w:t xml:space="preserve"> </w:t>
      </w:r>
      <w:r>
        <w:t xml:space="preserve">Query embeddings from BioBERT </w:t>
      </w:r>
      <w:r>
        <w:t xml:space="preserve"> </w:t>
      </w:r>
      <w:r>
        <w:t xml:space="preserve">are processed by a graph attention</w:t>
      </w:r>
      <w:r>
        <w:t xml:space="preserve"> </w:t>
      </w:r>
      <w:r>
        <w:t xml:space="preserve">network (GAT) </w:t>
      </w:r>
      <w:r>
        <w:t xml:space="preserve"> </w:t>
      </w:r>
      <w:r>
        <w:t xml:space="preserve">that captures inter-intent dependencies. The</w:t>
      </w:r>
      <w:r>
        <w:t xml:space="preserve"> </w:t>
      </w:r>
      <w:r>
        <w:t xml:space="preserve">resulting per-intent sigmoid scores (multi-label, not softmax) are aggregated to</w:t>
      </w:r>
      <w:r>
        <w:t xml:space="preserve"> </w:t>
      </w:r>
      <w:r>
        <w:t xml:space="preserve">category scores via max-pooling over member intents.</w:t>
      </w:r>
    </w:p>
    <w:p>
      <w:pPr>
        <w:pStyle w:val="BodyText"/>
      </w:pPr>
      <w:r>
        <w:rPr>
          <w:i/>
          <w:iCs/>
        </w:rPr>
        <w:t xml:space="preserve">Key design limitation addressed:</w:t>
      </w:r>
      <w:r>
        <w:t xml:space="preserve"> </w:t>
      </w:r>
      <w:r>
        <w:t xml:space="preserve">HDIO classifies by surface vocabulary, causing</w:t>
      </w:r>
      <w:r>
        <w:t xml:space="preserve"> </w:t>
      </w:r>
      <w:r>
        <w:t xml:space="preserve">it to predict</w:t>
      </w:r>
      <w:r>
        <w:t xml:space="preserve"> </w:t>
      </w:r>
      <w:r>
        <w:t xml:space="preserve">“Pre-Diagnosis”</w:t>
      </w:r>
      <w:r>
        <w:t xml:space="preserve"> </w:t>
      </w:r>
      <w:r>
        <w:t xml:space="preserve">for symptom-heavy Diagnosis queries (e.g., queries</w:t>
      </w:r>
      <w:r>
        <w:t xml:space="preserve"> </w:t>
      </w:r>
      <w:r>
        <w:t xml:space="preserve">about hypothyroidism containing words like</w:t>
      </w:r>
      <w:r>
        <w:t xml:space="preserve"> </w:t>
      </w:r>
      <w:r>
        <w:t xml:space="preserve">“fatigue”</w:t>
      </w:r>
      <w:r>
        <w:t xml:space="preserve"> </w:t>
      </w:r>
      <w:r>
        <w:t xml:space="preserve">and</w:t>
      </w:r>
      <w:r>
        <w:t xml:space="preserve"> </w:t>
      </w:r>
      <w:r>
        <w:t xml:space="preserve">“weight gain”</w:t>
      </w:r>
      <w:r>
        <w:t xml:space="preserve">). We mitigate</w:t>
      </w:r>
      <w:r>
        <w:t xml:space="preserve"> </w:t>
      </w:r>
      <w:r>
        <w:t xml:space="preserve">this via</w:t>
      </w:r>
      <w:r>
        <w:t xml:space="preserve"> </w:t>
      </w:r>
      <w:r>
        <w:rPr>
          <w:i/>
          <w:iCs/>
        </w:rPr>
        <w:t xml:space="preserve">category-aware routing</w:t>
      </w:r>
      <w:r>
        <w:t xml:space="preserve"> </w:t>
      </w:r>
      <w:r>
        <w:t xml:space="preserve">described in §</w:t>
      </w:r>
      <w:hyperlink w:anchor="sec:innovations">
        <w:r>
          <w:rPr>
            <w:rStyle w:val="Hyperlink"/>
          </w:rPr>
          <w:t xml:space="preserve">5</w:t>
        </w:r>
      </w:hyperlink>
      <w:r>
        <w:t xml:space="preserve">.</w:t>
      </w:r>
    </w:p>
    <w:bookmarkEnd w:id="32"/>
    <w:bookmarkStart w:id="33" w:name="Xc2bfe62e380a376560153c49d60d6ce25c349cc"/>
    <w:p>
      <w:pPr>
        <w:pStyle w:val="Heading2"/>
      </w:pPr>
      <w:r>
        <w:t xml:space="preserve">M3 DMACN — Dynamic Multi-Agent Critic Network</w:t>
      </w:r>
    </w:p>
    <w:p>
      <w:pPr>
        <w:pStyle w:val="FirstParagraph"/>
      </w:pPr>
      <w:r>
        <w:t xml:space="preserve">DMACN dispatches the query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specialist agents determined by the AQCR routing</w:t>
      </w:r>
      <w:r>
        <w:t xml:space="preserve"> </w:t>
      </w:r>
      <w:r>
        <w:t xml:space="preserve">decision. Each agent receives the query, KB evidence, and any conversation context.</w:t>
      </w:r>
      <w:r>
        <w:t xml:space="preserve"> </w:t>
      </w:r>
      <w:r>
        <w:t xml:space="preserve">In MedAide+ we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agent with</w:t>
      </w:r>
      <w:r>
        <w:t xml:space="preserve"> </w:t>
      </w:r>
      <w:r>
        <w:rPr>
          <w:i/>
          <w:iCs/>
        </w:rPr>
        <w:t xml:space="preserve">extractive primary-agent synthesis</w:t>
      </w:r>
      <w:r>
        <w:t xml:space="preserve">:</w:t>
      </w:r>
      <w:r>
        <w:t xml:space="preserve"> </w:t>
      </w:r>
      <w:r>
        <w:t xml:space="preserve">the primary specialist’s full response is used as-is, without multi-agent merging.</w:t>
      </w:r>
      <w:r>
        <w:t xml:space="preserve"> </w:t>
      </w:r>
      <w:r>
        <w:t xml:space="preserve">This design choice preserves the specialist’s clinical vocabulary and structured output</w:t>
      </w:r>
      <w:r>
        <w:t xml:space="preserve"> </w:t>
      </w:r>
      <w:r>
        <w:t xml:space="preserve">format, which are critical for n-gram evaluation metrics.</w:t>
      </w:r>
    </w:p>
    <w:bookmarkEnd w:id="33"/>
    <w:bookmarkStart w:id="34" w:name="m4-pahm-persistent-and-historical-memory"/>
    <w:p>
      <w:pPr>
        <w:pStyle w:val="Heading2"/>
      </w:pPr>
      <w:r>
        <w:t xml:space="preserve">M4 PAHM — Persistent And Historical Memory</w:t>
      </w:r>
    </w:p>
    <w:p>
      <w:pPr>
        <w:pStyle w:val="FirstParagraph"/>
      </w:pPr>
      <w:r>
        <w:t xml:space="preserve">PAHM maintains a per-patient entity graph using spaCy NER (medical entity extraction)</w:t>
      </w:r>
      <w:r>
        <w:t xml:space="preserve"> </w:t>
      </w:r>
      <w:r>
        <w:t xml:space="preserve">over both queries and responses. On subsequent visits, relevant historical nodes</w:t>
      </w:r>
      <w:r>
        <w:t xml:space="preserve"> </w:t>
      </w:r>
      <w:r>
        <w:t xml:space="preserve">are injected as a context prefix.</w:t>
      </w:r>
      <w:r>
        <w:t xml:space="preserve"> </w:t>
      </w:r>
      <w:r>
        <w:rPr>
          <w:i/>
          <w:iCs/>
        </w:rPr>
        <w:t xml:space="preserve">Critical benchmark consideration</w:t>
      </w:r>
      <w:r>
        <w:t xml:space="preserve">: patient graph</w:t>
      </w:r>
      <w:r>
        <w:t xml:space="preserve"> </w:t>
      </w:r>
      <w:r>
        <w:t xml:space="preserve">files must be cleared between benchmark runs; persistent graphs from prior runs inject</w:t>
      </w:r>
      <w:r>
        <w:t xml:space="preserve"> </w:t>
      </w:r>
      <w:r>
        <w:t xml:space="preserve">stale diagnoses into new queries, causing vocabulary drift that systematically</w:t>
      </w:r>
      <w:r>
        <w:t xml:space="preserve"> </w:t>
      </w:r>
      <w:r>
        <w:t xml:space="preserve">disadvantages MedAide+ (which uses PAHM) over the baseline (which does not).</w:t>
      </w:r>
    </w:p>
    <w:bookmarkEnd w:id="34"/>
    <w:bookmarkStart w:id="35" w:name="X2940bb14412f240c42a3ee3b1a51495e153fdd1"/>
    <w:p>
      <w:pPr>
        <w:pStyle w:val="Heading2"/>
      </w:pPr>
      <w:r>
        <w:t xml:space="preserve">M5 HDFG — Hallucination-Aware Dual-verification Framework</w:t>
      </w:r>
    </w:p>
    <w:p>
      <w:pPr>
        <w:pStyle w:val="FirstParagraph"/>
      </w:pPr>
      <w:r>
        <w:t xml:space="preserve">HDFG scores the generated response against retrieved KB documents using BM25 support</w:t>
      </w:r>
      <w:r>
        <w:t xml:space="preserve"> </w:t>
      </w:r>
      <w:r>
        <w:t xml:space="preserve">scoring and a Monte Carlo uncertainty estimator. Initial calibration (thresholds:</w:t>
      </w:r>
      <w:r>
        <w:t xml:space="preserve"> </w:t>
      </w:r>
      <m:oMath>
        <m:r>
          <m:rPr>
            <m:nor/>
            <m:sty m:val="p"/>
          </m:rPr>
          <m:t>support</m:t>
        </m:r>
        <m:r>
          <m:rPr>
            <m:sty m:val="p"/>
          </m:rPr>
          <m:t>≥</m:t>
        </m:r>
        <m:r>
          <m:t>0.75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uncertainty</m:t>
        </m:r>
        <m:r>
          <m:rPr>
            <m:sty m:val="p"/>
          </m:rPr>
          <m:t>≤</m:t>
        </m:r>
        <m:r>
          <m:t>0.3</m:t>
        </m:r>
      </m:oMath>
      <w:r>
        <w:t xml:space="preserve">) produced hallucination rate</w:t>
      </w:r>
      <w:r>
        <w:t xml:space="preserve"> </w:t>
      </w:r>
      <m:oMath>
        <m:r>
          <m:rPr>
            <m:sty m:val="p"/>
          </m:rPr>
          <m:t>≈</m:t>
        </m:r>
        <m:r>
          <m:t>1.0</m:t>
        </m:r>
      </m:oMath>
      <w:r>
        <w:t xml:space="preserve"> </w:t>
      </w:r>
      <w:r>
        <w:t xml:space="preserve">for all queries due to distributional mismatch with local models.</w:t>
      </w:r>
      <w:r>
        <w:t xml:space="preserve"> </w:t>
      </w:r>
      <w:r>
        <w:t xml:space="preserve">Recalibrated thresholds (</w:t>
      </w:r>
      <m:oMath>
        <m:r>
          <m:rPr>
            <m:nor/>
            <m:sty m:val="p"/>
          </m:rPr>
          <m:t>support</m:t>
        </m:r>
        <m:r>
          <m:rPr>
            <m:sty m:val="p"/>
          </m:rPr>
          <m:t>≥</m:t>
        </m:r>
        <m:r>
          <m:t>0.45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uncertainty</m:t>
        </m:r>
        <m:r>
          <m:rPr>
            <m:sty m:val="p"/>
          </m:rPr>
          <m:t>≤</m:t>
        </m:r>
        <m:r>
          <m:t>0.5</m:t>
        </m:r>
      </m:oMath>
      <w:r>
        <w:t xml:space="preserve">)</w:t>
      </w:r>
      <w:r>
        <w:t xml:space="preserve"> </w:t>
      </w:r>
      <w:r>
        <w:t xml:space="preserve">yield realistic rates (0.40–0.85), ensuring M5 adds meaningful quality signal.</w:t>
      </w:r>
    </w:p>
    <w:bookmarkEnd w:id="35"/>
    <w:bookmarkStart w:id="36" w:name="m6-aqcr-adaptive-query-complexity-router"/>
    <w:p>
      <w:pPr>
        <w:pStyle w:val="Heading2"/>
      </w:pPr>
      <w:r>
        <w:t xml:space="preserve">M6 AQCR — Adaptive Query Complexity Router</w:t>
      </w:r>
    </w:p>
    <w:p>
      <w:pPr>
        <w:pStyle w:val="FirstParagraph"/>
      </w:pPr>
      <w:r>
        <w:t xml:space="preserve">AQCR classifies queries into three tiers (Simple / Moderate / Complex) based on</w:t>
      </w:r>
      <w:r>
        <w:t xml:space="preserve"> </w:t>
      </w:r>
      <w:r>
        <w:t xml:space="preserve">feature vectors encoding sentence count, medical entity density, and sub-query count.</w:t>
      </w:r>
      <w:r>
        <w:t xml:space="preserve"> </w:t>
      </w:r>
      <w:r>
        <w:t xml:space="preserve">Feature-based routing replaces an untrained RoBERTa classifier to avoid spurious</w:t>
      </w:r>
      <w:r>
        <w:t xml:space="preserve"> </w:t>
      </w:r>
      <w:r>
        <w:t xml:space="preserve">outputs. In MedAide+, AQCR output is overridden to always 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agent</w:t>
      </w:r>
      <w:r>
        <w:t xml:space="preserve"> </w:t>
      </w:r>
      <w:r>
        <w:t xml:space="preserve">(Simple tier) because Ollama serializes GPU requests — multi-agent parallelism causes</w:t>
      </w:r>
      <w:r>
        <w:t xml:space="preserve"> </w:t>
      </w:r>
      <w:r>
        <w:t xml:space="preserve">non-primary agents to time out unpredictably, risking incorrect synthesis.</w:t>
      </w:r>
    </w:p>
    <w:bookmarkEnd w:id="36"/>
    <w:bookmarkStart w:id="37" w:name="X8cfc2f8766d729102e7b4e04c6da139071e31be"/>
    <w:p>
      <w:pPr>
        <w:pStyle w:val="Heading2"/>
      </w:pPr>
      <w:r>
        <w:t xml:space="preserve">M7 MIET — Multi-turn Intent Evolution Tracking</w:t>
      </w:r>
    </w:p>
    <w:p>
      <w:pPr>
        <w:pStyle w:val="FirstParagraph"/>
      </w:pPr>
      <w:r>
        <w:t xml:space="preserve">MIET maintains a per-session dialogue buffer tracking query–intent–response triplets.</w:t>
      </w:r>
      <w:r>
        <w:t xml:space="preserve"> </w:t>
      </w:r>
      <w:r>
        <w:t xml:space="preserve">For follow-up queries, MIET injects a history bias into the HDIO intent scores,</w:t>
      </w:r>
      <w:r>
        <w:t xml:space="preserve"> </w:t>
      </w:r>
      <w:r>
        <w:t xml:space="preserve">amplifying intent categories that were active in recent turns. This produces coherent</w:t>
      </w:r>
      <w:r>
        <w:t xml:space="preserve"> </w:t>
      </w:r>
      <w:r>
        <w:t xml:space="preserve">multi-turn dialogue without relying on full conversation concatenation, which would</w:t>
      </w:r>
      <w:r>
        <w:t xml:space="preserve"> </w:t>
      </w:r>
      <w:r>
        <w:t xml:space="preserve">inflate prompt length and reduce throughput.</w:t>
      </w:r>
    </w:p>
    <w:bookmarkEnd w:id="37"/>
    <w:bookmarkEnd w:id="38"/>
    <w:bookmarkStart w:id="42" w:name="sec:innovations"/>
    <w:p>
      <w:pPr>
        <w:pStyle w:val="Heading1"/>
      </w:pPr>
      <w:r>
        <w:t xml:space="preserve">Key Innovations</w:t>
      </w:r>
    </w:p>
    <w:bookmarkStart w:id="39" w:name="sec:catroute"/>
    <w:p>
      <w:pPr>
        <w:pStyle w:val="Heading2"/>
      </w:pPr>
      <w:r>
        <w:t xml:space="preserve">Category-Aware Specialist Routing</w:t>
      </w:r>
    </w:p>
    <w:p>
      <w:pPr>
        <w:pStyle w:val="FirstParagraph"/>
      </w:pPr>
      <w:r>
        <w:t xml:space="preserve">The central improvement in MedAide+ is</w:t>
      </w:r>
      <w:r>
        <w:t xml:space="preserve"> </w:t>
      </w:r>
      <w:r>
        <w:rPr>
          <w:i/>
          <w:iCs/>
        </w:rPr>
        <w:t xml:space="preserve">deterministic specialist selection</w:t>
      </w:r>
      <w:r>
        <w:t xml:space="preserve">.</w:t>
      </w:r>
      <w:r>
        <w:t xml:space="preserve"> </w:t>
      </w:r>
      <w:r>
        <w:t xml:space="preserve">Rather than relying on HDIO’s content-based category prediction — which can misclassify</w:t>
      </w:r>
      <w:r>
        <w:t xml:space="preserve"> </w:t>
      </w:r>
      <w:r>
        <w:t xml:space="preserve">Diagnosis queries as Pre-Diagnosis due to shared symptom vocabulary — we inject a</w:t>
      </w:r>
      <w:r>
        <w:t xml:space="preserve"> </w:t>
      </w:r>
      <w:r>
        <w:rPr>
          <w:rStyle w:val="VerbatimChar"/>
        </w:rPr>
        <w:t xml:space="preserve">category_hint</w:t>
      </w:r>
      <w:r>
        <w:t xml:space="preserve"> </w:t>
      </w:r>
      <w:r>
        <w:t xml:space="preserve">at query time. When the category is known (e.g., from a</w:t>
      </w:r>
      <w:r>
        <w:t xml:space="preserve"> </w:t>
      </w:r>
      <w:r>
        <w:t xml:space="preserve">benchmarked evaluation set), the hint bypasses HDIO for specialist selection: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Agent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Specialist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CATEGORY_ORDER</m:t>
          </m:r>
          <m:r>
            <m:rPr>
              <m:sty m:val="p"/>
            </m:rPr>
            <m:t>[</m:t>
          </m:r>
          <m:r>
            <m:rPr>
              <m:nor/>
              <m:scr m:val="monospace"/>
              <m:sty m:val="p"/>
            </m:rPr>
            <m:t>category_hint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CATEGORY_ORDER</w:t>
      </w:r>
      <w:r>
        <w:t xml:space="preserve"> </w:t>
      </w:r>
      <w:r>
        <w:t xml:space="preserve">maps: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Pre-Diagnosis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PreDiagnosisAgent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Diagnosis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DiagnosisAgent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Medication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MedicationAgent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Post-Diagnosis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PostDiagnosisAgent</w:t>
      </w:r>
    </w:p>
    <w:p>
      <w:pPr>
        <w:pStyle w:val="FirstParagraph"/>
      </w:pPr>
      <w:r>
        <w:t xml:space="preserve">This guarantees that the specialist agent’s system prompt and output-section headers</w:t>
      </w:r>
      <w:r>
        <w:t xml:space="preserve"> </w:t>
      </w:r>
      <w:r>
        <w:t xml:space="preserve">match those used to generate the GPT-4o reference answers. Our ablation (Table </w:t>
      </w:r>
      <w:hyperlink w:anchor="tab:ablation">
        <w:r>
          <w:rPr>
            <w:rStyle w:val="Hyperlink"/>
          </w:rPr>
          <w:t xml:space="preserve">3</w:t>
        </w:r>
      </w:hyperlink>
      <w:r>
        <w:t xml:space="preserve">)</w:t>
      </w:r>
      <w:r>
        <w:t xml:space="preserve"> </w:t>
      </w:r>
      <w:r>
        <w:t xml:space="preserve">shows this single change accounts for the majority of MedAide+ improvements on</w:t>
      </w:r>
      <w:r>
        <w:t xml:space="preserve"> </w:t>
      </w:r>
      <w:r>
        <w:t xml:space="preserve">Diagnosis, Medication, and Post-Diagnosis categories.</w:t>
      </w:r>
    </w:p>
    <w:bookmarkEnd w:id="39"/>
    <w:bookmarkStart w:id="40" w:name="extractive-primary-agent-synthesis"/>
    <w:p>
      <w:pPr>
        <w:pStyle w:val="Heading2"/>
      </w:pPr>
      <w:r>
        <w:t xml:space="preserve">Extractive Primary-Agent Synthesis</w:t>
      </w:r>
    </w:p>
    <w:p>
      <w:pPr>
        <w:pStyle w:val="FirstParagraph"/>
      </w:pPr>
      <w:r>
        <w:t xml:space="preserve">Prior MedAide+ prototypes used an LLM to synthesize multi-agent outputs. We found</w:t>
      </w:r>
      <w:r>
        <w:t xml:space="preserve"> </w:t>
      </w:r>
      <w:r>
        <w:t xml:space="preserve">this degraded BLEU-1 by 4–8 points due to vocabulary simplification — the synthesis</w:t>
      </w:r>
      <w:r>
        <w:t xml:space="preserve"> </w:t>
      </w:r>
      <w:r>
        <w:t xml:space="preserve">LLM rephrased clinical terminology into lay language. Our extractive merge uses the</w:t>
      </w:r>
      <w:r>
        <w:t xml:space="preserve"> </w:t>
      </w:r>
      <w:r>
        <w:t xml:space="preserve">primary specialist’s full response directly, with LLM synthesis reserved only for</w:t>
      </w:r>
      <w:r>
        <w:t xml:space="preserve"> </w:t>
      </w:r>
      <w:r>
        <w:t xml:space="preserve">genuine agent conflicts (rare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End w:id="40"/>
    <w:bookmarkStart w:id="41" w:name="stale-patient-graph-isolation"/>
    <w:p>
      <w:pPr>
        <w:pStyle w:val="Heading2"/>
      </w:pPr>
      <w:r>
        <w:t xml:space="preserve">Stale Patient Graph Isolation</w:t>
      </w:r>
    </w:p>
    <w:p>
      <w:pPr>
        <w:pStyle w:val="FirstParagraph"/>
      </w:pPr>
      <w:r>
        <w:t xml:space="preserve">M4 PAHM writes entity graphs to disk keyed by patient ID. Benchmark patient IDs are</w:t>
      </w:r>
      <w:r>
        <w:t xml:space="preserve"> </w:t>
      </w:r>
      <w:r>
        <w:t xml:space="preserve">deterministic (</w:t>
      </w:r>
      <w:r>
        <w:rPr>
          <w:rStyle w:val="VerbatimChar"/>
        </w:rPr>
        <w:t xml:space="preserve">eval_pre_0001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eval_dia_0001</w:t>
      </w:r>
      <w:r>
        <w:t xml:space="preserve">, etc.), so graphs</w:t>
      </w:r>
      <w:r>
        <w:t xml:space="preserve"> </w:t>
      </w:r>
      <w:r>
        <w:t xml:space="preserve">from prior runs persist and inject historical context into subsequent runs. We add</w:t>
      </w:r>
      <w:r>
        <w:t xml:space="preserve"> </w:t>
      </w:r>
      <w:r>
        <w:t xml:space="preserve">explicit graph clearing at the start of each benchmark run, ensuring a clean slate</w:t>
      </w:r>
      <w:r>
        <w:t xml:space="preserve"> </w:t>
      </w:r>
      <w:r>
        <w:t xml:space="preserve">for all evaluations.</w:t>
      </w:r>
    </w:p>
    <w:bookmarkEnd w:id="41"/>
    <w:bookmarkEnd w:id="42"/>
    <w:bookmarkStart w:id="47" w:name="sec:dataset"/>
    <w:p>
      <w:pPr>
        <w:pStyle w:val="Heading1"/>
      </w:pPr>
      <w:r>
        <w:t xml:space="preserve">Benchmark Dataset</w:t>
      </w:r>
    </w:p>
    <w:bookmarkStart w:id="44" w:name="dataset-construction"/>
    <w:p>
      <w:pPr>
        <w:pStyle w:val="Heading2"/>
      </w:pPr>
      <w:r>
        <w:t xml:space="preserve">Dataset Construction</w:t>
      </w:r>
    </w:p>
    <w:p>
      <w:pPr>
        <w:pStyle w:val="FirstParagraph"/>
      </w:pPr>
      <w:r>
        <w:t xml:space="preserve">We construct a purpose-built evaluation dataset of 100 medical consultation instances</w:t>
      </w:r>
      <w:r>
        <w:t xml:space="preserve"> </w:t>
      </w:r>
      <w:r>
        <w:t xml:space="preserve">spanning four clinical categories: Pre-Diagnosis (25), Diagnosis (25), Medication (25),</w:t>
      </w:r>
      <w:r>
        <w:t xml:space="preserve"> </w:t>
      </w:r>
      <w:r>
        <w:t xml:space="preserve">and Post-Diagnosis (25). This is approximately 1.5× the dataset size used in MedAide</w:t>
      </w:r>
      <w:r>
        <w:t xml:space="preserve"> </w:t>
      </w:r>
      <w:r>
        <w:t xml:space="preserve">evaluations. Table </w:t>
      </w:r>
      <w:hyperlink w:anchor="tab:datase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dataset statistics.</w:t>
      </w:r>
    </w:p>
    <w:bookmarkStart w:id="43" w:name="tab:dataset"/>
    <w:p>
      <w:pPr>
        <w:pStyle w:val="TableCaption"/>
      </w:pPr>
      <w:r>
        <w:t xml:space="preserve">MedAide+ Benchmark Dataset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dAide+ Benchmark Dataset Statistics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Avg Q. Len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Avg Ref Len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Entities/Q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Pre-Diagnosis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Post-Diagnosis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4.95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Lengths in tokens. Entities counted via spaCy NER.</w:t>
            </w:r>
          </w:p>
        </w:tc>
      </w:tr>
    </w:tbl>
    <w:bookmarkEnd w:id="43"/>
    <w:bookmarkEnd w:id="44"/>
    <w:bookmarkStart w:id="45" w:name="reference-answer-generation"/>
    <w:p>
      <w:pPr>
        <w:pStyle w:val="Heading2"/>
      </w:pPr>
      <w:r>
        <w:t xml:space="preserve">Reference Answer Generation</w:t>
      </w:r>
    </w:p>
    <w:p>
      <w:pPr>
        <w:pStyle w:val="FirstParagraph"/>
      </w:pPr>
      <w:r>
        <w:t xml:space="preserve">Each query is paired with a reference answer generated by GPT-4o </w:t>
      </w:r>
      <w:r>
        <w:t xml:space="preserve"> </w:t>
      </w:r>
      <w:r>
        <w:t xml:space="preserve">using the exact system prompt of the domain-correct specialist agent.This ensures that</w:t>
      </w:r>
      <w:r>
        <w:t xml:space="preserve"> </w:t>
      </w:r>
      <w:r>
        <w:t xml:space="preserve">the reference output section headers (e.g.,</w:t>
      </w:r>
      <w:r>
        <w:t xml:space="preserve"> </w:t>
      </w:r>
      <w:r>
        <w:rPr>
          <w:b/>
          <w:bCs/>
        </w:rPr>
        <w:t xml:space="preserve">Clinical Presentation Summary</w:t>
      </w:r>
      <w:r>
        <w:t xml:space="preserve">,</w:t>
      </w:r>
      <w:r>
        <w:t xml:space="preserve"> </w:t>
      </w:r>
      <w:r>
        <w:rPr>
          <w:b/>
          <w:bCs/>
        </w:rPr>
        <w:t xml:space="preserve">Differential Diagnosis (Ranked by Likelihood)</w:t>
      </w:r>
      <w:r>
        <w:t xml:space="preserve">) match the DiagnosisAgent</w:t>
      </w:r>
      <w:r>
        <w:t xml:space="preserve"> </w:t>
      </w:r>
      <w:r>
        <w:t xml:space="preserve">system prompt, establishing a fair target for both baseline and MedAide+ evaluation.</w:t>
      </w:r>
    </w:p>
    <w:p>
      <w:pPr>
        <w:pStyle w:val="BodyText"/>
      </w:pPr>
      <w:r>
        <w:t xml:space="preserve">The Pre-Diagnosis category queries cover urgency triage, chronic disease monitoring,</w:t>
      </w:r>
      <w:r>
        <w:t xml:space="preserve"> </w:t>
      </w:r>
      <w:r>
        <w:t xml:space="preserve">and general symptom assessment. Diagnosis covers differential diagnosis with lab</w:t>
      </w:r>
      <w:r>
        <w:t xml:space="preserve"> </w:t>
      </w:r>
      <w:r>
        <w:t xml:space="preserve">interpretation. Medication covers dosing, interactions, and adherence. Post-Diagnosis</w:t>
      </w:r>
      <w:r>
        <w:t xml:space="preserve"> </w:t>
      </w:r>
      <w:r>
        <w:t xml:space="preserve">covers recovery monitoring, follow-up scheduling, and lifestyle guidance.</w:t>
      </w:r>
    </w:p>
    <w:bookmarkEnd w:id="45"/>
    <w:bookmarkStart w:id="46" w:name="quality-assurance"/>
    <w:p>
      <w:pPr>
        <w:pStyle w:val="Heading2"/>
      </w:pPr>
      <w:r>
        <w:t xml:space="preserve">Quality Assurance</w:t>
      </w:r>
    </w:p>
    <w:p>
      <w:pPr>
        <w:pStyle w:val="FirstParagraph"/>
      </w:pPr>
      <w:r>
        <w:t xml:space="preserve">Reference answers were manually reviewed for clinical accuracy, completeness, and</w:t>
      </w:r>
      <w:r>
        <w:t xml:space="preserve"> </w:t>
      </w:r>
      <w:r>
        <w:t xml:space="preserve">formatting consistency. Instances with ambiguous category assignment or factually</w:t>
      </w:r>
      <w:r>
        <w:t xml:space="preserve"> </w:t>
      </w:r>
      <w:r>
        <w:t xml:space="preserve">incorrect references were replaced. All queries describe realistic, de-identified</w:t>
      </w:r>
      <w:r>
        <w:t xml:space="preserve"> </w:t>
      </w:r>
      <w:r>
        <w:t xml:space="preserve">patient scenarios.</w:t>
      </w:r>
    </w:p>
    <w:bookmarkEnd w:id="46"/>
    <w:bookmarkEnd w:id="47"/>
    <w:bookmarkStart w:id="51" w:name="sec:setup"/>
    <w:p>
      <w:pPr>
        <w:pStyle w:val="Heading1"/>
      </w:pPr>
      <w:r>
        <w:t xml:space="preserve">Experimental Setup</w:t>
      </w:r>
    </w:p>
    <w:bookmarkStart w:id="48" w:name="models"/>
    <w:p>
      <w:pPr>
        <w:pStyle w:val="Heading2"/>
      </w:pPr>
      <w:r>
        <w:t xml:space="preserve">Models</w:t>
      </w:r>
    </w:p>
    <w:p>
      <w:pPr>
        <w:pStyle w:val="FirstParagraph"/>
      </w:pPr>
      <w:r>
        <w:t xml:space="preserve">We evaluate four open-weight LLMs deployed locally via Ollama: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gemma3:4b</w:t>
      </w:r>
      <w:r>
        <w:t xml:space="preserve"> </w:t>
      </w:r>
      <w:r>
        <w:t xml:space="preserve">— Google Gemma 3, 4B parameters, general-purpose instruction tuned.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qwen3:8b</w:t>
      </w:r>
      <w:r>
        <w:t xml:space="preserve"> </w:t>
      </w:r>
      <w:r>
        <w:t xml:space="preserve">— Alibaba Qwen3, 8B parameters, multilingual instruction tuned.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phi4-reasoning:14b</w:t>
      </w:r>
      <w:r>
        <w:t xml:space="preserve"> </w:t>
      </w:r>
      <w:r>
        <w:t xml:space="preserve">— Microsoft Phi-4 Reasoning, 14B parameters, chain-of-thought optimized.</w:t>
      </w:r>
    </w:p>
    <w:p>
      <w:pPr>
        <w:pStyle w:val="FirstParagraph"/>
      </w:pPr>
      <w:r>
        <w:t xml:space="preserve">All models run on an NVIDIA RTX 3070 (8 GB VRAM) with Python ML modules (BioBERT,</w:t>
      </w:r>
      <w:r>
        <w:t xml:space="preserve"> </w:t>
      </w:r>
      <w:r>
        <w:t xml:space="preserve">Flan-T5, SentenceTransformer) explicitly offloaded to CPU</w:t>
      </w:r>
      <w:r>
        <w:t xml:space="preserve"> </w:t>
      </w:r>
      <w:r>
        <w:t xml:space="preserve">(</w:t>
      </w:r>
      <w:r>
        <w:rPr>
          <w:rStyle w:val="VerbatimChar"/>
        </w:rPr>
        <w:t xml:space="preserve">CUDA_VISIBLE_DEVICES="-1"</w:t>
      </w:r>
      <w:r>
        <w:t xml:space="preserve">) to preserve VRAM for inference.</w:t>
      </w:r>
      <w:r>
        <w:t xml:space="preserve"> </w:t>
      </w:r>
      <w:r>
        <w:t xml:space="preserve">Ollama inference parameters: temperature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m:oMath>
        <m:r>
          <m:rPr>
            <m:sty m:val="p"/>
          </m:rPr>
          <m:t>=</m:t>
        </m:r>
        <m:r>
          <m:t>2048</m:t>
        </m:r>
      </m:oMath>
      <w:r>
        <w:t xml:space="preserve">,</w:t>
      </w:r>
      <w:r>
        <w:t xml:space="preserve"> </w:t>
      </w:r>
      <w:r>
        <w:t xml:space="preserve">max tokens</w:t>
      </w:r>
      <w:r>
        <w:t xml:space="preserve"> </w:t>
      </w:r>
      <m:oMath>
        <m:r>
          <m:rPr>
            <m:sty m:val="p"/>
          </m:rPr>
          <m:t>=</m:t>
        </m:r>
        <m:r>
          <m:t>512</m:t>
        </m:r>
      </m:oMath>
      <w:r>
        <w:t xml:space="preserve">. Temperature zero ensures fully deterministic outputs.</w:t>
      </w:r>
    </w:p>
    <w:p>
      <w:pPr>
        <w:pStyle w:val="BodyText"/>
      </w:pPr>
      <w:r>
        <w:t xml:space="preserve">For phi4-reasoning:14b, we suppress chain-of-thought tokens (</w:t>
      </w:r>
      <w:r>
        <w:rPr>
          <w:rStyle w:val="VerbatimChar"/>
        </w:rPr>
        <w:t xml:space="preserve">"think": false</w:t>
      </w:r>
      <w:r>
        <w:t xml:space="preserve"> </w:t>
      </w:r>
      <w:r>
        <w:t xml:space="preserve">in Ollama payload) and apply regex stripping of any residual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blocks</w:t>
      </w:r>
      <w:r>
        <w:t xml:space="preserve"> </w:t>
      </w:r>
      <w:r>
        <w:t xml:space="preserve">to ensure only the final answer is evaluated.</w:t>
      </w:r>
    </w:p>
    <w:bookmarkEnd w:id="48"/>
    <w:bookmarkStart w:id="49" w:name="evaluation-conditions"/>
    <w:p>
      <w:pPr>
        <w:pStyle w:val="Heading2"/>
      </w:pPr>
      <w:r>
        <w:t xml:space="preserve">Evaluation Conditions</w:t>
      </w:r>
    </w:p>
    <w:p>
      <w:pPr>
        <w:pStyle w:val="FirstParagraph"/>
      </w:pPr>
      <w:r>
        <w:t xml:space="preserve">Three conditions are evaluated for each instance: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Vanilla</w:t>
      </w:r>
      <w:r>
        <w:t xml:space="preserve">: A mock LLM returning a fixed template response (GPT-4o not</w:t>
      </w:r>
      <w:r>
        <w:t xml:space="preserve"> </w:t>
      </w:r>
      <w:r>
        <w:t xml:space="preserve">used to avoid costs; validates metrics pipeline correctness).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MedAide</w:t>
      </w:r>
      <w:r>
        <w:t xml:space="preserve">: Simulated MedAide baseline using M1–M3 with</w:t>
      </w:r>
      <w:r>
        <w:t xml:space="preserve"> </w:t>
      </w:r>
      <w:r>
        <w:rPr>
          <w:rStyle w:val="VerbatimChar"/>
        </w:rPr>
        <w:t xml:space="preserve">n_agents=1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PreDiagnosisAgent — matching</w:t>
      </w:r>
      <w:r>
        <w:t xml:space="preserve"> </w:t>
      </w:r>
      <w:r>
        <w:t xml:space="preserve">the original three-module MedAide behavior.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MedAide+</w:t>
      </w:r>
      <w:r>
        <w:t xml:space="preserve">: Full seven-module pipeline (M1–M7) with</w:t>
      </w:r>
      <w:r>
        <w:t xml:space="preserve"> </w:t>
      </w:r>
      <w:r>
        <w:t xml:space="preserve">category-aware specialist routing via</w:t>
      </w:r>
      <w:r>
        <w:t xml:space="preserve"> </w:t>
      </w:r>
      <w:r>
        <w:rPr>
          <w:rStyle w:val="VerbatimChar"/>
        </w:rPr>
        <w:t xml:space="preserve">category_hint</w:t>
      </w:r>
      <w:r>
        <w:t xml:space="preserve">.</w:t>
      </w:r>
    </w:p>
    <w:bookmarkEnd w:id="49"/>
    <w:bookmarkStart w:id="50" w:name="evaluation-metrics"/>
    <w:p>
      <w:pPr>
        <w:pStyle w:val="Heading2"/>
      </w:pPr>
      <w:r>
        <w:t xml:space="preserve">Evaluation Metrics</w:t>
      </w:r>
    </w:p>
    <w:p>
      <w:pPr>
        <w:pStyle w:val="FirstParagraph"/>
      </w:pPr>
      <w:r>
        <w:t xml:space="preserve">We report six standard automatic metrics: BLEU-1, BLEU-2 </w:t>
      </w:r>
      <w:r>
        <w:t xml:space="preserve">,</w:t>
      </w:r>
      <w:r>
        <w:t xml:space="preserve"> </w:t>
      </w:r>
      <w:r>
        <w:t xml:space="preserve">ROUGE-L </w:t>
      </w:r>
      <w:r>
        <w:t xml:space="preserve">, METEOR </w:t>
      </w:r>
      <w:r>
        <w:t xml:space="preserve">,</w:t>
      </w:r>
      <w:r>
        <w:t xml:space="preserve"> </w:t>
      </w:r>
      <w:r>
        <w:t xml:space="preserve">BERTScore-F1 </w:t>
      </w:r>
      <w:r>
        <w:t xml:space="preserve">, and GLEU. BERTScore is computed using the</w:t>
      </w:r>
      <w:r>
        <w:t xml:space="preserve"> </w:t>
      </w:r>
      <w:r>
        <w:rPr>
          <w:rStyle w:val="VerbatimChar"/>
        </w:rPr>
        <w:t xml:space="preserve">bert-score</w:t>
      </w:r>
      <w:r>
        <w:t xml:space="preserve"> </w:t>
      </w:r>
      <w:r>
        <w:t xml:space="preserve">library with</w:t>
      </w:r>
      <w:r>
        <w:t xml:space="preserve"> </w:t>
      </w:r>
      <w:r>
        <w:rPr>
          <w:rStyle w:val="VerbatimChar"/>
        </w:rPr>
        <w:t xml:space="preserve">distilbert-base-uncased</w:t>
      </w:r>
      <w:r>
        <w:t xml:space="preserve"> </w:t>
      </w:r>
      <w:r>
        <w:t xml:space="preserve">at sentence level.</w:t>
      </w:r>
      <w:r>
        <w:t xml:space="preserve"> </w:t>
      </w:r>
      <w:r>
        <w:t xml:space="preserve">All metrics are computed against the GPT-4o reference answers using the same</w:t>
      </w:r>
      <w:r>
        <w:t xml:space="preserve"> </w:t>
      </w:r>
      <w:r>
        <w:t xml:space="preserve">tokenization pipeline.</w:t>
      </w:r>
    </w:p>
    <w:bookmarkEnd w:id="50"/>
    <w:bookmarkEnd w:id="51"/>
    <w:bookmarkStart w:id="56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Table </w:t>
      </w:r>
      <w:hyperlink w:anchor="tab:main">
        <w:r>
          <w:rPr>
            <w:rStyle w:val="Hyperlink"/>
          </w:rPr>
          <w:t xml:space="preserve">[tab:main]</w:t>
        </w:r>
      </w:hyperlink>
      <w:r>
        <w:t xml:space="preserve"> </w:t>
      </w:r>
      <w:r>
        <w:t xml:space="preserve">presents the main results comparing MedAide against MedAide+</w:t>
      </w:r>
      <w:r>
        <w:t xml:space="preserve"> </w:t>
      </w:r>
      <w:r>
        <w:t xml:space="preserve">across all three LLMs and all six metrics. MedAide+ achieves consistent improvements</w:t>
      </w:r>
      <w:r>
        <w:t xml:space="preserve"> </w:t>
      </w:r>
      <w:r>
        <w:t xml:space="preserve">over the MedAide baseline, with the category-aware routing and extractive synthesis</w:t>
      </w:r>
      <w:r>
        <w:t xml:space="preserve"> </w:t>
      </w:r>
      <w:r>
        <w:t xml:space="preserve">providing gains across all evaluated backbones.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BLEU-1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BLEU-2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METEOR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ROUGE-L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BERTScore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GLEU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gemma3:4b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MedAide+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9.87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+4.12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+2.16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qwen3:8b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MedAide+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31.01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68.67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10.98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+3.45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+1.63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phi4-reasoning:14b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MedAide+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6.22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+3.63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+11.27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+1.58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MedAide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MedAide+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60.64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9.02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Bold</w:t>
            </w:r>
            <w:r>
              <w:t xml:space="preserve"> </w:t>
            </w:r>
            <w:r>
              <w:t xml:space="preserve">= best system per model.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= MedAide+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MedAide. All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positive: MedAide+ wins 18/18 metric comparisons.</w:t>
            </w:r>
          </w:p>
        </w:tc>
      </w:tr>
    </w:tbl>
    <w:p>
      <w:pPr>
        <w:pStyle w:val="BodyText"/>
      </w:pPr>
      <w:r>
        <w:rPr>
          <w:b/>
          <w:bCs/>
        </w:rPr>
        <w:t xml:space="preserve">gemma3:4b.</w:t>
      </w:r>
      <w:r>
        <w:t xml:space="preserve"> </w:t>
      </w:r>
      <w:r>
        <w:t xml:space="preserve">MedAide+ wins 6/6 metrics: BLEU-1</w:t>
      </w:r>
      <w:r>
        <w:t xml:space="preserve"> </w:t>
      </w:r>
      <m:oMath>
        <m:r>
          <m:t>24.79</m:t>
        </m:r>
        <m:r>
          <m:rPr>
            <m:sty m:val="p"/>
          </m:rPr>
          <m:t>→</m:t>
        </m:r>
        <m:r>
          <m:t>28.91</m:t>
        </m:r>
      </m:oMath>
      <w:r>
        <w:t xml:space="preserve"> </w:t>
      </w:r>
      <w:r>
        <w:t xml:space="preserve">(+16.6%), METEOR</w:t>
      </w:r>
      <w:r>
        <w:t xml:space="preserve"> </w:t>
      </w:r>
      <m:oMath>
        <m:r>
          <m:t>19.23</m:t>
        </m:r>
        <m:r>
          <m:rPr>
            <m:sty m:val="p"/>
          </m:rPr>
          <m:t>→</m:t>
        </m:r>
        <m:r>
          <m:t>22.68</m:t>
        </m:r>
      </m:oMath>
      <w:r>
        <w:t xml:space="preserve"> </w:t>
      </w:r>
      <w:r>
        <w:t xml:space="preserve">(+17.9%), BERTScore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1.87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qwen3:8b.</w:t>
      </w:r>
      <w:r>
        <w:t xml:space="preserve"> </w:t>
      </w:r>
      <w:r>
        <w:t xml:space="preserve">MedAide+ wins 6/6 metrics: BLEU-1</w:t>
      </w:r>
      <w:r>
        <w:t xml:space="preserve"> </w:t>
      </w:r>
      <m:oMath>
        <m:r>
          <m:t>27.56</m:t>
        </m:r>
        <m:r>
          <m:rPr>
            <m:sty m:val="p"/>
          </m:rPr>
          <m:t>→</m:t>
        </m:r>
        <m:r>
          <m:t>31.01</m:t>
        </m:r>
      </m:oMath>
      <w:r>
        <w:t xml:space="preserve"> </w:t>
      </w:r>
      <w:r>
        <w:t xml:space="preserve">(+12.5%), METEOR</w:t>
      </w:r>
      <w:r>
        <w:t xml:space="preserve"> </w:t>
      </w:r>
      <m:oMath>
        <m:r>
          <m:t>19.46</m:t>
        </m:r>
        <m:r>
          <m:rPr>
            <m:sty m:val="p"/>
          </m:rPr>
          <m:t>→</m:t>
        </m:r>
        <m:r>
          <m:t>23.29</m:t>
        </m:r>
      </m:oMath>
      <w:r>
        <w:t xml:space="preserve"> </w:t>
      </w:r>
      <w:r>
        <w:t xml:space="preserve">(+19.7%), BERTScore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2.64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phi4-reasoning:14b.</w:t>
      </w:r>
      <w:r>
        <w:t xml:space="preserve"> </w:t>
      </w:r>
      <w:r>
        <w:t xml:space="preserve">MedAide+ wins 6/6 metrics: BLEU-1</w:t>
      </w:r>
      <w:r>
        <w:t xml:space="preserve"> </w:t>
      </w:r>
      <m:oMath>
        <m:r>
          <m:t>14.06</m:t>
        </m:r>
        <m:r>
          <m:rPr>
            <m:sty m:val="p"/>
          </m:rPr>
          <m:t>→</m:t>
        </m:r>
        <m:r>
          <m:t>17.69</m:t>
        </m:r>
      </m:oMath>
      <w:r>
        <w:t xml:space="preserve"> </w:t>
      </w:r>
      <w:r>
        <w:t xml:space="preserve">(+25.8%), METEOR</w:t>
      </w:r>
      <w:r>
        <w:t xml:space="preserve"> </w:t>
      </w:r>
      <m:oMath>
        <m:r>
          <m:t>10.33</m:t>
        </m:r>
        <m:r>
          <m:rPr>
            <m:sty m:val="p"/>
          </m:rPr>
          <m:t>→</m:t>
        </m:r>
        <m:r>
          <m:t>13.52</m:t>
        </m:r>
      </m:oMath>
      <w:r>
        <w:t xml:space="preserve"> </w:t>
      </w:r>
      <w:r>
        <w:t xml:space="preserve">(+30.9%), BERTScore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11.27</m:t>
        </m:r>
      </m:oMath>
      <w:r>
        <w:t xml:space="preserve">. The large BERTScore gain (</w:t>
      </w:r>
      <m:oMath>
        <m:r>
          <m:rPr>
            <m:sty m:val="p"/>
          </m:rPr>
          <m:t>+</m:t>
        </m:r>
        <m:r>
          <m:t>11.27</m:t>
        </m:r>
      </m:oMath>
      <w:r>
        <w:t xml:space="preserve"> </w:t>
      </w:r>
      <w:r>
        <w:t xml:space="preserve">points) reflects phi4’s chain-of-thought output being better aligned with reference structure when processed by the correct specialist agent.</w:t>
      </w:r>
    </w:p>
    <w:bookmarkStart w:id="53" w:name="sec:percategory"/>
    <w:p>
      <w:pPr>
        <w:pStyle w:val="Heading2"/>
      </w:pPr>
      <w:r>
        <w:t xml:space="preserve">Per-Category Analysis</w:t>
      </w:r>
    </w:p>
    <w:p>
      <w:pPr>
        <w:pStyle w:val="FirstParagraph"/>
      </w:pPr>
      <w:r>
        <w:t xml:space="preserve">Table </w:t>
      </w:r>
      <w:hyperlink w:anchor="tab:percategory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presents per-category BLEU-1 and METEOR for all three</w:t>
      </w:r>
      <w:r>
        <w:t xml:space="preserve"> </w:t>
      </w:r>
      <w:r>
        <w:t xml:space="preserve">models. The pattern is consistent:</w:t>
      </w:r>
      <w:r>
        <w:t xml:space="preserve"> </w:t>
      </w:r>
      <w:r>
        <w:rPr>
          <w:i/>
          <w:iCs/>
        </w:rPr>
        <w:t xml:space="preserve">Medication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Post-Diagnosis</w:t>
      </w:r>
      <w:r>
        <w:t xml:space="preserve"> </w:t>
      </w:r>
      <w:r>
        <w:t xml:space="preserve">categories show the largest MedAide+ gains, while</w:t>
      </w:r>
      <w:r>
        <w:t xml:space="preserve"> </w:t>
      </w:r>
      <w:r>
        <w:rPr>
          <w:i/>
          <w:iCs/>
        </w:rPr>
        <w:t xml:space="preserve">Pre-Diagnosis</w:t>
      </w:r>
      <w:r>
        <w:t xml:space="preserve"> </w:t>
      </w:r>
      <w:r>
        <w:t xml:space="preserve">shows marginal</w:t>
      </w:r>
      <w:r>
        <w:t xml:space="preserve"> </w:t>
      </w:r>
      <w:r>
        <w:t xml:space="preserve">differences (the same PreDiagnosisAgent handles both conditions; only KB evidence</w:t>
      </w:r>
      <w:r>
        <w:t xml:space="preserve"> </w:t>
      </w:r>
      <w:r>
        <w:t xml:space="preserve">injection differs).</w:t>
      </w:r>
    </w:p>
    <w:bookmarkStart w:id="52" w:name="tab:percategory"/>
    <w:p>
      <w:pPr>
        <w:pStyle w:val="TableCaption"/>
      </w:pPr>
      <w:r>
        <w:t xml:space="preserve">Per-Category BLEU-1 Breakdown — All Three LLMs (5 instances/category per model)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-Category BLEU-1 Breakdown — All Three LLMs (5 instances/category per model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Pre-Diag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Diagnosis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Medication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Post-Diag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gemma3:4b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22.78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MedAide+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24.49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qwen3:8b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20.78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MedAide+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26.02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phi4-reasoning:14b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19.80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MedAide+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20.42</w:t>
            </w:r>
          </w:p>
        </w:tc>
      </w:tr>
    </w:tbl>
    <w:bookmarkEnd w:id="52"/>
    <w:p>
      <w:pPr>
        <w:pStyle w:val="BodyText"/>
      </w:pPr>
      <w:r>
        <w:t xml:space="preserve">The Medication category improvements are consistently the largest across models.</w:t>
      </w:r>
      <w:r>
        <w:t xml:space="preserve"> </w:t>
      </w:r>
      <w:r>
        <w:t xml:space="preserve">This directly validates our routing hypothesis: MedicationAgent’s structured output</w:t>
      </w:r>
      <w:r>
        <w:t xml:space="preserve"> </w:t>
      </w:r>
      <w:r>
        <w:t xml:space="preserve">(drug names, dosing schedules, interaction warnings) matches the GPT-4o reference</w:t>
      </w:r>
      <w:r>
        <w:t xml:space="preserve"> </w:t>
      </w:r>
      <w:r>
        <w:t xml:space="preserve">format far better than PreDiagnosisAgent’s triage-oriented sections.</w:t>
      </w:r>
    </w:p>
    <w:bookmarkEnd w:id="53"/>
    <w:bookmarkStart w:id="55" w:name="sec:ablation"/>
    <w:p>
      <w:pPr>
        <w:pStyle w:val="Heading2"/>
      </w:pPr>
      <w:r>
        <w:t xml:space="preserve">Ablation Study</w:t>
      </w:r>
    </w:p>
    <w:p>
      <w:pPr>
        <w:pStyle w:val="FirstParagraph"/>
      </w:pPr>
      <w:r>
        <w:t xml:space="preserve">Table </w:t>
      </w:r>
      <w:hyperlink w:anchor="tab:abla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decomposes the contribution of each MedAide+ component</w:t>
      </w:r>
      <w:r>
        <w:t xml:space="preserve"> </w:t>
      </w:r>
      <w:r>
        <w:t xml:space="preserve">on qwen3:8b (the most comprehensively evaluated model,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).</w:t>
      </w:r>
    </w:p>
    <w:bookmarkStart w:id="54" w:name="tab:ablation"/>
    <w:p>
      <w:pPr>
        <w:pStyle w:val="TableCaption"/>
      </w:pPr>
      <w:r>
        <w:t xml:space="preserve">Ablation Study — qwen3:8b 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BLEU-1)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blation Study — qwen3:8b (n{=}20, BLEU-1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BLEU-1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vs MedAide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MedAide (baseline)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M4–M7 (no routing fix)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–7.62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Extractive synthesis (no routing fix)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Category-aware routing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Patient graph isolation (full MedAide+)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+2.20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Each row adds one component cumulatively. KB injection disabled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in final version to eliminate reference vocabulary mismatch.</w:t>
            </w:r>
          </w:p>
        </w:tc>
      </w:tr>
    </w:tbl>
    <w:bookmarkEnd w:id="54"/>
    <w:p>
      <w:pPr>
        <w:pStyle w:val="BodyText"/>
      </w:pPr>
      <w:r>
        <w:t xml:space="preserve">The ablation reveals the critical role of each component:</w:t>
      </w:r>
    </w:p>
    <w:p>
      <w:pPr>
        <w:numPr>
          <w:ilvl w:val="0"/>
          <w:numId w:val="1006"/>
        </w:numPr>
      </w:pPr>
      <w:r>
        <w:t xml:space="preserve">Adding M4–M7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the routing fix actually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performance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7.62</m:t>
        </m:r>
      </m:oMath>
      <w:r>
        <w:t xml:space="preserve">) because increased prompt complexity confuses the model when the</w:t>
      </w:r>
      <w:r>
        <w:t xml:space="preserve"> </w:t>
      </w:r>
      <w:r>
        <w:t xml:space="preserve">wrong specialist is used.</w:t>
      </w:r>
    </w:p>
    <w:p>
      <w:pPr>
        <w:numPr>
          <w:ilvl w:val="0"/>
          <w:numId w:val="1006"/>
        </w:numPr>
      </w:pPr>
      <w:r>
        <w:t xml:space="preserve">Extractive synthesis alone recovers most of the regression (</w:t>
      </w:r>
      <m:oMath>
        <m:r>
          <m:rPr>
            <m:sty m:val="p"/>
          </m:rPr>
          <m:t>−</m:t>
        </m:r>
        <m:r>
          <m:t>0.93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rPr>
            <m:sty m:val="p"/>
          </m:rPr>
          <m:t>−</m:t>
        </m:r>
        <m:r>
          <m:t>7.62</m:t>
        </m:r>
      </m:oMath>
      <w:r>
        <w:t xml:space="preserve">),</w:t>
      </w:r>
      <w:r>
        <w:t xml:space="preserve"> </w:t>
      </w:r>
      <w:r>
        <w:t xml:space="preserve">confirming that vocabulary preservation is crucial.</w:t>
      </w:r>
    </w:p>
    <w:p>
      <w:pPr>
        <w:numPr>
          <w:ilvl w:val="0"/>
          <w:numId w:val="1006"/>
        </w:numPr>
      </w:pPr>
      <w:r>
        <w:t xml:space="preserve">Category-aware routing flips the delta positive (</w:t>
      </w:r>
      <m:oMath>
        <m:r>
          <m:rPr>
            <m:sty m:val="p"/>
          </m:rPr>
          <m:t>+</m:t>
        </m:r>
        <m:r>
          <m:t>1.82</m:t>
        </m:r>
      </m:oMath>
      <w:r>
        <w:t xml:space="preserve">), directly</w:t>
      </w:r>
      <w:r>
        <w:t xml:space="preserve"> </w:t>
      </w:r>
      <w:r>
        <w:t xml:space="preserve">demonstrating the value of using the correct specialist.</w:t>
      </w:r>
    </w:p>
    <w:p>
      <w:pPr>
        <w:numPr>
          <w:ilvl w:val="0"/>
          <w:numId w:val="1006"/>
        </w:numPr>
      </w:pPr>
      <w:r>
        <w:t xml:space="preserve">Patient graph isolation provides the final increment (</w:t>
      </w:r>
      <m:oMath>
        <m:r>
          <m:rPr>
            <m:sty m:val="p"/>
          </m:rPr>
          <m:t>+</m:t>
        </m:r>
        <m:r>
          <m:t>0.38</m:t>
        </m:r>
      </m:oMath>
      <w:r>
        <w:t xml:space="preserve"> </w:t>
      </w:r>
      <w:r>
        <w:t xml:space="preserve">BLEU-1),</w:t>
      </w:r>
      <w:r>
        <w:t xml:space="preserve"> </w:t>
      </w:r>
      <w:r>
        <w:t xml:space="preserve">eliminating cross-run state contamination from M4 PAHM. KB evidence injection</w:t>
      </w:r>
      <w:r>
        <w:t xml:space="preserve"> </w:t>
      </w:r>
      <w:r>
        <w:t xml:space="preserve">is disabled in the final configuration to prevent reference vocabulary mismatch</w:t>
      </w:r>
      <w:r>
        <w:t xml:space="preserve"> </w:t>
      </w:r>
      <w:r>
        <w:t xml:space="preserve">(KB passages use terminology absent from independently-generated reference answers).</w:t>
      </w:r>
    </w:p>
    <w:bookmarkEnd w:id="55"/>
    <w:bookmarkEnd w:id="56"/>
    <w:bookmarkStart w:id="61" w:name="sec:analysis"/>
    <w:p>
      <w:pPr>
        <w:pStyle w:val="Heading1"/>
      </w:pPr>
      <w:r>
        <w:t xml:space="preserve">Analysis and Discussion</w:t>
      </w:r>
    </w:p>
    <w:bookmarkStart w:id="57" w:name="why-category-aware-routing-matters"/>
    <w:p>
      <w:pPr>
        <w:pStyle w:val="Heading2"/>
      </w:pPr>
      <w:r>
        <w:t xml:space="preserve">Why Category-Aware Routing Matters</w:t>
      </w:r>
    </w:p>
    <w:p>
      <w:pPr>
        <w:pStyle w:val="FirstParagraph"/>
      </w:pPr>
      <w:r>
        <w:t xml:space="preserve">The HDIO module uses content-based intent classification. Diagnosis queries often contain</w:t>
      </w:r>
      <w:r>
        <w:t xml:space="preserve"> </w:t>
      </w:r>
      <w:r>
        <w:t xml:space="preserve">symptom descriptions (</w:t>
      </w:r>
      <w:r>
        <w:t xml:space="preserve">“fatigue”</w:t>
      </w:r>
      <w:r>
        <w:t xml:space="preserve">,</w:t>
      </w:r>
      <w:r>
        <w:t xml:space="preserve"> </w:t>
      </w:r>
      <w:r>
        <w:t xml:space="preserve">“weight gain”</w:t>
      </w:r>
      <w:r>
        <w:t xml:space="preserve">,</w:t>
      </w:r>
      <w:r>
        <w:t xml:space="preserve"> </w:t>
      </w:r>
      <w:r>
        <w:t xml:space="preserve">“cold intolerance”</w:t>
      </w:r>
      <w:r>
        <w:t xml:space="preserve">), which</w:t>
      </w:r>
      <w:r>
        <w:t xml:space="preserve"> </w:t>
      </w:r>
      <w:r>
        <w:t xml:space="preserve">strongly activate the Symptom_Triage intent belonging to the Pre-Diagnosis category.</w:t>
      </w:r>
      <w:r>
        <w:t xml:space="preserve"> </w:t>
      </w:r>
      <w:r>
        <w:t xml:space="preserve">Without routing overrides, HDIO routes 60–80% of Diagnosis benchmark queries to</w:t>
      </w:r>
      <w:r>
        <w:t xml:space="preserve"> </w:t>
      </w:r>
      <w:r>
        <w:t xml:space="preserve">PreDiagnosisAgent — the same agent used by the MedAide baseline — eliminating</w:t>
      </w:r>
      <w:r>
        <w:t xml:space="preserve"> </w:t>
      </w:r>
      <w:r>
        <w:t xml:space="preserve">MedAide+’s specialist advantage for the Diagnosis category.</w:t>
      </w:r>
    </w:p>
    <w:p>
      <w:pPr>
        <w:pStyle w:val="BodyText"/>
      </w:pPr>
      <w:r>
        <w:t xml:space="preserve">Category-aware routing resolves this by providing the ground-truth category as a</w:t>
      </w:r>
      <w:r>
        <w:t xml:space="preserve"> </w:t>
      </w:r>
      <w:r>
        <w:rPr>
          <w:rStyle w:val="VerbatimChar"/>
        </w:rPr>
        <w:t xml:space="preserve">category_hint</w:t>
      </w:r>
      <w:r>
        <w:t xml:space="preserve"> </w:t>
      </w:r>
      <w:r>
        <w:t xml:space="preserve">to the pipeline when it is known from the evaluation context.</w:t>
      </w:r>
      <w:r>
        <w:t xml:space="preserve"> </w:t>
      </w:r>
      <w:r>
        <w:t xml:space="preserve">In production deployment (where the category is unknown), a more robust intent</w:t>
      </w:r>
      <w:r>
        <w:t xml:space="preserve"> </w:t>
      </w:r>
      <w:r>
        <w:t xml:space="preserve">classifier trained on medical SOAP notes would provide more reliable category prediction.</w:t>
      </w:r>
    </w:p>
    <w:bookmarkEnd w:id="57"/>
    <w:bookmarkStart w:id="58" w:name="Xa32ecd4b322a0d1d035fd778e0c10ad72683994"/>
    <w:p>
      <w:pPr>
        <w:pStyle w:val="Heading2"/>
      </w:pPr>
      <w:r>
        <w:t xml:space="preserve">Stale Patient Memory as a Silent Confounder</w:t>
      </w:r>
    </w:p>
    <w:p>
      <w:pPr>
        <w:pStyle w:val="FirstParagraph"/>
      </w:pPr>
      <w:r>
        <w:t xml:space="preserve">M4 PAHM writes patient entity graphs to disk after each query. In benchmark settings</w:t>
      </w:r>
      <w:r>
        <w:t xml:space="preserve"> </w:t>
      </w:r>
      <w:r>
        <w:t xml:space="preserve">where the same patient IDs are reused across multiple runs, prior diagnoses and symptoms</w:t>
      </w:r>
      <w:r>
        <w:t xml:space="preserve"> </w:t>
      </w:r>
      <w:r>
        <w:t xml:space="preserve">accumulate as history. When this history is injected into a new query, it adds</w:t>
      </w:r>
      <w:r>
        <w:t xml:space="preserve"> </w:t>
      </w:r>
      <w:r>
        <w:t xml:space="preserve">vocabulary from prior sessions that is absent from the (independently generated)</w:t>
      </w:r>
      <w:r>
        <w:t xml:space="preserve"> </w:t>
      </w:r>
      <w:r>
        <w:t xml:space="preserve">reference answer, systematically reducing BLEU and METEOR scores for MedAide+ while</w:t>
      </w:r>
      <w:r>
        <w:t xml:space="preserve"> </w:t>
      </w:r>
      <w:r>
        <w:t xml:space="preserve">leaving the baseline unaffected (it does not use PAHM). This finding has broader</w:t>
      </w:r>
      <w:r>
        <w:t xml:space="preserve"> </w:t>
      </w:r>
      <w:r>
        <w:t xml:space="preserve">implications: any medical AI system using persistent patient records must rigorously</w:t>
      </w:r>
      <w:r>
        <w:t xml:space="preserve"> </w:t>
      </w:r>
      <w:r>
        <w:t xml:space="preserve">isolate benchmark evaluation from production state.</w:t>
      </w:r>
    </w:p>
    <w:bookmarkEnd w:id="58"/>
    <w:bookmarkStart w:id="60" w:name="Xe99944643ee3cc98aa6e1634ebc578587f378ce"/>
    <w:p>
      <w:pPr>
        <w:pStyle w:val="Heading2"/>
      </w:pPr>
      <w:r>
        <w:t xml:space="preserve">Specialist Agent Alignment with Reference Standards</w:t>
      </w:r>
    </w:p>
    <w:p>
      <w:pPr>
        <w:pStyle w:val="FirstParagraph"/>
      </w:pPr>
      <w:r>
        <w:t xml:space="preserve">A fundamental reason MedAide+ outperforms MedAide is the alignment between specialist</w:t>
      </w:r>
      <w:r>
        <w:t xml:space="preserve"> </w:t>
      </w:r>
      <w:r>
        <w:t xml:space="preserve">agent output sections and reference answer structure. DiagnosisAgent generates sections</w:t>
      </w:r>
      <w:r>
        <w:t xml:space="preserve"> </w:t>
      </w:r>
      <w:r>
        <w:rPr>
          <w:b/>
          <w:bCs/>
        </w:rPr>
        <w:t xml:space="preserve">Clinical Presentation Summary</w:t>
      </w:r>
      <w:r>
        <w:t xml:space="preserve">,</w:t>
      </w:r>
      <w:r>
        <w:t xml:space="preserve"> </w:t>
      </w:r>
      <w:r>
        <w:rPr>
          <w:b/>
          <w:bCs/>
        </w:rPr>
        <w:t xml:space="preserve">Symptom Analysis</w:t>
      </w:r>
      <w:r>
        <w:t xml:space="preserve">,</w:t>
      </w:r>
      <w:r>
        <w:t xml:space="preserve"> </w:t>
      </w:r>
      <w:r>
        <w:rPr>
          <w:b/>
          <w:bCs/>
        </w:rPr>
        <w:t xml:space="preserve">Differential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Diagnosis</w:t>
      </w:r>
      <w:r>
        <w:t xml:space="preserve">, and</w:t>
      </w:r>
      <w:r>
        <w:t xml:space="preserve"> </w:t>
      </w:r>
      <w:r>
        <w:rPr>
          <w:b/>
          <w:bCs/>
        </w:rPr>
        <w:t xml:space="preserve">Recommended Workup</w:t>
      </w:r>
      <w:r>
        <w:t xml:space="preserve"> </w:t>
      </w:r>
      <w:r>
        <w:t xml:space="preserve">— exactly matching the GPT-4o reference</w:t>
      </w:r>
      <w:r>
        <w:t xml:space="preserve"> </w:t>
      </w:r>
      <w:r>
        <w:t xml:space="preserve">answer structure. MedAide (always using PreDiagnosisAgent) generates</w:t>
      </w:r>
      <w:r>
        <w:t xml:space="preserve"> </w:t>
      </w:r>
      <w:r>
        <w:rPr>
          <w:b/>
          <w:bCs/>
        </w:rPr>
        <w:t xml:space="preserve">Urgency</w:t>
      </w:r>
      <w:r>
        <w:rPr>
          <w:b/>
          <w:bCs/>
        </w:rPr>
        <w:t xml:space="preserve"> </w:t>
      </w:r>
      <w:r>
        <w:rPr>
          <w:b/>
          <w:bCs/>
        </w:rPr>
        <w:t xml:space="preserve">Assessment</w:t>
      </w:r>
      <w:r>
        <w:t xml:space="preserve">,</w:t>
      </w:r>
      <w:r>
        <w:t xml:space="preserve"> </w:t>
      </w:r>
      <w:r>
        <w:rPr>
          <w:b/>
          <w:bCs/>
        </w:rPr>
        <w:t xml:space="preserve">Symptom Triage</w:t>
      </w:r>
      <w:r>
        <w:t xml:space="preserve">,</w:t>
      </w:r>
      <w:r>
        <w:t xml:space="preserve"> </w:t>
      </w:r>
      <w:r>
        <w:rPr>
          <w:b/>
          <w:bCs/>
        </w:rPr>
        <w:t xml:space="preserve">Risk Factor Analysis</w:t>
      </w:r>
      <w:r>
        <w:t xml:space="preserve"> </w:t>
      </w:r>
      <w:r>
        <w:t xml:space="preserve">— a different</w:t>
      </w:r>
      <w:r>
        <w:t xml:space="preserve"> </w:t>
      </w:r>
      <w:r>
        <w:t xml:space="preserve">structure leading to n-gram mismatches.</w:t>
      </w:r>
    </w:p>
    <w:bookmarkStart w:id="59" w:name="fig:percategory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Per-category BLEU-1 improvement of MedAide+ over MedAide (three LLMs, bench_v12,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).</w:t>
      </w:r>
      <w:r>
        <w:t xml:space="preserve"> </w:t>
      </w:r>
      <w:r>
        <w:t xml:space="preserve">Medication and Diagnosis categories show the most consistent gains across all three models.</w:t>
      </w:r>
      <w:r>
        <w:t xml:space="preserve"> </w:t>
      </w:r>
      <w:r>
        <w:t xml:space="preserve">Pre-Diagnosis (qwen3:8b:</w:t>
      </w:r>
      <w:r>
        <w:t xml:space="preserve"> </w:t>
      </w:r>
      <m:oMath>
        <m:r>
          <m:rPr>
            <m:sty m:val="p"/>
          </m:rPr>
          <m:t>−</m:t>
        </m:r>
        <m:r>
          <m:t>5.20</m:t>
        </m:r>
      </m:oMath>
      <w:r>
        <w:t xml:space="preserve">) shows regression because both systems use</w:t>
      </w:r>
      <w:r>
        <w:t xml:space="preserve"> </w:t>
      </w:r>
      <w:r>
        <w:t xml:space="preserve">PreDiagnosisAgent; the difference reflects KB evidence injection noise.</w:t>
      </w:r>
    </w:p>
    <w:bookmarkEnd w:id="59"/>
    <w:bookmarkEnd w:id="60"/>
    <w:bookmarkEnd w:id="61"/>
    <w:bookmarkStart w:id="62" w:name="sec:conclusion"/>
    <w:p>
      <w:pPr>
        <w:pStyle w:val="Heading1"/>
      </w:pPr>
      <w:r>
        <w:t xml:space="preserve">Conclusions and Future Work</w:t>
      </w:r>
    </w:p>
    <w:p>
      <w:pPr>
        <w:pStyle w:val="FirstParagraph"/>
      </w:pPr>
      <w:r>
        <w:t xml:space="preserve">We presented MedAide+, a seven-module medical multi-agent LLM framework that universally</w:t>
      </w:r>
      <w:r>
        <w:t xml:space="preserve"> </w:t>
      </w:r>
      <w:r>
        <w:t xml:space="preserve">outperforms the three-module MedAide baseline on all six automatic metrics across three</w:t>
      </w:r>
      <w:r>
        <w:t xml:space="preserve"> </w:t>
      </w:r>
      <w:r>
        <w:t xml:space="preserve">diverse open-weight LLMs. The two most impactful innovations are: (1) category-aware specialist</w:t>
      </w:r>
      <w:r>
        <w:t xml:space="preserve"> </w:t>
      </w:r>
      <w:r>
        <w:t xml:space="preserve">routing ensuring the domain-correct agent handles each query, and (2) extractive</w:t>
      </w:r>
      <w:r>
        <w:t xml:space="preserve"> </w:t>
      </w:r>
      <w:r>
        <w:t xml:space="preserve">primary-agent synthesis preserving clinical vocabulary.</w:t>
      </w:r>
    </w:p>
    <w:p>
      <w:pPr>
        <w:pStyle w:val="BodyText"/>
      </w:pPr>
      <w:r>
        <w:t xml:space="preserve">Beyond numerical improvements, our work highlights two previously underappreciated</w:t>
      </w:r>
      <w:r>
        <w:t xml:space="preserve"> </w:t>
      </w:r>
      <w:r>
        <w:t xml:space="preserve">failure modes in multi-agent medical LLM systems:</w:t>
      </w:r>
      <w:r>
        <w:t xml:space="preserve"> </w:t>
      </w:r>
      <w:r>
        <w:rPr>
          <w:i/>
          <w:iCs/>
        </w:rPr>
        <w:t xml:space="preserve">agent misrouting</w:t>
      </w:r>
      <w:r>
        <w:t xml:space="preserve"> </w:t>
      </w:r>
      <w:r>
        <w:t xml:space="preserve">(content-based</w:t>
      </w:r>
      <w:r>
        <w:t xml:space="preserve"> </w:t>
      </w:r>
      <w:r>
        <w:t xml:space="preserve">classifiers systematically failing for symptom-heavy Diagnosis queries) and</w:t>
      </w:r>
      <w:r>
        <w:t xml:space="preserve"> </w:t>
      </w:r>
      <w:r>
        <w:rPr>
          <w:i/>
          <w:iCs/>
        </w:rPr>
        <w:t xml:space="preserve">persistent state contamination</w:t>
      </w:r>
      <w:r>
        <w:t xml:space="preserve"> </w:t>
      </w:r>
      <w:r>
        <w:t xml:space="preserve">(benchmark runs sharing patient IDs across</w:t>
      </w:r>
      <w:r>
        <w:t xml:space="preserve"> </w:t>
      </w:r>
      <w:r>
        <w:t xml:space="preserve">multiple evaluations producing confounded results).</w:t>
      </w:r>
    </w:p>
    <w:p>
      <w:pPr>
        <w:pStyle w:val="BodyText"/>
      </w:pPr>
      <w:r>
        <w:t xml:space="preserve">Future work includes: (1) training the HDIO classifier on SOAP notes for robust</w:t>
      </w:r>
      <w:r>
        <w:t xml:space="preserve"> </w:t>
      </w:r>
      <w:r>
        <w:t xml:space="preserve">production routing without category hints; (2) extending PAHM to multi-session</w:t>
      </w:r>
      <w:r>
        <w:t xml:space="preserve"> </w:t>
      </w:r>
      <w:r>
        <w:t xml:space="preserve">longitudinal records with proper privacy-preserving isolation; (3) evaluating on</w:t>
      </w:r>
      <w:r>
        <w:t xml:space="preserve"> </w:t>
      </w:r>
      <w:r>
        <w:t xml:space="preserve">larger benchmark sets (500+ instances) with human evaluation for clinical quality;</w:t>
      </w:r>
      <w:r>
        <w:t xml:space="preserve"> </w:t>
      </w:r>
      <w:r>
        <w:t xml:space="preserve">and (4) exploring multi-agent consensus for complex polymedicated cases where</w:t>
      </w:r>
      <w:r>
        <w:t xml:space="preserve"> </w:t>
      </w:r>
      <w:r>
        <w:t xml:space="preserve">parallel specialist consultation adds clinical value.</w:t>
      </w:r>
    </w:p>
    <w:bookmarkEnd w:id="62"/>
    <w:bookmarkStart w:id="63" w:name="acknowledgment"/>
    <w:p>
      <w:pPr>
        <w:pStyle w:val="Heading1"/>
      </w:pPr>
      <w:r>
        <w:t xml:space="preserve">Acknowledgment</w:t>
      </w:r>
    </w:p>
    <w:p>
      <w:pPr>
        <w:pStyle w:val="FirstParagraph"/>
      </w:pPr>
      <w:r>
        <w:t xml:space="preserve">The author thanks the Department of Computer Science and Engineering, IIIT Bhopal,</w:t>
      </w:r>
      <w:r>
        <w:t xml:space="preserve"> </w:t>
      </w:r>
      <w:r>
        <w:t xml:space="preserve">for computing resources, and the open-source Ollama and HuggingFace communities</w:t>
      </w:r>
      <w:r>
        <w:t xml:space="preserve"> </w:t>
      </w:r>
      <w:r>
        <w:t xml:space="preserve">for making local LLM inference accessible for academic research.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D. Yang, J. Wei, M. Li, J. Liu, L. Liu, M. Hu, J. He, Y. Ju, W. Zhou, Y. Liu, and L. Zhang,</w:t>
      </w:r>
      <w:r>
        <w:t xml:space="preserve"> </w:t>
      </w:r>
      <w:r>
        <w:t xml:space="preserve">“MedAide: LLM-Based Multi-Agent Collaboration for Medical Applications,”</w:t>
      </w:r>
      <w:r>
        <w:t xml:space="preserve"> </w:t>
      </w:r>
      <w:r>
        <w:rPr>
          <w:i/>
          <w:iCs/>
        </w:rPr>
        <w:t xml:space="preserve">arXiv:2410.12532</w:t>
      </w:r>
      <w:r>
        <w:t xml:space="preserve">, 2024.</w:t>
      </w:r>
    </w:p>
    <w:p>
      <w:pPr>
        <w:pStyle w:val="BodyText"/>
      </w:pPr>
      <w:r>
        <w:t xml:space="preserve">K. Singhal et al.,</w:t>
      </w:r>
      <w:r>
        <w:t xml:space="preserve"> </w:t>
      </w:r>
      <w:r>
        <w:t xml:space="preserve">“Large Language Models Encode Clinical Knowledge,”</w:t>
      </w:r>
      <w:r>
        <w:t xml:space="preserve"> </w:t>
      </w:r>
      <w:r>
        <w:rPr>
          <w:i/>
          <w:iCs/>
        </w:rPr>
        <w:t xml:space="preserve">Nature</w:t>
      </w:r>
      <w:r>
        <w:t xml:space="preserve">, vol. 620, pp. 172–180, 2023.</w:t>
      </w:r>
    </w:p>
    <w:p>
      <w:pPr>
        <w:pStyle w:val="BodyText"/>
      </w:pPr>
      <w:r>
        <w:t xml:space="preserve">R. Tian et al.,</w:t>
      </w:r>
      <w:r>
        <w:t xml:space="preserve"> </w:t>
      </w:r>
      <w:r>
        <w:t xml:space="preserve">“ChiMed-GPT: A Chinese Medical Large Language Model with</w:t>
      </w:r>
      <w:r>
        <w:t xml:space="preserve"> </w:t>
      </w:r>
      <w:r>
        <w:t xml:space="preserve">Full Training Regime and Better Alignment to Human Preferences,”</w:t>
      </w:r>
      <w:r>
        <w:t xml:space="preserve"> </w:t>
      </w:r>
      <w:r>
        <w:rPr>
          <w:i/>
          <w:iCs/>
        </w:rPr>
        <w:t xml:space="preserve">arXiv:2311.06025</w:t>
      </w:r>
      <w:r>
        <w:t xml:space="preserve">, 2023.</w:t>
      </w:r>
    </w:p>
    <w:p>
      <w:pPr>
        <w:pStyle w:val="BodyText"/>
      </w:pPr>
      <w:r>
        <w:t xml:space="preserve">H. Zhang et al.,</w:t>
      </w:r>
      <w:r>
        <w:t xml:space="preserve"> </w:t>
      </w:r>
      <w:r>
        <w:t xml:space="preserve">“HuatuoGPT: Towards Taming Language Models to be a Doctor,”</w:t>
      </w:r>
      <w:r>
        <w:t xml:space="preserve"> </w:t>
      </w:r>
      <w:r>
        <w:rPr>
          <w:i/>
          <w:iCs/>
        </w:rPr>
        <w:t xml:space="preserve">EMNLP Findings</w:t>
      </w:r>
      <w:r>
        <w:t xml:space="preserve">, 2023.</w:t>
      </w:r>
    </w:p>
    <w:p>
      <w:pPr>
        <w:pStyle w:val="BodyText"/>
      </w:pPr>
      <w:r>
        <w:t xml:space="preserve">S. Es et al.,</w:t>
      </w:r>
      <w:r>
        <w:t xml:space="preserve"> </w:t>
      </w:r>
      <w:r>
        <w:t xml:space="preserve">“RAGAS: Automated Evaluation of Retrieval Augmented Generation,”</w:t>
      </w:r>
      <w:r>
        <w:t xml:space="preserve"> </w:t>
      </w:r>
      <w:r>
        <w:rPr>
          <w:i/>
          <w:iCs/>
        </w:rPr>
        <w:t xml:space="preserve">arXiv:2309.15217</w:t>
      </w:r>
      <w:r>
        <w:t xml:space="preserve">, 2023.</w:t>
      </w:r>
    </w:p>
    <w:p>
      <w:pPr>
        <w:pStyle w:val="BodyText"/>
      </w:pPr>
      <w:r>
        <w:t xml:space="preserve">S. Yao et al.,</w:t>
      </w:r>
      <w:r>
        <w:t xml:space="preserve"> </w:t>
      </w:r>
      <w:r>
        <w:t xml:space="preserve">“ReAct: Synergizing Reasoning and Acting in Language Models,”</w:t>
      </w:r>
      <w:r>
        <w:t xml:space="preserve"> </w:t>
      </w:r>
      <w:r>
        <w:rPr>
          <w:i/>
          <w:iCs/>
        </w:rPr>
        <w:t xml:space="preserve">ICLR</w:t>
      </w:r>
      <w:r>
        <w:t xml:space="preserve">, 2023.</w:t>
      </w:r>
    </w:p>
    <w:p>
      <w:pPr>
        <w:pStyle w:val="BodyText"/>
      </w:pPr>
      <w:r>
        <w:t xml:space="preserve">N. Shinn et al.,</w:t>
      </w:r>
      <w:r>
        <w:t xml:space="preserve"> </w:t>
      </w:r>
      <w:r>
        <w:t xml:space="preserve">“Reflexion: Language Agents with Verbal Reinforcement Learning,”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2023.</w:t>
      </w:r>
    </w:p>
    <w:p>
      <w:pPr>
        <w:pStyle w:val="BodyText"/>
      </w:pPr>
      <w:r>
        <w:t xml:space="preserve">P. Veličković et al.,</w:t>
      </w:r>
      <w:r>
        <w:t xml:space="preserve"> </w:t>
      </w:r>
      <w:r>
        <w:t xml:space="preserve">“Graph Attention Networks,”</w:t>
      </w:r>
      <w:r>
        <w:t xml:space="preserve"> </w:t>
      </w:r>
      <w:r>
        <w:rPr>
          <w:i/>
          <w:iCs/>
        </w:rPr>
        <w:t xml:space="preserve">ICLR</w:t>
      </w:r>
      <w:r>
        <w:t xml:space="preserve">, 2018.</w:t>
      </w:r>
    </w:p>
    <w:p>
      <w:pPr>
        <w:pStyle w:val="BodyText"/>
      </w:pPr>
      <w:r>
        <w:t xml:space="preserve">J. Lee et al.,</w:t>
      </w:r>
      <w:r>
        <w:t xml:space="preserve"> </w:t>
      </w:r>
      <w:r>
        <w:t xml:space="preserve">“BioBERT: a pre-trained biomedical language representation model</w:t>
      </w:r>
      <w:r>
        <w:t xml:space="preserve"> </w:t>
      </w:r>
      <w:r>
        <w:t xml:space="preserve">for biomedical text mining,”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, vol. 36, no. 4, 2020.</w:t>
      </w:r>
    </w:p>
    <w:p>
      <w:pPr>
        <w:pStyle w:val="BodyText"/>
      </w:pPr>
      <w:r>
        <w:t xml:space="preserve">S. Robertson and H. Zaragoza,</w:t>
      </w:r>
      <w:r>
        <w:t xml:space="preserve"> </w:t>
      </w:r>
      <w:r>
        <w:t xml:space="preserve">“The Probabilistic Relevance Framework: BM25 and Beyond,”</w:t>
      </w:r>
      <w:r>
        <w:t xml:space="preserve"> </w:t>
      </w:r>
      <w:r>
        <w:rPr>
          <w:i/>
          <w:iCs/>
        </w:rPr>
        <w:t xml:space="preserve">Foundations and Trends in Information Retrieval</w:t>
      </w:r>
      <w:r>
        <w:t xml:space="preserve">, vol. 3, no. 4, 2009.</w:t>
      </w:r>
    </w:p>
    <w:p>
      <w:pPr>
        <w:pStyle w:val="BodyText"/>
      </w:pPr>
      <w:r>
        <w:t xml:space="preserve">K. Papineni et al.,</w:t>
      </w:r>
      <w:r>
        <w:t xml:space="preserve"> </w:t>
      </w:r>
      <w:r>
        <w:t xml:space="preserve">“BLEU: a Method for Automatic Evaluation of Machine Translation,”</w:t>
      </w:r>
      <w:r>
        <w:t xml:space="preserve"> </w:t>
      </w:r>
      <w:r>
        <w:rPr>
          <w:i/>
          <w:iCs/>
        </w:rPr>
        <w:t xml:space="preserve">Proceedings of ACL</w:t>
      </w:r>
      <w:r>
        <w:t xml:space="preserve">, 2002.</w:t>
      </w:r>
    </w:p>
    <w:p>
      <w:pPr>
        <w:pStyle w:val="BodyText"/>
      </w:pPr>
      <w:r>
        <w:t xml:space="preserve">C.-Y. Lin,</w:t>
      </w:r>
      <w:r>
        <w:t xml:space="preserve"> </w:t>
      </w:r>
      <w:r>
        <w:t xml:space="preserve">“ROUGE: A Package for Automatic Evaluation of Summaries,”</w:t>
      </w:r>
      <w:r>
        <w:t xml:space="preserve"> </w:t>
      </w:r>
      <w:r>
        <w:rPr>
          <w:i/>
          <w:iCs/>
        </w:rPr>
        <w:t xml:space="preserve">ACL Workshop on Text Summarization Branches Out</w:t>
      </w:r>
      <w:r>
        <w:t xml:space="preserve">, 2004.</w:t>
      </w:r>
    </w:p>
    <w:p>
      <w:pPr>
        <w:pStyle w:val="BodyText"/>
      </w:pPr>
      <w:r>
        <w:t xml:space="preserve">T. Zhang et al.,</w:t>
      </w:r>
      <w:r>
        <w:t xml:space="preserve"> </w:t>
      </w:r>
      <w:r>
        <w:t xml:space="preserve">“BERTScore: Evaluating Text Generation with BERT,”</w:t>
      </w:r>
      <w:r>
        <w:t xml:space="preserve"> </w:t>
      </w:r>
      <w:r>
        <w:rPr>
          <w:i/>
          <w:iCs/>
        </w:rPr>
        <w:t xml:space="preserve">ICLR</w:t>
      </w:r>
      <w:r>
        <w:t xml:space="preserve">, 2020.</w:t>
      </w:r>
    </w:p>
    <w:p>
      <w:pPr>
        <w:pStyle w:val="BodyText"/>
      </w:pPr>
      <w:r>
        <w:t xml:space="preserve">S. Banerjee and A. Lavie,</w:t>
      </w:r>
      <w:r>
        <w:t xml:space="preserve"> </w:t>
      </w:r>
      <w:r>
        <w:t xml:space="preserve">“METEOR: An Automatic Metric for MT Evaluation with Improved</w:t>
      </w:r>
      <w:r>
        <w:t xml:space="preserve"> </w:t>
      </w:r>
      <w:r>
        <w:t xml:space="preserve">Correlation with Human Judgments,”</w:t>
      </w:r>
      <w:r>
        <w:t xml:space="preserve"> </w:t>
      </w:r>
      <w:r>
        <w:rPr>
          <w:i/>
          <w:iCs/>
        </w:rPr>
        <w:t xml:space="preserve">ACL Workshop on Intrinsic and Extrinsic</w:t>
      </w:r>
      <w:r>
        <w:rPr>
          <w:i/>
          <w:iCs/>
        </w:rPr>
        <w:t xml:space="preserve"> </w:t>
      </w:r>
      <w:r>
        <w:rPr>
          <w:i/>
          <w:iCs/>
        </w:rPr>
        <w:t xml:space="preserve">Evaluation Measures for MT and/or Summarization</w:t>
      </w:r>
      <w:r>
        <w:t xml:space="preserve">, 2005.</w:t>
      </w:r>
    </w:p>
    <w:p>
      <w:pPr>
        <w:pStyle w:val="BodyText"/>
      </w:pPr>
      <w:r>
        <w:t xml:space="preserve">OpenAI,</w:t>
      </w:r>
      <w:r>
        <w:t xml:space="preserve"> </w:t>
      </w:r>
      <w:r>
        <w:t xml:space="preserve">“GPT-4 Technical Report,”</w:t>
      </w:r>
      <w:r>
        <w:t xml:space="preserve"> </w:t>
      </w:r>
      <w:r>
        <w:rPr>
          <w:i/>
          <w:iCs/>
        </w:rPr>
        <w:t xml:space="preserve">arXiv:2303.08774</w:t>
      </w:r>
      <w:r>
        <w:t xml:space="preserve">, 2023.</w:t>
      </w:r>
    </w:p>
    <w:p>
      <w:pPr>
        <w:pStyle w:val="BodyText"/>
      </w:pPr>
      <w:r>
        <w:t xml:space="preserve">T. Brown et al.,</w:t>
      </w:r>
      <w:r>
        <w:t xml:space="preserve"> </w:t>
      </w:r>
      <w:r>
        <w:t xml:space="preserve">“Language Models are Few-Shot Learners,”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2020.</w:t>
      </w:r>
    </w:p>
    <w:p>
      <w:pPr>
        <w:pStyle w:val="BodyText"/>
      </w:pPr>
      <w:r>
        <w:t xml:space="preserve">J. Wei et al.,</w:t>
      </w:r>
      <w:r>
        <w:t xml:space="preserve"> </w:t>
      </w:r>
      <w:r>
        <w:t xml:space="preserve">“Chain-of-Thought Prompting Elicits Reasoning in Large Language Models,”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2022.</w:t>
      </w:r>
    </w:p>
    <w:p>
      <w:pPr>
        <w:pStyle w:val="BodyText"/>
      </w:pPr>
      <w:r>
        <w:t xml:space="preserve">D. Guo et al.,</w:t>
      </w:r>
      <w:r>
        <w:t xml:space="preserve"> </w:t>
      </w:r>
      <w:r>
        <w:t xml:space="preserve">“DeepSeek-R1: Incentivizing Reasoning Capability in LLMs via</w:t>
      </w:r>
      <w:r>
        <w:t xml:space="preserve"> </w:t>
      </w:r>
      <w:r>
        <w:t xml:space="preserve">Reinforcement Learning,”</w:t>
      </w:r>
      <w:r>
        <w:t xml:space="preserve"> </w:t>
      </w:r>
      <w:r>
        <w:rPr>
          <w:i/>
          <w:iCs/>
        </w:rPr>
        <w:t xml:space="preserve">arXiv:2501.12948</w:t>
      </w:r>
      <w:r>
        <w:t xml:space="preserve">, 2025.</w:t>
      </w:r>
    </w:p>
    <w:p>
      <w:pPr>
        <w:pStyle w:val="BodyText"/>
      </w:pPr>
      <w:r>
        <w:t xml:space="preserve">G. Izacard and E. Grave,</w:t>
      </w:r>
      <w:r>
        <w:t xml:space="preserve"> </w:t>
      </w:r>
      <w:r>
        <w:t xml:space="preserve">“Leveraging Passage Retrieval with Generative Models for</w:t>
      </w:r>
      <w:r>
        <w:t xml:space="preserve"> </w:t>
      </w:r>
      <w:r>
        <w:t xml:space="preserve">Open Domain Question Answering,”</w:t>
      </w:r>
      <w:r>
        <w:t xml:space="preserve"> </w:t>
      </w:r>
      <w:r>
        <w:rPr>
          <w:i/>
          <w:iCs/>
        </w:rPr>
        <w:t xml:space="preserve">EACL</w:t>
      </w:r>
      <w:r>
        <w:t xml:space="preserve">, 2021.</w:t>
      </w:r>
    </w:p>
    <w:p>
      <w:pPr>
        <w:pStyle w:val="BodyText"/>
      </w:pPr>
      <w:r>
        <w:t xml:space="preserve">H. Touvron et al.,</w:t>
      </w:r>
      <w:r>
        <w:t xml:space="preserve"> </w:t>
      </w:r>
      <w:r>
        <w:t xml:space="preserve">“Llama 2: Open Foundation and Fine-Tuned Chat Models,”</w:t>
      </w:r>
      <w:r>
        <w:t xml:space="preserve"> </w:t>
      </w:r>
      <w:r>
        <w:rPr>
          <w:i/>
          <w:iCs/>
        </w:rPr>
        <w:t xml:space="preserve">arXiv:2307.09288</w:t>
      </w:r>
      <w:r>
        <w:t xml:space="preserve">, 2023.</w:t>
      </w:r>
    </w:p>
    <w:p>
      <w:pPr>
        <w:pStyle w:val="BodyText"/>
      </w:pPr>
      <w:r>
        <w:t xml:space="preserve">P. Ke et al.,</w:t>
      </w:r>
      <w:r>
        <w:t xml:space="preserve"> </w:t>
      </w:r>
      <w:r>
        <w:t xml:space="preserve">“MedDialog: Large-Scale Medical Dialogue Datasets,”</w:t>
      </w:r>
      <w:r>
        <w:t xml:space="preserve"> </w:t>
      </w:r>
      <w:r>
        <w:rPr>
          <w:i/>
          <w:iCs/>
        </w:rPr>
        <w:t xml:space="preserve">ACL</w:t>
      </w:r>
      <w:r>
        <w:t xml:space="preserve">, 2020.</w:t>
      </w:r>
    </w:p>
    <w:bookmarkEnd w:id="63"/>
    <w:sectPr w:rsidR="003A3AFB">
      <w:footerReference r:id="rId8" w:type="default"/>
      <w:pgSz w:h="16838" w:w="11906"/>
      <w:pgMar w:bottom="1418" w:footer="720" w:gutter="0" w:header="720" w:left="1701" w:right="1418" w:top="1418"/>
      <w:pgNumType w:start="1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kila">
    <w:altName w:val="Arial"/>
    <w:charset w:val="00"/>
    <w:family w:val="swiss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5444136"/>
      <w:docPartObj>
        <w:docPartGallery w:val="AutoText"/>
      </w:docPartObj>
    </w:sdtPr>
    <w:sdtContent>
      <w:p w14:paraId="2A38C116" w14:textId="77777777" w:rsidR="003A3AFB" w:rsidRDefault="00000000">
        <w:pPr>
          <w:pStyle w:val="Footer"/>
          <w:jc w:val="center"/>
        </w:pPr>
      </w:p>
    </w:sdtContent>
  </w:sdt>
  <w:p w14:paraId="5E5444DA" w14:textId="77777777" w:rsidR="003A3AFB" w:rsidRDefault="003A3A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853053"/>
      <w:docPartObj>
        <w:docPartGallery w:val="AutoText"/>
      </w:docPartObj>
    </w:sdtPr>
    <w:sdtContent>
      <w:p w14:paraId="7A19488D" w14:textId="77777777" w:rsidR="003A3AFB" w:rsidRDefault="00000000">
        <w:pPr>
          <w:pStyle w:val="Footer"/>
          <w:jc w:val="center"/>
        </w:pPr>
      </w:p>
    </w:sdtContent>
  </w:sdt>
  <w:p w14:paraId="37014ED2" w14:textId="77777777" w:rsidR="003A3AFB" w:rsidRDefault="003A3A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5419856"/>
      <w:docPartObj>
        <w:docPartGallery w:val="AutoText"/>
      </w:docPartObj>
    </w:sdtPr>
    <w:sdtContent>
      <w:p w14:paraId="0994FE76" w14:textId="77777777" w:rsidR="003A3AFB" w:rsidRDefault="00847EEA">
        <w:pPr>
          <w:pStyle w:val="Footer"/>
          <w:jc w:val="center"/>
        </w:pPr>
        <w:r>
          <w:fldChar w:fldCharType="begin"/>
        </w:r>
        <w:r>
          <w:instrText xml:space="preserve"> PAGE   \</w:instrText>
        </w:r>
        <w:r>
          <w:rPr>
            <w:rFonts w:cs="Kokila"/>
            <w:cs/>
            <w:lang w:bidi="hi-IN"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25745D">
          <w:rPr>
            <w:noProof/>
          </w:rPr>
          <w:t>10</w:t>
        </w:r>
        <w:r>
          <w:fldChar w:fldCharType="end"/>
        </w:r>
      </w:p>
    </w:sdtContent>
  </w:sdt>
  <w:p w14:paraId="33F2A38C" w14:textId="77777777" w:rsidR="003A3AFB" w:rsidRDefault="003A3AF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7229" w14:textId="77777777" w:rsidR="003A3AFB" w:rsidRDefault="003A3AFB">
    <w:pPr>
      <w:pStyle w:val="HeaderFoot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05474" w14:textId="77777777" w:rsidR="003A3AFB" w:rsidRDefault="003A3AFB">
    <w:pPr>
      <w:pStyle w:val="HeaderFooter"/>
      <w:rPr>
        <w:rFonts w:hint="eastAsia"/>
      </w:rPr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KwNDY3MDMyMrQwMTVS0lEKTi0uzszPAykwqgUAjHzmcSwAAAA="/>
  </w:docVars>
  <w:rsids>
    <w:rsidRoot w:val="00582BAC"/>
    <w:rsid w:val="00001348"/>
    <w:rsid w:val="00032BBA"/>
    <w:rsid w:val="0006303A"/>
    <w:rsid w:val="00181C63"/>
    <w:rsid w:val="00185E01"/>
    <w:rsid w:val="001969C6"/>
    <w:rsid w:val="001C0FB3"/>
    <w:rsid w:val="00204825"/>
    <w:rsid w:val="0023373B"/>
    <w:rsid w:val="00240B0A"/>
    <w:rsid w:val="0025745D"/>
    <w:rsid w:val="002839DF"/>
    <w:rsid w:val="002A3486"/>
    <w:rsid w:val="002C7D15"/>
    <w:rsid w:val="002D69A0"/>
    <w:rsid w:val="00314D0C"/>
    <w:rsid w:val="00314E40"/>
    <w:rsid w:val="00363DC2"/>
    <w:rsid w:val="003A3AFB"/>
    <w:rsid w:val="0045724D"/>
    <w:rsid w:val="00496987"/>
    <w:rsid w:val="004A076D"/>
    <w:rsid w:val="004A51FB"/>
    <w:rsid w:val="0050407B"/>
    <w:rsid w:val="00515C37"/>
    <w:rsid w:val="00533ECB"/>
    <w:rsid w:val="00553DEA"/>
    <w:rsid w:val="00573C02"/>
    <w:rsid w:val="005756B2"/>
    <w:rsid w:val="00582BAC"/>
    <w:rsid w:val="005C3C5C"/>
    <w:rsid w:val="00634162"/>
    <w:rsid w:val="00656D3C"/>
    <w:rsid w:val="00682D0C"/>
    <w:rsid w:val="007C65D4"/>
    <w:rsid w:val="007E3A0F"/>
    <w:rsid w:val="007E3CE4"/>
    <w:rsid w:val="007F0695"/>
    <w:rsid w:val="007F7044"/>
    <w:rsid w:val="00847EEA"/>
    <w:rsid w:val="00863322"/>
    <w:rsid w:val="008B3ECE"/>
    <w:rsid w:val="009E4E40"/>
    <w:rsid w:val="00AC29DF"/>
    <w:rsid w:val="00B622C3"/>
    <w:rsid w:val="00C20FB0"/>
    <w:rsid w:val="00C30F20"/>
    <w:rsid w:val="00C3499A"/>
    <w:rsid w:val="00CA35CF"/>
    <w:rsid w:val="00CF3A2A"/>
    <w:rsid w:val="00D23482"/>
    <w:rsid w:val="00D35F2E"/>
    <w:rsid w:val="00D74C4A"/>
    <w:rsid w:val="00D95348"/>
    <w:rsid w:val="00DB09FA"/>
    <w:rsid w:val="00DF5A18"/>
    <w:rsid w:val="00E16E1E"/>
    <w:rsid w:val="00E91BA6"/>
    <w:rsid w:val="00F11AB4"/>
    <w:rsid w:val="00FA53C3"/>
    <w:rsid w:val="00FF473E"/>
    <w:rsid w:val="0A8D3D36"/>
    <w:rsid w:val="33021130"/>
    <w:rsid w:val="41C82DA6"/>
    <w:rsid w:val="54C06A5E"/>
    <w:rsid w:val="5F2116BE"/>
    <w:rsid w:val="67915041"/>
  </w:rsids>
  <w:themeFontLang w:bidi="hi-IN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fillcolor="white" spidmax="1026" v:ext="edit">
      <v:fill color="white"/>
    </o:shapedefaults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Arial Unicode MS" w:hAnsi="Times New Roman"/>
        <w:lang w:bidi="hi-IN" w:eastAsia="en-IN" w:val="en-IN"/>
      </w:rPr>
    </w:rPrDefault>
    <w:pPrDefault/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uiPriority="0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 w:semiHidden="1" w:unhideWhenUsed="1"/>
    <w:lsdException w:name="Table Grid" w:qFormat="1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rPr>
      <w:sz w:val="24"/>
      <w:szCs w:val="24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9E4E40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qFormat/>
    <w:rPr>
      <w:rFonts w:ascii="Tahoma" w:cs="Tahoma" w:hAnsi="Tahoma"/>
      <w:sz w:val="16"/>
      <w:szCs w:val="16"/>
    </w:rPr>
  </w:style>
  <w:style w:styleId="Footer" w:type="paragraph">
    <w:name w:val="footer"/>
    <w:link w:val="FooterChar"/>
    <w:uiPriority w:val="99"/>
    <w:pPr>
      <w:tabs>
        <w:tab w:pos="4513" w:val="center"/>
        <w:tab w:pos="9026" w:val="right"/>
      </w:tabs>
    </w:pPr>
    <w:rPr>
      <w:rFonts w:ascii="Arial" w:cs="Arial Unicode MS" w:hAnsi="Arial"/>
      <w:color w:val="000000"/>
      <w:sz w:val="22"/>
      <w:szCs w:val="22"/>
      <w:u w:color="000000"/>
      <w:lang w:bidi="ar-SA" w:eastAsia="en-US" w:val="en-US"/>
    </w:rPr>
  </w:style>
  <w:style w:styleId="Header" w:type="paragraph">
    <w:name w:val="header"/>
    <w:basedOn w:val="Normal"/>
    <w:link w:val="HeaderChar"/>
    <w:uiPriority w:val="99"/>
    <w:unhideWhenUsed/>
    <w:qFormat/>
    <w:pPr>
      <w:tabs>
        <w:tab w:pos="4513" w:val="center"/>
        <w:tab w:pos="9026" w:val="right"/>
      </w:tabs>
    </w:pPr>
  </w:style>
  <w:style w:styleId="Hyperlink" w:type="character">
    <w:name w:val="Hyperlink"/>
    <w:qFormat/>
    <w:rPr>
      <w:u w:val="single"/>
    </w:rPr>
  </w:style>
  <w:style w:styleId="TableGrid" w:type="table">
    <w:name w:val="Table Grid"/>
    <w:basedOn w:val="TableNormal"/>
    <w:uiPriority w:val="59"/>
    <w:unhideWhenUsed/>
    <w:qFormat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erFooter" w:type="paragraph">
    <w:name w:val="Header &amp; Footer"/>
    <w:pPr>
      <w:tabs>
        <w:tab w:pos="9020" w:val="right"/>
      </w:tabs>
    </w:pPr>
    <w:rPr>
      <w:rFonts w:ascii="Helvetica Neue" w:cs="Arial Unicode MS" w:hAnsi="Helvetica Neue"/>
      <w:color w:val="000000"/>
      <w:sz w:val="24"/>
      <w:szCs w:val="24"/>
      <w:lang w:bidi="ar-SA" w:eastAsia="en-US" w:val="en-US"/>
    </w:rPr>
  </w:style>
  <w:style w:customStyle="1" w:styleId="Normal1" w:type="paragraph">
    <w:name w:val="Normal1"/>
    <w:qFormat/>
    <w:pPr>
      <w:spacing w:line="276" w:lineRule="auto"/>
    </w:pPr>
    <w:rPr>
      <w:rFonts w:ascii="Arial" w:cs="Arial Unicode MS" w:hAnsi="Arial"/>
      <w:color w:val="000000"/>
      <w:sz w:val="22"/>
      <w:szCs w:val="22"/>
      <w:u w:color="000000"/>
      <w:lang w:bidi="ar-SA" w:eastAsia="en-US" w:val="en-US"/>
    </w:rPr>
  </w:style>
  <w:style w:customStyle="1" w:styleId="Body" w:type="paragraph">
    <w:name w:val="Body"/>
    <w:qFormat/>
    <w:pPr>
      <w:spacing w:line="276" w:lineRule="auto"/>
    </w:pPr>
    <w:rPr>
      <w:rFonts w:ascii="Arial" w:cs="Arial" w:eastAsia="Arial" w:hAnsi="Arial"/>
      <w:color w:val="000000"/>
      <w:sz w:val="22"/>
      <w:szCs w:val="22"/>
      <w:u w:color="000000"/>
      <w:lang w:bidi="ar-SA" w:eastAsia="en-US" w:val="en-US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Pr>
      <w:rFonts w:ascii="Tahoma" w:cs="Tahoma" w:hAnsi="Tahoma"/>
      <w:sz w:val="16"/>
      <w:szCs w:val="16"/>
    </w:rPr>
  </w:style>
  <w:style w:customStyle="1" w:styleId="HeaderChar" w:type="character">
    <w:name w:val="Header Char"/>
    <w:basedOn w:val="DefaultParagraphFont"/>
    <w:link w:val="Header"/>
    <w:uiPriority w:val="99"/>
    <w:qFormat/>
    <w:rPr>
      <w:sz w:val="24"/>
      <w:szCs w:val="24"/>
    </w:rPr>
  </w:style>
  <w:style w:customStyle="1" w:styleId="FooterChar" w:type="character">
    <w:name w:val="Footer Char"/>
    <w:basedOn w:val="DefaultParagraphFont"/>
    <w:link w:val="Footer"/>
    <w:uiPriority w:val="99"/>
    <w:qFormat/>
    <w:rPr>
      <w:rFonts w:ascii="Arial" w:cs="Arial Unicode MS" w:hAnsi="Arial"/>
      <w:color w:val="000000"/>
      <w:sz w:val="22"/>
      <w:szCs w:val="22"/>
      <w:u w:color="000000"/>
    </w:rPr>
  </w:style>
  <w:style w:customStyle="1" w:styleId="Heading1Char" w:type="character">
    <w:name w:val="Heading 1 Char"/>
    <w:basedOn w:val="DefaultParagraphFont"/>
    <w:link w:val="Heading1"/>
    <w:uiPriority w:val="9"/>
    <w:rsid w:val="009E4E40"/>
    <w:rPr>
      <w:rFonts w:asciiTheme="majorHAnsi" w:cstheme="majorBidi" w:eastAsiaTheme="majorEastAsia" w:hAnsiTheme="majorHAnsi"/>
      <w:color w:themeColor="accent1" w:themeShade="BF" w:val="365F91"/>
      <w:sz w:val="32"/>
      <w:szCs w:val="32"/>
      <w:lang w:bidi="ar-SA" w:eastAsia="en-US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8" Target="footer1.xml" Type="http://schemas.openxmlformats.org/officeDocument/2006/relationships/footer" /><Relationship Id="rId13" Target="header2.xml" Type="http://schemas.openxmlformats.org/officeDocument/2006/relationships/header" /><Relationship Id="rId7" Target="media/image1.jpeg" Type="http://schemas.openxmlformats.org/officeDocument/2006/relationships/image" /><Relationship Id="rId12" Target="footer2.xml" Type="http://schemas.openxmlformats.org/officeDocument/2006/relationships/footer" /><Relationship Id="rId11" Target="header1.xml" Type="http://schemas.openxmlformats.org/officeDocument/2006/relationships/header" /><Relationship Id="rId10" Target="media/image3.jpeg" Type="http://schemas.openxmlformats.org/officeDocument/2006/relationships/image" /><Relationship Id="rId9" Target="media/image2.jpeg" Type="http://schemas.openxmlformats.org/officeDocument/2006/relationships/image" /><Relationship Id="rId14" Target="footer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MedAide+: A Seven-Module Medical Multi-Agent LLM Framework with Category-Aware Specialist Routing and Adaptive Synthesis</dc:title>
  <dc:creator/>
  <cp:keywords/>
  <dcterms:created xsi:type="dcterms:W3CDTF">2026-04-24T11:23:49Z</dcterms:created>
  <dcterms:modified xsi:type="dcterms:W3CDTF">2026-04-24T11:23:49Z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Medical multi-agent large language model (LLM) systems hold great promise for clinical decision support, yet building frameworks that consistently outperform simpler single-agent baselines across diverse query categories remains an open challenge. This paper presents MedAide+, a seven-module medical multi-agent framework extending the three-module MedAide architecture with Adaptive Multi-shot Query Understanding (AMQU), Hierarchical Dual-level Intent Ontology (HDIO), Dynamic Multi-Agent Critic Network (DMACN), Persistent And Historical Memory (PAHM), Hallucination-Aware Dual-verification (HDFG), Adaptive Query Complexity Router (AQCR), and Multi-turn Intent Evolution Tracking (MIET). A critical contribution is our category-aware specialist routing mechanism that guarantees the domain-correct specialist agent (Diagnosis, Medication, Post-Diagnosis, or Pre-Diagnosis) handles each query category, along with an extractive primary-agent synthesis strategy that preserves clinical vocabulary. We evaluate MedAide+ against the MedAide baseline on a purpose-built dataset of 100 medical consultation instances across four clinical categories, using three locally deployed open-weight LLMs — gemma3:4b, qwen3:8b, and phi4-reasoning:14b — spanning 4B–14B parameters. MedAide+ achieves consistent improvements over MedAide on all six evaluation metrics (BLEU-1, BLEU-2, METEOR, ROUGE-L, BERTScore, GLEU) across all three models, with BLEU-1 gains ranging from +12.5% to +25.8% relative. Medication and Post-Diagnosis categories show the most pronounced improvements, confirming the value of specialist routing. Our analysis reveals that prior multi-agent medical frameworks often suffer from silent agent misrouting and persistent state contamination, and we provide robust mitigations for both.</vt:lpwstr>
  </property>
</Properties>
</file>