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1.jpeg" ContentType="image/jpeg"/>
  <Override PartName="/word/media/image2.jpeg" ContentType="image/jpeg"/>
  <Override PartName="/word/media/image3.jpe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MEDAIDEPLUS: A SEVEN-MODULE MULTI-AGENT MEDICAL AI FRAMEWORK WITH CATEGORY-AWARE ROUTING, HALLUCINATION DETECTION, AND PATIENT MEMORY</w:t>
      </w:r>
    </w:p>
    <w:p>
      <w:pPr>
        <w:pStyle w:val="BodyText"/>
      </w:pPr>
      <w:r>
        <w:rPr>
          <w:b/>
          <w:bCs/>
        </w:rPr>
        <w:t xml:space="preserve">MAJOR PROJECT REPORT (Phase 1)</w:t>
      </w:r>
    </w:p>
    <w:p>
      <w:pPr>
        <w:pStyle w:val="BodyText"/>
      </w:pPr>
      <w:r>
        <w:t xml:space="preserve">Submitted in partial fulfillment for the award of the degree of</w:t>
      </w:r>
    </w:p>
    <w:p>
      <w:pPr>
        <w:pStyle w:val="BodyText"/>
      </w:pPr>
      <w:r>
        <w:rPr>
          <w:b/>
          <w:bCs/>
        </w:rPr>
        <w:t xml:space="preserve">BACHELOR OF TECHNOLOGY</w:t>
      </w:r>
    </w:p>
    <w:p>
      <w:pPr>
        <w:pStyle w:val="BodyText"/>
      </w:pPr>
      <w:r>
        <w:rPr>
          <w:b/>
          <w:bCs/>
        </w:rPr>
        <w:t xml:space="preserve">(Department of Computer Science and Engineering)</w:t>
      </w:r>
    </w:p>
    <w:p>
      <w:pPr>
        <w:pStyle w:val="BodyText"/>
      </w:pPr>
      <w:r>
        <w:t xml:space="preserve">Submitted to</w:t>
      </w:r>
    </w:p>
    <w:p>
      <w:pPr>
        <w:pStyle w:val="BodyText"/>
      </w:pPr>
      <w:r>
        <w:rPr>
          <w:b/>
          <w:bCs/>
        </w:rPr>
        <w:t xml:space="preserve">INDIAN INSTITUTE OF INFORMATION TECHNOLOGY</w:t>
      </w:r>
    </w:p>
    <w:p>
      <w:pPr>
        <w:pStyle w:val="BodyText"/>
      </w:pPr>
      <w:r>
        <w:rPr>
          <w:b/>
          <w:bCs/>
        </w:rPr>
        <w:t xml:space="preserve">BHOPAL (M.P.)</w:t>
      </w:r>
    </w:p>
    <w:p>
      <w:pPr>
        <w:pStyle w:val="BodyText"/>
      </w:pPr>
      <w:r>
        <w:rPr>
          <w:b/>
          <w:bCs/>
        </w:rPr>
        <w:t xml:space="preserve">Submitted by</w:t>
      </w:r>
    </w:p>
    <w:p>
      <w:pPr>
        <w:pStyle w:val="BodyText"/>
      </w:pPr>
      <w:r>
        <w:t xml:space="preserve">Punya Modi (22U02075)</w:t>
      </w:r>
    </w:p>
    <w:p>
      <w:pPr>
        <w:pStyle w:val="BodyText"/>
      </w:pPr>
      <w:r>
        <w:rPr>
          <w:b/>
          <w:bCs/>
        </w:rPr>
        <w:t xml:space="preserve">Under the supervision of</w:t>
      </w:r>
    </w:p>
    <w:p>
      <w:pPr>
        <w:pStyle w:val="BodyText"/>
      </w:pPr>
      <w:r>
        <w:t xml:space="preserve">Dr. Yatendra Sahu</w:t>
      </w:r>
      <w:r>
        <w:br/>
      </w:r>
      <w:r>
        <w:t xml:space="preserve">Assistant Professor, CSE</w:t>
      </w:r>
      <w:r>
        <w:br/>
      </w:r>
      <w:r>
        <w:t xml:space="preserve">IIIT Bhopal</w:t>
      </w:r>
    </w:p>
    <w:p>
      <w:pPr>
        <w:pStyle w:val="BodyText"/>
      </w:pPr>
      <w:r>
        <w:rPr>
          <w:b/>
          <w:bCs/>
        </w:rPr>
        <w:t xml:space="preserve">April 2026</w:t>
      </w:r>
    </w:p>
    <w:p>
      <w:pPr>
        <w:pStyle w:val="BodyText"/>
      </w:pPr>
      <w:r>
        <w:t xml:space="preserve">\newpage</w:t>
      </w:r>
    </w:p>
    <w:p>
      <w:pPr>
        <w:pStyle w:val="BodyText"/>
      </w:pPr>
      <w:r>
        <w:rPr>
          <w:b/>
          <w:bCs/>
        </w:rPr>
        <w:t xml:space="preserve">CERTIFICATE</w:t>
      </w:r>
    </w:p>
    <w:p>
      <w:pPr>
        <w:pStyle w:val="BodyText"/>
      </w:pPr>
      <w:r>
        <w:t xml:space="preserve">This is to certify that the work embodied in this report entitled</w:t>
      </w:r>
      <w:r>
        <w:t xml:space="preserve"> </w:t>
      </w:r>
      <w:r>
        <w:rPr>
          <w:b/>
          <w:bCs/>
        </w:rPr>
        <w:t xml:space="preserve">"MedAidePlus: A Seven-Module Multi-Agent Medical AI Framework with Category-Aware Routing, Hallucination Detection, and Patient Memory"</w:t>
      </w:r>
      <w:r>
        <w:t xml:space="preserve"> </w:t>
      </w:r>
      <w:r>
        <w:t xml:space="preserve">has been satisfactorily completed by</w:t>
      </w:r>
      <w:r>
        <w:t xml:space="preserve"> </w:t>
      </w:r>
      <w:r>
        <w:rPr>
          <w:b/>
          <w:bCs/>
        </w:rPr>
        <w:t xml:space="preserve">Punya Modi (22U02075)</w:t>
      </w:r>
      <w:r>
        <w:t xml:space="preserve">. It is a bona fide piece of work, carried out under our guidance in the</w:t>
      </w:r>
      <w:r>
        <w:t xml:space="preserve"> </w:t>
      </w:r>
      <w:r>
        <w:rPr>
          <w:b/>
          <w:bCs/>
        </w:rPr>
        <w:t xml:space="preserve">Department of Computer Science and Engineering, Indian Institute of Information Technology, Bhopal</w:t>
      </w:r>
      <w:r>
        <w:t xml:space="preserve">, for partial fulfillment of the Bachelor of Technology degree during the academic year 2025-26.</w:t>
      </w:r>
    </w:p>
    <w:p>
      <w:pPr>
        <w:pStyle w:val="BodyText"/>
      </w:pPr>
      <w:r>
        <w:t xml:space="preserve">Date: April 2026</w:t>
      </w:r>
    </w:p>
    <w:p>
      <w:pPr>
        <w:pStyle w:val="BodyText"/>
      </w:pPr>
      <w:r>
        <w:t xml:space="preserve">Dr. Rahul Chaurasia</w:t>
      </w:r>
      <w:r>
        <w:br/>
      </w:r>
      <w:r>
        <w:t xml:space="preserve">Department Coordinator</w:t>
      </w:r>
      <w:r>
        <w:br/>
      </w:r>
      <w:r>
        <w:t xml:space="preserve">Department of Computer Science and Engineering</w:t>
      </w:r>
      <w:r>
        <w:br/>
      </w:r>
      <w:r>
        <w:t xml:space="preserve">IIIT Bhopal (M.P.)</w:t>
      </w:r>
    </w:p>
    <w:p>
      <w:pPr>
        <w:pStyle w:val="BodyText"/>
      </w:pPr>
      <w:r>
        <w:t xml:space="preserve">Dr. Yatendra Sahu</w:t>
      </w:r>
      <w:r>
        <w:br/>
      </w:r>
      <w:r>
        <w:t xml:space="preserve">Supervisor, Assistant Professor</w:t>
      </w:r>
      <w:r>
        <w:br/>
      </w:r>
      <w:r>
        <w:t xml:space="preserve">Department of Computer Science and Engineering</w:t>
      </w:r>
      <w:r>
        <w:br/>
      </w:r>
      <w:r>
        <w:t xml:space="preserve">IIIT Bhopal (M.P.)</w:t>
      </w:r>
    </w:p>
    <w:p>
      <w:pPr>
        <w:pStyle w:val="BodyText"/>
      </w:pPr>
      <w:r>
        <w:t xml:space="preserve">\newpage</w:t>
      </w:r>
    </w:p>
    <w:p>
      <w:pPr>
        <w:pStyle w:val="BodyText"/>
      </w:pPr>
      <w:r>
        <w:rPr>
          <w:b/>
          <w:bCs/>
        </w:rPr>
        <w:t xml:space="preserve">DECLARATION</w:t>
      </w:r>
    </w:p>
    <w:p>
      <w:pPr>
        <w:pStyle w:val="BodyText"/>
      </w:pPr>
      <w:r>
        <w:t xml:space="preserve">I hereby declare that this major project report entitled</w:t>
      </w:r>
      <w:r>
        <w:t xml:space="preserve"> </w:t>
      </w:r>
      <w:r>
        <w:rPr>
          <w:b/>
          <w:bCs/>
        </w:rPr>
        <w:t xml:space="preserve">"MedAidePlus: A Seven-Module Multi-Agent Medical AI Framework with Category-Aware Routing, Hallucination Detection, and Patient Memory"</w:t>
      </w:r>
      <w:r>
        <w:t xml:space="preserve"> </w:t>
      </w:r>
      <w:r>
        <w:t xml:space="preserve">is an authentic record of my original work carried out under the guidance of</w:t>
      </w:r>
      <w:r>
        <w:t xml:space="preserve"> </w:t>
      </w:r>
      <w:r>
        <w:rPr>
          <w:b/>
          <w:bCs/>
        </w:rPr>
        <w:t xml:space="preserve">Dr. Yatendra Sahu</w:t>
      </w:r>
      <w:r>
        <w:t xml:space="preserve">, Department of Computer Science and Engineering, IIIT Bhopal.</w:t>
      </w:r>
    </w:p>
    <w:p>
      <w:pPr>
        <w:pStyle w:val="BodyText"/>
      </w:pPr>
      <w:r>
        <w:t xml:space="preserve">This report has not been submitted, in part or full, for the award of any other degree or diploma in any institute or university. The facts stated in this report are true to the best of my knowledge.</w:t>
      </w:r>
    </w:p>
    <w:p>
      <w:pPr>
        <w:pStyle w:val="BodyText"/>
      </w:pPr>
      <w:r>
        <w:t xml:space="preserve">Punya Modi (22U02075)</w:t>
      </w:r>
      <w:r>
        <w:br/>
      </w:r>
      <w:r>
        <w:t xml:space="preserve">Signature of Student</w:t>
      </w:r>
    </w:p>
    <w:p>
      <w:pPr>
        <w:pStyle w:val="BodyText"/>
      </w:pPr>
      <w:r>
        <w:t xml:space="preserve">\newpage</w:t>
      </w:r>
    </w:p>
    <w:p>
      <w:pPr>
        <w:pStyle w:val="BodyText"/>
      </w:pPr>
      <w:r>
        <w:rPr>
          <w:b/>
          <w:bCs/>
        </w:rPr>
        <w:t xml:space="preserve">AREA OF WORK</w:t>
      </w:r>
    </w:p>
    <w:p>
      <w:pPr>
        <w:pStyle w:val="BodyText"/>
      </w:pPr>
      <w:r>
        <w:t xml:space="preserve">This project lies at the intersection of</w:t>
      </w:r>
      <w:r>
        <w:t xml:space="preserve"> </w:t>
      </w:r>
      <w:r>
        <w:rPr>
          <w:b/>
          <w:bCs/>
        </w:rPr>
        <w:t xml:space="preserve">Medical AI, Large Language Models (LLMs), Multi-Agent Systems, Clinical Decision Support, and Safe AI Deployment</w:t>
      </w:r>
      <w:r>
        <w:t xml:space="preserve">. The core problem addressed is that real clinical conversations are multi-dimensional: one patient query may require triage reasoning, diagnosis-focused reasoning, medication safety checks, and post-treatment monitoring guidance. A single static assistant often fails to maintain quality across all these modes.</w:t>
      </w:r>
    </w:p>
    <w:p>
      <w:pPr>
        <w:pStyle w:val="BodyText"/>
      </w:pPr>
      <w:r>
        <w:t xml:space="preserve">The work extends the MedAide architecture to a complete seven-module system, MedAidePlus, adding persistent patient memory, hallucination detection, adaptive complexity routing, and multi-turn intent tracking. The project also contributes a controlled benchmark and ablation pipeline for reproducible evaluation on local open-weight LLMs.</w:t>
      </w:r>
    </w:p>
    <w:p>
      <w:pPr>
        <w:pStyle w:val="BodyText"/>
      </w:pPr>
      <w:r>
        <w:t xml:space="preserve">\newpage</w:t>
      </w:r>
    </w:p>
    <w:p>
      <w:pPr>
        <w:pStyle w:val="BodyText"/>
      </w:pPr>
      <w:r>
        <w:rPr>
          <w:b/>
          <w:bCs/>
        </w:rPr>
        <w:t xml:space="preserve">TABLE OF CONTENTS</w:t>
      </w:r>
    </w:p>
    <w:p>
      <w:pPr>
        <w:pStyle w:val="Compact"/>
        <w:numPr>
          <w:ilvl w:val="0"/>
          <w:numId w:val="1001"/>
        </w:numPr>
      </w:pPr>
      <w:r>
        <w:t xml:space="preserve">Introduction</w:t>
      </w:r>
    </w:p>
    <w:p>
      <w:pPr>
        <w:pStyle w:val="Compact"/>
        <w:numPr>
          <w:ilvl w:val="0"/>
          <w:numId w:val="1001"/>
        </w:numPr>
      </w:pPr>
      <w:r>
        <w:t xml:space="preserve">Literature Review / Survey</w:t>
      </w:r>
    </w:p>
    <w:p>
      <w:pPr>
        <w:pStyle w:val="Compact"/>
        <w:numPr>
          <w:ilvl w:val="0"/>
          <w:numId w:val="1001"/>
        </w:numPr>
      </w:pPr>
      <w:r>
        <w:t xml:space="preserve">Methodology and Work Description</w:t>
      </w:r>
    </w:p>
    <w:p>
      <w:pPr>
        <w:pStyle w:val="Compact"/>
        <w:numPr>
          <w:ilvl w:val="0"/>
          <w:numId w:val="1001"/>
        </w:numPr>
      </w:pPr>
      <w:r>
        <w:t xml:space="preserve">Proposed Algorithm</w:t>
      </w:r>
    </w:p>
    <w:p>
      <w:pPr>
        <w:pStyle w:val="Compact"/>
        <w:numPr>
          <w:ilvl w:val="0"/>
          <w:numId w:val="1001"/>
        </w:numPr>
      </w:pPr>
      <w:r>
        <w:t xml:space="preserve">Proposed Flowchart / Block Diagram</w:t>
      </w:r>
    </w:p>
    <w:p>
      <w:pPr>
        <w:pStyle w:val="Compact"/>
        <w:numPr>
          <w:ilvl w:val="0"/>
          <w:numId w:val="1001"/>
        </w:numPr>
      </w:pPr>
      <w:r>
        <w:t xml:space="preserve">Tools and Technology Used</w:t>
      </w:r>
    </w:p>
    <w:p>
      <w:pPr>
        <w:pStyle w:val="Compact"/>
        <w:numPr>
          <w:ilvl w:val="0"/>
          <w:numId w:val="1001"/>
        </w:numPr>
      </w:pPr>
      <w:r>
        <w:t xml:space="preserve">Implementation and Coding</w:t>
      </w:r>
    </w:p>
    <w:p>
      <w:pPr>
        <w:pStyle w:val="Compact"/>
        <w:numPr>
          <w:ilvl w:val="0"/>
          <w:numId w:val="1001"/>
        </w:numPr>
      </w:pPr>
      <w:r>
        <w:t xml:space="preserve">Result Analysis</w:t>
      </w:r>
    </w:p>
    <w:p>
      <w:pPr>
        <w:pStyle w:val="Compact"/>
        <w:numPr>
          <w:ilvl w:val="0"/>
          <w:numId w:val="1001"/>
        </w:numPr>
      </w:pPr>
      <w:r>
        <w:t xml:space="preserve">Conclusion and Future Scope</w:t>
      </w:r>
    </w:p>
    <w:p>
      <w:pPr>
        <w:pStyle w:val="Compact"/>
        <w:numPr>
          <w:ilvl w:val="0"/>
          <w:numId w:val="1001"/>
        </w:numPr>
      </w:pPr>
      <w:r>
        <w:t xml:space="preserve">References</w:t>
      </w:r>
    </w:p>
    <w:p>
      <w:pPr>
        <w:pStyle w:val="FirstParagraph"/>
      </w:pPr>
      <w:r>
        <w:t xml:space="preserve">\newpage</w:t>
      </w:r>
    </w:p>
    <w:p>
      <w:pPr>
        <w:pStyle w:val="BodyText"/>
      </w:pPr>
      <w:r>
        <w:rPr>
          <w:b/>
          <w:bCs/>
        </w:rPr>
        <w:t xml:space="preserve">LIST OF FIGURES</w:t>
      </w:r>
    </w:p>
    <w:p>
      <w:pPr>
        <w:pStyle w:val="Compact"/>
        <w:numPr>
          <w:ilvl w:val="0"/>
          <w:numId w:val="1002"/>
        </w:numPr>
      </w:pPr>
      <w:r>
        <w:t xml:space="preserve">MedAidePlus Seven-Module Pipeline (Conceptual)</w:t>
      </w:r>
    </w:p>
    <w:p>
      <w:pPr>
        <w:pStyle w:val="Compact"/>
        <w:numPr>
          <w:ilvl w:val="0"/>
          <w:numId w:val="1002"/>
        </w:numPr>
      </w:pPr>
      <w:r>
        <w:t xml:space="preserve">Category-Aware Specialist Routing Logic</w:t>
      </w:r>
    </w:p>
    <w:p>
      <w:pPr>
        <w:pStyle w:val="Compact"/>
        <w:numPr>
          <w:ilvl w:val="0"/>
          <w:numId w:val="1002"/>
        </w:numPr>
      </w:pPr>
      <w:r>
        <w:t xml:space="preserve">Per-Category BLEU-1 Improvement Trend</w:t>
      </w:r>
    </w:p>
    <w:p>
      <w:pPr>
        <w:pStyle w:val="FirstParagraph"/>
      </w:pPr>
      <w:r>
        <w:rPr>
          <w:b/>
          <w:bCs/>
        </w:rPr>
        <w:t xml:space="preserve">LIST OF TABLES</w:t>
      </w:r>
    </w:p>
    <w:p>
      <w:pPr>
        <w:pStyle w:val="Compact"/>
        <w:numPr>
          <w:ilvl w:val="0"/>
          <w:numId w:val="1003"/>
        </w:numPr>
      </w:pPr>
      <w:r>
        <w:t xml:space="preserve">MedAidePlus Benchmark Dataset Statistics</w:t>
      </w:r>
    </w:p>
    <w:p>
      <w:pPr>
        <w:pStyle w:val="Compact"/>
        <w:numPr>
          <w:ilvl w:val="0"/>
          <w:numId w:val="1003"/>
        </w:numPr>
      </w:pPr>
      <w:r>
        <w:t xml:space="preserve">Main Model-Wise Evaluation Results</w:t>
      </w:r>
    </w:p>
    <w:p>
      <w:pPr>
        <w:pStyle w:val="Compact"/>
        <w:numPr>
          <w:ilvl w:val="0"/>
          <w:numId w:val="1003"/>
        </w:numPr>
      </w:pPr>
      <w:r>
        <w:t xml:space="preserve">Per-Category Performance Breakdown</w:t>
      </w:r>
    </w:p>
    <w:p>
      <w:pPr>
        <w:pStyle w:val="Compact"/>
        <w:numPr>
          <w:ilvl w:val="0"/>
          <w:numId w:val="1003"/>
        </w:numPr>
      </w:pPr>
      <w:r>
        <w:t xml:space="preserve">Ablation Study (qwen3:8b)</w:t>
      </w:r>
    </w:p>
    <w:p>
      <w:pPr>
        <w:pStyle w:val="FirstParagraph"/>
      </w:pPr>
      <w:r>
        <w:t xml:space="preserve">\newpage</w:t>
      </w:r>
    </w:p>
    <w:bookmarkStart w:id="23" w:name="abstract"/>
    <w:p>
      <w:pPr>
        <w:pStyle w:val="Heading1"/>
      </w:pPr>
      <w:r>
        <w:t xml:space="preserve">ABSTRACT</w:t>
      </w:r>
    </w:p>
    <w:p>
      <w:pPr>
        <w:pStyle w:val="FirstParagraph"/>
      </w:pPr>
      <w:r>
        <w:t xml:space="preserve">This report presents</w:t>
      </w:r>
      <w:r>
        <w:t xml:space="preserve"> </w:t>
      </w:r>
      <w:r>
        <w:rPr>
          <w:b/>
          <w:bCs/>
        </w:rPr>
        <w:t xml:space="preserve">MedAidePlus</w:t>
      </w:r>
      <w:r>
        <w:t xml:space="preserve">, an enhanced multi-agent medical AI framework designed to improve reliability and clinical relevance of responses generated by open-weight LLMs. MedAidePlus extends the baseline MedAide system from three modules to seven modules by adding persistent patient memory, hallucination-aware verification, adaptive complexity routing, and multi-turn intent evolution tracking.</w:t>
      </w:r>
    </w:p>
    <w:p>
      <w:pPr>
        <w:pStyle w:val="BodyText"/>
      </w:pPr>
      <w:r>
        <w:t xml:space="preserve">The central technical contribution is</w:t>
      </w:r>
      <w:r>
        <w:t xml:space="preserve"> </w:t>
      </w:r>
      <w:r>
        <w:rPr>
          <w:b/>
          <w:bCs/>
        </w:rPr>
        <w:t xml:space="preserve">category-aware specialist routing</w:t>
      </w:r>
      <w:r>
        <w:t xml:space="preserve">, which deterministically selects the clinically appropriate specialist agent (Pre-Diagnosis, Diagnosis, Medication, Post-Diagnosis) rather than relying only on content-level classification. A second major contribution is</w:t>
      </w:r>
      <w:r>
        <w:t xml:space="preserve"> </w:t>
      </w:r>
      <w:r>
        <w:rPr>
          <w:b/>
          <w:bCs/>
        </w:rPr>
        <w:t xml:space="preserve">extractive primary-agent synthesis</w:t>
      </w:r>
      <w:r>
        <w:t xml:space="preserve">, which preserves specialist clinical vocabulary and structure by avoiding unnecessary paraphrasing.</w:t>
      </w:r>
    </w:p>
    <w:p>
      <w:pPr>
        <w:pStyle w:val="BodyText"/>
      </w:pPr>
      <w:r>
        <w:t xml:space="preserve">A 100-instance benchmark (25 instances per category) was created and evaluated across three local LLMs (gemma3:4b, qwen3:8b, phi4-reasoning:14b) using six metrics: BLEU-1, BLEU-2, METEOR, ROUGE-L, BERTScore, and GLEU. MedAidePlus consistently outperformed MedAide across all metric-model comparisons, demonstrating improved alignment with clinically structured references.</w:t>
      </w:r>
    </w:p>
    <w:p>
      <w:pPr>
        <w:pStyle w:val="BodyText"/>
      </w:pPr>
      <w:r>
        <w:t xml:space="preserve">The project also identifies two practical evaluation risks in medical AI systems: specialist misrouting and stale persistent-memory contamination across benchmark runs. Mitigations for both are implemented and validated.</w:t>
      </w:r>
    </w:p>
    <w:p>
      <w:pPr>
        <w:pStyle w:val="BodyText"/>
      </w:pPr>
      <w:r>
        <w:t xml:space="preserve">\newpage</w:t>
      </w:r>
    </w:p>
    <w:bookmarkEnd w:id="23"/>
    <w:bookmarkStart w:id="27" w:name="Xe3d0fc0bea9a42ce7605565d0964033d7f6ee47"/>
    <w:p>
      <w:pPr>
        <w:pStyle w:val="Heading1"/>
      </w:pPr>
      <w:r>
        <w:t xml:space="preserve">1. INTRODUCTION</w:t>
      </w:r>
    </w:p>
    <w:p>
      <w:pPr>
        <w:pStyle w:val="FirstParagraph"/>
      </w:pPr>
      <w:r>
        <w:t xml:space="preserve">Large language models are increasingly capable in medical question answering, but real-world patient support requires more than generic text generation. Clinical interactions involve urgency triage, diagnostic reasoning, medication safety, and post-treatment follow-up. These represent different reasoning patterns and should be handled by distinct specialist policies.</w:t>
      </w:r>
    </w:p>
    <w:p>
      <w:pPr>
        <w:pStyle w:val="BodyText"/>
      </w:pPr>
      <w:r>
        <w:t xml:space="preserve">The original MedAide architecture introduced a specialist-based design but had limitations: simplistic routing, no robust memory isolation, no calibrated hallucination verification, and limited conversation-state handling. MedAidePlus addresses these limitations through a modular and evaluable design.</w:t>
      </w:r>
    </w:p>
    <w:bookmarkStart w:id="24" w:name="X8ed7113c30baefd0a0d5373f9e8fb0f217861be"/>
    <w:p>
      <w:pPr>
        <w:pStyle w:val="Heading2"/>
      </w:pPr>
      <w:r>
        <w:t xml:space="preserve">1.1 Problem Statement</w:t>
      </w:r>
    </w:p>
    <w:p>
      <w:pPr>
        <w:pStyle w:val="FirstParagraph"/>
      </w:pPr>
      <w:r>
        <w:t xml:space="preserve">Single-agent or weakly-routed medical assistants may generate clinically plausible yet structurally misaligned responses, especially when query categories overlap in vocabulary (for example, diagnosis queries containing symptom-heavy wording). This causes misrouting and degraded quality.</w:t>
      </w:r>
    </w:p>
    <w:bookmarkEnd w:id="24"/>
    <w:bookmarkStart w:id="25" w:name="Xc558dd7c4665d53fb23176196c92d003067d405"/>
    <w:p>
      <w:pPr>
        <w:pStyle w:val="Heading2"/>
      </w:pPr>
      <w:r>
        <w:t xml:space="preserve">1.2 Objectives</w:t>
      </w:r>
    </w:p>
    <w:p>
      <w:pPr>
        <w:pStyle w:val="Compact"/>
        <w:numPr>
          <w:ilvl w:val="0"/>
          <w:numId w:val="1004"/>
        </w:numPr>
      </w:pPr>
      <w:r>
        <w:t xml:space="preserve">Build an end-to-end seven-module medical AI pipeline.</w:t>
      </w:r>
    </w:p>
    <w:p>
      <w:pPr>
        <w:pStyle w:val="Compact"/>
        <w:numPr>
          <w:ilvl w:val="0"/>
          <w:numId w:val="1004"/>
        </w:numPr>
      </w:pPr>
      <w:r>
        <w:t xml:space="preserve">Improve specialist selection through category-aware routing.</w:t>
      </w:r>
    </w:p>
    <w:p>
      <w:pPr>
        <w:pStyle w:val="Compact"/>
        <w:numPr>
          <w:ilvl w:val="0"/>
          <w:numId w:val="1004"/>
        </w:numPr>
      </w:pPr>
      <w:r>
        <w:t xml:space="preserve">Add persistent memory with benchmark-safe isolation.</w:t>
      </w:r>
    </w:p>
    <w:p>
      <w:pPr>
        <w:pStyle w:val="Compact"/>
        <w:numPr>
          <w:ilvl w:val="0"/>
          <w:numId w:val="1004"/>
        </w:numPr>
      </w:pPr>
      <w:r>
        <w:t xml:space="preserve">Add hallucination-aware verification.</w:t>
      </w:r>
    </w:p>
    <w:p>
      <w:pPr>
        <w:pStyle w:val="Compact"/>
        <w:numPr>
          <w:ilvl w:val="0"/>
          <w:numId w:val="1004"/>
        </w:numPr>
      </w:pPr>
      <w:r>
        <w:t xml:space="preserve">Evaluate rigorously on multiple open-weight local LLMs.</w:t>
      </w:r>
    </w:p>
    <w:bookmarkEnd w:id="25"/>
    <w:bookmarkStart w:id="26" w:name="X887f4a4822f522fe8c4451fef0d30a3f01df551"/>
    <w:p>
      <w:pPr>
        <w:pStyle w:val="Heading2"/>
      </w:pPr>
      <w:r>
        <w:t xml:space="preserve">1.3 Scope</w:t>
      </w:r>
    </w:p>
    <w:p>
      <w:pPr>
        <w:pStyle w:val="FirstParagraph"/>
      </w:pPr>
      <w:r>
        <w:t xml:space="preserve">This report focuses on text-based clinical consultation support and benchmarked automatic metrics. It does not claim deployment as a certified medical device and is intended for research and educational use.</w:t>
      </w:r>
    </w:p>
    <w:p>
      <w:pPr>
        <w:pStyle w:val="BodyText"/>
      </w:pPr>
      <w:r>
        <w:t xml:space="preserve">\newpage</w:t>
      </w:r>
    </w:p>
    <w:bookmarkEnd w:id="26"/>
    <w:bookmarkEnd w:id="27"/>
    <w:bookmarkStart w:id="28" w:name="X108ab3827bd061778b689354d94c0df058c651c"/>
    <w:p>
      <w:pPr>
        <w:pStyle w:val="Heading1"/>
      </w:pPr>
      <w:r>
        <w:t xml:space="preserve">2. LITERATURE REVIEW / SURVEY</w:t>
      </w:r>
    </w:p>
    <w:p>
      <w:pPr>
        <w:pStyle w:val="FirstParagraph"/>
      </w:pPr>
      <w:r>
        <w:t xml:space="preserve">Medical LLM research has progressed through domain adaptation, instruction tuning, and retrieval augmentation. Prior work such as MedAide demonstrated that task decomposition with specialist agents improves structure and interpretability over monolithic prompting.</w:t>
      </w:r>
    </w:p>
    <w:p>
      <w:pPr>
        <w:pStyle w:val="BodyText"/>
      </w:pPr>
      <w:r>
        <w:t xml:space="preserve">Multi-agent reasoning frameworks (for example, ReAct and Reflexion-inspired systems) motivate explicit role separation and orchestration. However, in high-stakes domains, reliability concerns remain: hallucination, inconsistent terminology, and unstable routing.</w:t>
      </w:r>
    </w:p>
    <w:p>
      <w:pPr>
        <w:pStyle w:val="BodyText"/>
      </w:pPr>
      <w:r>
        <w:t xml:space="preserve">Relevant foundational works include:</w:t>
      </w:r>
    </w:p>
    <w:p>
      <w:pPr>
        <w:pStyle w:val="Compact"/>
        <w:numPr>
          <w:ilvl w:val="0"/>
          <w:numId w:val="1005"/>
        </w:numPr>
      </w:pPr>
      <w:r>
        <w:t xml:space="preserve">MedAide (multi-agent clinical architecture)</w:t>
      </w:r>
    </w:p>
    <w:p>
      <w:pPr>
        <w:pStyle w:val="Compact"/>
        <w:numPr>
          <w:ilvl w:val="0"/>
          <w:numId w:val="1005"/>
        </w:numPr>
      </w:pPr>
      <w:r>
        <w:t xml:space="preserve">BioBERT (biomedical embeddings)</w:t>
      </w:r>
    </w:p>
    <w:p>
      <w:pPr>
        <w:pStyle w:val="Compact"/>
        <w:numPr>
          <w:ilvl w:val="0"/>
          <w:numId w:val="1005"/>
        </w:numPr>
      </w:pPr>
      <w:r>
        <w:t xml:space="preserve">BM25 relevance modeling for factual support</w:t>
      </w:r>
    </w:p>
    <w:p>
      <w:pPr>
        <w:pStyle w:val="Compact"/>
        <w:numPr>
          <w:ilvl w:val="0"/>
          <w:numId w:val="1005"/>
        </w:numPr>
      </w:pPr>
      <w:r>
        <w:t xml:space="preserve">BLEU, ROUGE, METEOR, and BERTScore for text-quality evaluation</w:t>
      </w:r>
    </w:p>
    <w:p>
      <w:pPr>
        <w:pStyle w:val="FirstParagraph"/>
      </w:pPr>
      <w:r>
        <w:t xml:space="preserve">The key gap identified is not only model capability, but</w:t>
      </w:r>
      <w:r>
        <w:t xml:space="preserve"> </w:t>
      </w:r>
      <w:r>
        <w:rPr>
          <w:b/>
          <w:bCs/>
        </w:rPr>
        <w:t xml:space="preserve">system-level alignment</w:t>
      </w:r>
      <w:r>
        <w:t xml:space="preserve">: selecting the right specialist, preserving specialist structure, and preventing benchmark confounders from persistent memory.</w:t>
      </w:r>
    </w:p>
    <w:p>
      <w:pPr>
        <w:pStyle w:val="BodyText"/>
      </w:pPr>
      <w:r>
        <w:t xml:space="preserve">\newpage</w:t>
      </w:r>
    </w:p>
    <w:bookmarkEnd w:id="28"/>
    <w:bookmarkStart w:id="31" w:name="X4bc5d9df7ff0e777e4fa4e2d66f8a47910932ef"/>
    <w:p>
      <w:pPr>
        <w:pStyle w:val="Heading1"/>
      </w:pPr>
      <w:r>
        <w:t xml:space="preserve">3. METHODOLOGY AND WORK DESCRIPTION</w:t>
      </w:r>
    </w:p>
    <w:p>
      <w:pPr>
        <w:pStyle w:val="FirstParagraph"/>
      </w:pPr>
      <w:r>
        <w:t xml:space="preserve">MedAidePlus is organized into seven modules executed in sequence:</w:t>
      </w:r>
    </w:p>
    <w:p>
      <w:pPr>
        <w:pStyle w:val="Compact"/>
        <w:numPr>
          <w:ilvl w:val="0"/>
          <w:numId w:val="1006"/>
        </w:numPr>
      </w:pPr>
      <w:r>
        <w:t xml:space="preserve">M1 AMQU: Adaptive Multi-shot Query Understanding</w:t>
      </w:r>
    </w:p>
    <w:p>
      <w:pPr>
        <w:pStyle w:val="Compact"/>
        <w:numPr>
          <w:ilvl w:val="0"/>
          <w:numId w:val="1006"/>
        </w:numPr>
      </w:pPr>
      <w:r>
        <w:t xml:space="preserve">M2 HDIO: Hierarchical Dual-level Intent Ontology</w:t>
      </w:r>
    </w:p>
    <w:p>
      <w:pPr>
        <w:pStyle w:val="Compact"/>
        <w:numPr>
          <w:ilvl w:val="0"/>
          <w:numId w:val="1006"/>
        </w:numPr>
      </w:pPr>
      <w:r>
        <w:t xml:space="preserve">M3 DMACN: Dynamic Multi-Agent Critic Network</w:t>
      </w:r>
    </w:p>
    <w:p>
      <w:pPr>
        <w:pStyle w:val="Compact"/>
        <w:numPr>
          <w:ilvl w:val="0"/>
          <w:numId w:val="1006"/>
        </w:numPr>
      </w:pPr>
      <w:r>
        <w:t xml:space="preserve">M4 PAHM: Persistent and Historical Memory</w:t>
      </w:r>
    </w:p>
    <w:p>
      <w:pPr>
        <w:pStyle w:val="Compact"/>
        <w:numPr>
          <w:ilvl w:val="0"/>
          <w:numId w:val="1006"/>
        </w:numPr>
      </w:pPr>
      <w:r>
        <w:t xml:space="preserve">M5 HDFG: Hallucination-aware Dual-verification Framework</w:t>
      </w:r>
    </w:p>
    <w:p>
      <w:pPr>
        <w:pStyle w:val="Compact"/>
        <w:numPr>
          <w:ilvl w:val="0"/>
          <w:numId w:val="1006"/>
        </w:numPr>
      </w:pPr>
      <w:r>
        <w:t xml:space="preserve">M6 AQCR: Adaptive Query Complexity Router</w:t>
      </w:r>
    </w:p>
    <w:p>
      <w:pPr>
        <w:pStyle w:val="Compact"/>
        <w:numPr>
          <w:ilvl w:val="0"/>
          <w:numId w:val="1006"/>
        </w:numPr>
      </w:pPr>
      <w:r>
        <w:t xml:space="preserve">M7 MIET: Multi-turn Intent Evolution Tracking</w:t>
      </w:r>
    </w:p>
    <w:bookmarkStart w:id="29" w:name="X1d4da5a21714388234d3c67fc9a382c2c4dca3f"/>
    <w:p>
      <w:pPr>
        <w:pStyle w:val="Heading2"/>
      </w:pPr>
      <w:r>
        <w:t xml:space="preserve">3.1 Core Design Decisions</w:t>
      </w:r>
    </w:p>
    <w:p>
      <w:pPr>
        <w:pStyle w:val="Compact"/>
        <w:numPr>
          <w:ilvl w:val="0"/>
          <w:numId w:val="1007"/>
        </w:numPr>
      </w:pPr>
      <w:r>
        <w:t xml:space="preserve">Deterministic specialist selection through category hints during evaluation.</w:t>
      </w:r>
    </w:p>
    <w:p>
      <w:pPr>
        <w:pStyle w:val="Compact"/>
        <w:numPr>
          <w:ilvl w:val="0"/>
          <w:numId w:val="1007"/>
        </w:numPr>
      </w:pPr>
      <w:r>
        <w:t xml:space="preserve">Extractive final-response synthesis from the primary specialist.</w:t>
      </w:r>
    </w:p>
    <w:p>
      <w:pPr>
        <w:pStyle w:val="Compact"/>
        <w:numPr>
          <w:ilvl w:val="0"/>
          <w:numId w:val="1007"/>
        </w:numPr>
      </w:pPr>
      <w:r>
        <w:t xml:space="preserve">Explicit patient-graph cleanup before benchmark runs.</w:t>
      </w:r>
    </w:p>
    <w:p>
      <w:pPr>
        <w:pStyle w:val="Compact"/>
        <w:numPr>
          <w:ilvl w:val="0"/>
          <w:numId w:val="1007"/>
        </w:numPr>
      </w:pPr>
      <w:r>
        <w:t xml:space="preserve">Deterministic generation setup (temperature = 0) for reproducibility.</w:t>
      </w:r>
    </w:p>
    <w:bookmarkEnd w:id="29"/>
    <w:bookmarkStart w:id="30" w:name="Xcd2e1535ecf54e8d32299b2ba4aa6efb1f850a7"/>
    <w:p>
      <w:pPr>
        <w:pStyle w:val="Heading2"/>
      </w:pPr>
      <w:r>
        <w:t xml:space="preserve">3.2 Benchmark Setup Summary</w:t>
      </w:r>
    </w:p>
    <w:p>
      <w:pPr>
        <w:pStyle w:val="Compact"/>
        <w:numPr>
          <w:ilvl w:val="0"/>
          <w:numId w:val="1008"/>
        </w:numPr>
      </w:pPr>
      <w:r>
        <w:t xml:space="preserve">Total instances: 100</w:t>
      </w:r>
    </w:p>
    <w:p>
      <w:pPr>
        <w:pStyle w:val="Compact"/>
        <w:numPr>
          <w:ilvl w:val="0"/>
          <w:numId w:val="1008"/>
        </w:numPr>
      </w:pPr>
      <w:r>
        <w:t xml:space="preserve">Categories: Pre-Diagnosis (25), Diagnosis (25), Medication (25), Post-Diagnosis (25)</w:t>
      </w:r>
    </w:p>
    <w:p>
      <w:pPr>
        <w:pStyle w:val="Compact"/>
        <w:numPr>
          <w:ilvl w:val="0"/>
          <w:numId w:val="1008"/>
        </w:numPr>
      </w:pPr>
      <w:r>
        <w:t xml:space="preserve">Models: gemma3:4b, qwen3:8b, phi4-reasoning:14b</w:t>
      </w:r>
    </w:p>
    <w:p>
      <w:pPr>
        <w:pStyle w:val="Compact"/>
        <w:numPr>
          <w:ilvl w:val="0"/>
          <w:numId w:val="1008"/>
        </w:numPr>
      </w:pPr>
      <w:r>
        <w:t xml:space="preserve">Metrics: BLEU-1, BLEU-2, METEOR, ROUGE-L, BERTScore, GLEU</w:t>
      </w:r>
    </w:p>
    <w:p>
      <w:pPr>
        <w:pStyle w:val="FirstParagraph"/>
      </w:pPr>
      <w:r>
        <w:t xml:space="preserve">\newpage</w:t>
      </w:r>
    </w:p>
    <w:bookmarkEnd w:id="30"/>
    <w:bookmarkEnd w:id="31"/>
    <w:bookmarkStart w:id="34" w:name="X03e56eda20c354130e477bf6dc507e5ee7deab3"/>
    <w:p>
      <w:pPr>
        <w:pStyle w:val="Heading1"/>
      </w:pPr>
      <w:r>
        <w:t xml:space="preserve">4. PROPOSED ALGORITHM</w:t>
      </w:r>
    </w:p>
    <w:bookmarkStart w:id="32" w:name="Xb07382fd7410eb821c4b501bf2afc09d6aed28d"/>
    <w:p>
      <w:pPr>
        <w:pStyle w:val="Heading2"/>
      </w:pPr>
      <w:r>
        <w:t xml:space="preserve">Algorithm: Category-Aware Specialist Inference Pipeline</w:t>
      </w:r>
    </w:p>
    <w:p>
      <w:pPr>
        <w:pStyle w:val="FirstParagraph"/>
      </w:pPr>
      <w:r>
        <w:rPr>
          <w:b/>
          <w:bCs/>
        </w:rPr>
        <w:t xml:space="preserve">Input:</w:t>
      </w:r>
      <w:r>
        <w:t xml:space="preserve"> </w:t>
      </w:r>
      <w:r>
        <w:t xml:space="preserve">user query q, optional category_hint c, patient_id p, conversation state s</w:t>
      </w:r>
      <w:r>
        <w:br/>
      </w:r>
      <w:r>
        <w:rPr>
          <w:b/>
          <w:bCs/>
        </w:rPr>
        <w:t xml:space="preserve">Output:</w:t>
      </w:r>
      <w:r>
        <w:t xml:space="preserve"> </w:t>
      </w:r>
      <w:r>
        <w:t xml:space="preserve">clinically structured response r</w:t>
      </w:r>
    </w:p>
    <w:p>
      <w:pPr>
        <w:pStyle w:val="Compact"/>
        <w:numPr>
          <w:ilvl w:val="0"/>
          <w:numId w:val="1009"/>
        </w:numPr>
      </w:pPr>
      <w:r>
        <w:t xml:space="preserve">Decompose q into sub-queries and retrieve relevant medical evidence (M1).</w:t>
      </w:r>
    </w:p>
    <w:p>
      <w:pPr>
        <w:pStyle w:val="Compact"/>
        <w:numPr>
          <w:ilvl w:val="0"/>
          <w:numId w:val="1009"/>
        </w:numPr>
      </w:pPr>
      <w:r>
        <w:t xml:space="preserve">Compute intent/category scores from hierarchical ontology (M2).</w:t>
      </w:r>
    </w:p>
    <w:p>
      <w:pPr>
        <w:pStyle w:val="Compact"/>
        <w:numPr>
          <w:ilvl w:val="0"/>
          <w:numId w:val="1009"/>
        </w:numPr>
      </w:pPr>
      <w:r>
        <w:t xml:space="preserve">If category_hint c is available, override content-only routing with c.</w:t>
      </w:r>
    </w:p>
    <w:p>
      <w:pPr>
        <w:pStyle w:val="Compact"/>
        <w:numPr>
          <w:ilvl w:val="0"/>
          <w:numId w:val="1009"/>
        </w:numPr>
      </w:pPr>
      <w:r>
        <w:t xml:space="preserve">Select corresponding specialist agent from category-to-agent map.</w:t>
      </w:r>
    </w:p>
    <w:p>
      <w:pPr>
        <w:pStyle w:val="Compact"/>
        <w:numPr>
          <w:ilvl w:val="0"/>
          <w:numId w:val="1009"/>
        </w:numPr>
      </w:pPr>
      <w:r>
        <w:t xml:space="preserve">Load relevant patient history from PAHM for patient p (M4).</w:t>
      </w:r>
    </w:p>
    <w:p>
      <w:pPr>
        <w:pStyle w:val="Compact"/>
        <w:numPr>
          <w:ilvl w:val="0"/>
          <w:numId w:val="1009"/>
        </w:numPr>
      </w:pPr>
      <w:r>
        <w:t xml:space="preserve">Generate specialist response via selected agent (M3).</w:t>
      </w:r>
    </w:p>
    <w:p>
      <w:pPr>
        <w:pStyle w:val="Compact"/>
        <w:numPr>
          <w:ilvl w:val="0"/>
          <w:numId w:val="1009"/>
        </w:numPr>
      </w:pPr>
      <w:r>
        <w:t xml:space="preserve">Run hallucination support and uncertainty checks (M5).</w:t>
      </w:r>
    </w:p>
    <w:p>
      <w:pPr>
        <w:pStyle w:val="Compact"/>
        <w:numPr>
          <w:ilvl w:val="0"/>
          <w:numId w:val="1009"/>
        </w:numPr>
      </w:pPr>
      <w:r>
        <w:t xml:space="preserve">Route complexity metadata and maintain deterministic inference profile (M6).</w:t>
      </w:r>
    </w:p>
    <w:p>
      <w:pPr>
        <w:pStyle w:val="Compact"/>
        <w:numPr>
          <w:ilvl w:val="0"/>
          <w:numId w:val="1009"/>
        </w:numPr>
      </w:pPr>
      <w:r>
        <w:t xml:space="preserve">Update dialogue evolution state for session continuity (M7).</w:t>
      </w:r>
    </w:p>
    <w:p>
      <w:pPr>
        <w:pStyle w:val="Compact"/>
        <w:numPr>
          <w:ilvl w:val="0"/>
          <w:numId w:val="1009"/>
        </w:numPr>
      </w:pPr>
      <w:r>
        <w:t xml:space="preserve">Return primary specialist response with validated structured sections.</w:t>
      </w:r>
    </w:p>
    <w:bookmarkEnd w:id="32"/>
    <w:bookmarkStart w:id="33" w:name="X69b4be2e36ef103d9159a596bd408357331889b"/>
    <w:p>
      <w:pPr>
        <w:pStyle w:val="Heading2"/>
      </w:pPr>
      <w:r>
        <w:t xml:space="preserve">4.1 Category to Specialist Mapping</w:t>
      </w:r>
    </w:p>
    <w:p>
      <w:pPr>
        <w:pStyle w:val="Compact"/>
        <w:numPr>
          <w:ilvl w:val="0"/>
          <w:numId w:val="1010"/>
        </w:numPr>
      </w:pPr>
      <w:r>
        <w:t xml:space="preserve">Pre-Diagnosis -&gt; PreDiagnosisAgent</w:t>
      </w:r>
    </w:p>
    <w:p>
      <w:pPr>
        <w:pStyle w:val="Compact"/>
        <w:numPr>
          <w:ilvl w:val="0"/>
          <w:numId w:val="1010"/>
        </w:numPr>
      </w:pPr>
      <w:r>
        <w:t xml:space="preserve">Diagnosis -&gt; DiagnosisAgent</w:t>
      </w:r>
    </w:p>
    <w:p>
      <w:pPr>
        <w:pStyle w:val="Compact"/>
        <w:numPr>
          <w:ilvl w:val="0"/>
          <w:numId w:val="1010"/>
        </w:numPr>
      </w:pPr>
      <w:r>
        <w:t xml:space="preserve">Medication -&gt; MedicationAgent</w:t>
      </w:r>
    </w:p>
    <w:p>
      <w:pPr>
        <w:pStyle w:val="Compact"/>
        <w:numPr>
          <w:ilvl w:val="0"/>
          <w:numId w:val="1010"/>
        </w:numPr>
      </w:pPr>
      <w:r>
        <w:t xml:space="preserve">Post-Diagnosis -&gt; PostDiagnosisAgent</w:t>
      </w:r>
    </w:p>
    <w:p>
      <w:pPr>
        <w:pStyle w:val="FirstParagraph"/>
      </w:pPr>
      <w:r>
        <w:t xml:space="preserve">\newpage</w:t>
      </w:r>
    </w:p>
    <w:bookmarkEnd w:id="33"/>
    <w:bookmarkEnd w:id="34"/>
    <w:bookmarkStart w:id="37" w:name="X90ba9455289ccefb490160c2abe84136a6c6cd6"/>
    <w:p>
      <w:pPr>
        <w:pStyle w:val="Heading1"/>
      </w:pPr>
      <w:r>
        <w:t xml:space="preserve">5. PROPOSED FLOWCHART / BLOCK DIAGRAM</w:t>
      </w:r>
    </w:p>
    <w:bookmarkStart w:id="35" w:name="Xf7d647cf0e8c2eb9c15bb1b9cf090bd825020e7"/>
    <w:p>
      <w:pPr>
        <w:pStyle w:val="Heading2"/>
      </w:pPr>
      <w:r>
        <w:t xml:space="preserve">5.1 Conceptual Block Flow</w:t>
      </w:r>
    </w:p>
    <w:p>
      <w:pPr>
        <w:pStyle w:val="FirstParagraph"/>
      </w:pPr>
      <w:r>
        <w:t xml:space="preserve">User Query -&gt; M1 AMQU -&gt; M2 HDIO -&gt; (Category Hint + AQCR) -&gt; Specialist Selection (M3) -&gt; Response Generation -&gt; M5 Hallucination Verification -&gt; M4/M7 Memory Update -&gt; Final Response</w:t>
      </w:r>
    </w:p>
    <w:bookmarkEnd w:id="35"/>
    <w:bookmarkStart w:id="36" w:name="X7a29edb5b143ab8a39cd4a986d502701473f0c8"/>
    <w:p>
      <w:pPr>
        <w:pStyle w:val="Heading2"/>
      </w:pPr>
      <w:r>
        <w:t xml:space="preserve">5.2 Operational Notes</w:t>
      </w:r>
    </w:p>
    <w:p>
      <w:pPr>
        <w:pStyle w:val="Compact"/>
        <w:numPr>
          <w:ilvl w:val="0"/>
          <w:numId w:val="1011"/>
        </w:numPr>
      </w:pPr>
      <w:r>
        <w:t xml:space="preserve">For benchmark evaluation, category-aware routing is enforced to test specialist alignment.</w:t>
      </w:r>
    </w:p>
    <w:p>
      <w:pPr>
        <w:pStyle w:val="Compact"/>
        <w:numPr>
          <w:ilvl w:val="0"/>
          <w:numId w:val="1011"/>
        </w:numPr>
      </w:pPr>
      <w:r>
        <w:t xml:space="preserve">Patient graphs are reset before each benchmark run to avoid stale-memory contamination.</w:t>
      </w:r>
    </w:p>
    <w:p>
      <w:pPr>
        <w:pStyle w:val="Compact"/>
        <w:numPr>
          <w:ilvl w:val="0"/>
          <w:numId w:val="1011"/>
        </w:numPr>
      </w:pPr>
      <w:r>
        <w:t xml:space="preserve">Inference is deterministic to ensure stable comparison across systems.</w:t>
      </w:r>
    </w:p>
    <w:p>
      <w:pPr>
        <w:pStyle w:val="FirstParagraph"/>
      </w:pPr>
      <w:r>
        <w:t xml:space="preserve">\newpage</w:t>
      </w:r>
    </w:p>
    <w:bookmarkEnd w:id="36"/>
    <w:bookmarkEnd w:id="37"/>
    <w:bookmarkStart w:id="42" w:name="X2a9bf5e0ab5d88042b1de4e219674c3471f1e7f"/>
    <w:p>
      <w:pPr>
        <w:pStyle w:val="Heading1"/>
      </w:pPr>
      <w:r>
        <w:t xml:space="preserve">6. TOOLS AND TECHNOLOGY USED</w:t>
      </w:r>
    </w:p>
    <w:bookmarkStart w:id="38" w:name="Xbb64e54bbeafe6cb15b00efed6da23b4897f0cc"/>
    <w:p>
      <w:pPr>
        <w:pStyle w:val="Heading2"/>
      </w:pPr>
      <w:r>
        <w:t xml:space="preserve">6.1 Programming and Runtime</w:t>
      </w:r>
    </w:p>
    <w:p>
      <w:pPr>
        <w:pStyle w:val="Compact"/>
        <w:numPr>
          <w:ilvl w:val="0"/>
          <w:numId w:val="1012"/>
        </w:numPr>
      </w:pPr>
      <w:r>
        <w:t xml:space="preserve">Python 3.x</w:t>
      </w:r>
    </w:p>
    <w:p>
      <w:pPr>
        <w:pStyle w:val="Compact"/>
        <w:numPr>
          <w:ilvl w:val="0"/>
          <w:numId w:val="1012"/>
        </w:numPr>
      </w:pPr>
      <w:r>
        <w:t xml:space="preserve">Local inference through Ollama</w:t>
      </w:r>
    </w:p>
    <w:p>
      <w:pPr>
        <w:pStyle w:val="Compact"/>
        <w:numPr>
          <w:ilvl w:val="0"/>
          <w:numId w:val="1012"/>
        </w:numPr>
      </w:pPr>
      <w:r>
        <w:t xml:space="preserve">YAML-based configuration</w:t>
      </w:r>
    </w:p>
    <w:bookmarkEnd w:id="38"/>
    <w:bookmarkStart w:id="39" w:name="X8d80dfd9c2fa98964428af7af5a60e9e0843007"/>
    <w:p>
      <w:pPr>
        <w:pStyle w:val="Heading2"/>
      </w:pPr>
      <w:r>
        <w:t xml:space="preserve">6.2 Models and NLP Components</w:t>
      </w:r>
    </w:p>
    <w:p>
      <w:pPr>
        <w:pStyle w:val="Compact"/>
        <w:numPr>
          <w:ilvl w:val="0"/>
          <w:numId w:val="1013"/>
        </w:numPr>
      </w:pPr>
      <w:r>
        <w:t xml:space="preserve">Flan-T5 (query decomposition)</w:t>
      </w:r>
    </w:p>
    <w:p>
      <w:pPr>
        <w:pStyle w:val="Compact"/>
        <w:numPr>
          <w:ilvl w:val="0"/>
          <w:numId w:val="1013"/>
        </w:numPr>
      </w:pPr>
      <w:r>
        <w:t xml:space="preserve">BioBERT (medical intent embedding)</w:t>
      </w:r>
    </w:p>
    <w:p>
      <w:pPr>
        <w:pStyle w:val="Compact"/>
        <w:numPr>
          <w:ilvl w:val="0"/>
          <w:numId w:val="1013"/>
        </w:numPr>
      </w:pPr>
      <w:r>
        <w:t xml:space="preserve">Graph Attention Network based ontology scoring</w:t>
      </w:r>
    </w:p>
    <w:p>
      <w:pPr>
        <w:pStyle w:val="Compact"/>
        <w:numPr>
          <w:ilvl w:val="0"/>
          <w:numId w:val="1013"/>
        </w:numPr>
      </w:pPr>
      <w:r>
        <w:t xml:space="preserve">spaCy NER (entity extraction for memory graph)</w:t>
      </w:r>
    </w:p>
    <w:bookmarkEnd w:id="39"/>
    <w:bookmarkStart w:id="40" w:name="X9a534c05c41321df51a572e3ac681ef49db61d1"/>
    <w:p>
      <w:pPr>
        <w:pStyle w:val="Heading2"/>
      </w:pPr>
      <w:r>
        <w:t xml:space="preserve">6.3 Evaluation Stack</w:t>
      </w:r>
    </w:p>
    <w:p>
      <w:pPr>
        <w:pStyle w:val="Compact"/>
        <w:numPr>
          <w:ilvl w:val="0"/>
          <w:numId w:val="1014"/>
        </w:numPr>
      </w:pPr>
      <w:r>
        <w:t xml:space="preserve">BLEU / GLEU</w:t>
      </w:r>
    </w:p>
    <w:p>
      <w:pPr>
        <w:pStyle w:val="Compact"/>
        <w:numPr>
          <w:ilvl w:val="0"/>
          <w:numId w:val="1014"/>
        </w:numPr>
      </w:pPr>
      <w:r>
        <w:t xml:space="preserve">ROUGE-L</w:t>
      </w:r>
    </w:p>
    <w:p>
      <w:pPr>
        <w:pStyle w:val="Compact"/>
        <w:numPr>
          <w:ilvl w:val="0"/>
          <w:numId w:val="1014"/>
        </w:numPr>
      </w:pPr>
      <w:r>
        <w:t xml:space="preserve">METEOR</w:t>
      </w:r>
    </w:p>
    <w:p>
      <w:pPr>
        <w:pStyle w:val="Compact"/>
        <w:numPr>
          <w:ilvl w:val="0"/>
          <w:numId w:val="1014"/>
        </w:numPr>
      </w:pPr>
      <w:r>
        <w:t xml:space="preserve">BERTScore (distilbert-base-uncased)</w:t>
      </w:r>
    </w:p>
    <w:bookmarkEnd w:id="40"/>
    <w:bookmarkStart w:id="41" w:name="Xcfbbaec2b6c17eb047c83e9e8f7a8d8528711d8"/>
    <w:p>
      <w:pPr>
        <w:pStyle w:val="Heading2"/>
      </w:pPr>
      <w:r>
        <w:t xml:space="preserve">6.4 Hardware and Execution Profile</w:t>
      </w:r>
    </w:p>
    <w:p>
      <w:pPr>
        <w:pStyle w:val="Compact"/>
        <w:numPr>
          <w:ilvl w:val="0"/>
          <w:numId w:val="1015"/>
        </w:numPr>
      </w:pPr>
      <w:r>
        <w:t xml:space="preserve">NVIDIA RTX 3070 (8 GB VRAM)</w:t>
      </w:r>
    </w:p>
    <w:p>
      <w:pPr>
        <w:pStyle w:val="Compact"/>
        <w:numPr>
          <w:ilvl w:val="0"/>
          <w:numId w:val="1015"/>
        </w:numPr>
      </w:pPr>
      <w:r>
        <w:t xml:space="preserve">Deterministic setting (temperature 0)</w:t>
      </w:r>
    </w:p>
    <w:p>
      <w:pPr>
        <w:pStyle w:val="Compact"/>
        <w:numPr>
          <w:ilvl w:val="0"/>
          <w:numId w:val="1015"/>
        </w:numPr>
      </w:pPr>
      <w:r>
        <w:t xml:space="preserve">Python ML modules configured to avoid VRAM contention</w:t>
      </w:r>
    </w:p>
    <w:p>
      <w:pPr>
        <w:pStyle w:val="FirstParagraph"/>
      </w:pPr>
      <w:r>
        <w:t xml:space="preserve">\newpage</w:t>
      </w:r>
    </w:p>
    <w:bookmarkEnd w:id="41"/>
    <w:bookmarkEnd w:id="42"/>
    <w:bookmarkStart w:id="47" w:name="Xf71cfb8fb093bc16587762e60e8e699e18640f7"/>
    <w:p>
      <w:pPr>
        <w:pStyle w:val="Heading1"/>
      </w:pPr>
      <w:r>
        <w:t xml:space="preserve">7. IMPLEMENTATION AND CODING</w:t>
      </w:r>
    </w:p>
    <w:bookmarkStart w:id="43" w:name="X14516dbf3faaa373dda84f7966aa0ccdc366113"/>
    <w:p>
      <w:pPr>
        <w:pStyle w:val="Heading2"/>
      </w:pPr>
      <w:r>
        <w:t xml:space="preserve">7.1 Codebase Organization</w:t>
      </w:r>
    </w:p>
    <w:p>
      <w:pPr>
        <w:pStyle w:val="FirstParagraph"/>
      </w:pPr>
      <w:r>
        <w:t xml:space="preserve">The implementation is modular, with dedicated components for pipeline orchestration, specialist agents, memory handling, hallucination verification, and evaluation scripts.</w:t>
      </w:r>
    </w:p>
    <w:bookmarkEnd w:id="43"/>
    <w:bookmarkStart w:id="44" w:name="X51c4052d71964873087ec780f7a41594865f27b"/>
    <w:p>
      <w:pPr>
        <w:pStyle w:val="Heading2"/>
      </w:pPr>
      <w:r>
        <w:t xml:space="preserve">7.2 Execution Pipeline</w:t>
      </w:r>
    </w:p>
    <w:p>
      <w:pPr>
        <w:pStyle w:val="Compact"/>
        <w:numPr>
          <w:ilvl w:val="0"/>
          <w:numId w:val="1016"/>
        </w:numPr>
      </w:pPr>
      <w:r>
        <w:t xml:space="preserve">Parse configuration and load ontology.</w:t>
      </w:r>
    </w:p>
    <w:p>
      <w:pPr>
        <w:pStyle w:val="Compact"/>
        <w:numPr>
          <w:ilvl w:val="0"/>
          <w:numId w:val="1016"/>
        </w:numPr>
      </w:pPr>
      <w:r>
        <w:t xml:space="preserve">Initialize selected LLM provider.</w:t>
      </w:r>
    </w:p>
    <w:p>
      <w:pPr>
        <w:pStyle w:val="Compact"/>
        <w:numPr>
          <w:ilvl w:val="0"/>
          <w:numId w:val="1016"/>
        </w:numPr>
      </w:pPr>
      <w:r>
        <w:t xml:space="preserve">Run M1 to M7 in sequence.</w:t>
      </w:r>
    </w:p>
    <w:p>
      <w:pPr>
        <w:pStyle w:val="Compact"/>
        <w:numPr>
          <w:ilvl w:val="0"/>
          <w:numId w:val="1016"/>
        </w:numPr>
      </w:pPr>
      <w:r>
        <w:t xml:space="preserve">Persist benchmark outputs and metric summaries.</w:t>
      </w:r>
    </w:p>
    <w:bookmarkEnd w:id="44"/>
    <w:bookmarkStart w:id="45" w:name="X817e328e801378fdd1f2ca1f7653df6cb7128d2"/>
    <w:p>
      <w:pPr>
        <w:pStyle w:val="Heading2"/>
      </w:pPr>
      <w:r>
        <w:t xml:space="preserve">7.3 Key Engineering Improvements</w:t>
      </w:r>
    </w:p>
    <w:p>
      <w:pPr>
        <w:pStyle w:val="Compact"/>
        <w:numPr>
          <w:ilvl w:val="0"/>
          <w:numId w:val="1017"/>
        </w:numPr>
      </w:pPr>
      <w:r>
        <w:t xml:space="preserve">Category-aware routing hook integrated at orchestration stage.</w:t>
      </w:r>
    </w:p>
    <w:p>
      <w:pPr>
        <w:pStyle w:val="Compact"/>
        <w:numPr>
          <w:ilvl w:val="0"/>
          <w:numId w:val="1017"/>
        </w:numPr>
      </w:pPr>
      <w:r>
        <w:t xml:space="preserve">Extractive synthesis in final-response assembly.</w:t>
      </w:r>
    </w:p>
    <w:p>
      <w:pPr>
        <w:pStyle w:val="Compact"/>
        <w:numPr>
          <w:ilvl w:val="0"/>
          <w:numId w:val="1017"/>
        </w:numPr>
      </w:pPr>
      <w:r>
        <w:t xml:space="preserve">Benchmark-start cleanup of persistent patient graph storage.</w:t>
      </w:r>
    </w:p>
    <w:p>
      <w:pPr>
        <w:pStyle w:val="Compact"/>
        <w:numPr>
          <w:ilvl w:val="0"/>
          <w:numId w:val="1017"/>
        </w:numPr>
      </w:pPr>
      <w:r>
        <w:t xml:space="preserve">Stable run protocol for fair multi-model comparison.</w:t>
      </w:r>
    </w:p>
    <w:bookmarkEnd w:id="45"/>
    <w:bookmarkStart w:id="46" w:name="X32f90f0fc978b9d300543d62348d83ed11199a5"/>
    <w:p>
      <w:pPr>
        <w:pStyle w:val="Heading2"/>
      </w:pPr>
      <w:r>
        <w:t xml:space="preserve">7.4 Reproducibility Practices</w:t>
      </w:r>
    </w:p>
    <w:p>
      <w:pPr>
        <w:pStyle w:val="Compact"/>
        <w:numPr>
          <w:ilvl w:val="0"/>
          <w:numId w:val="1018"/>
        </w:numPr>
      </w:pPr>
      <w:r>
        <w:t xml:space="preserve">Fixed benchmark JSON files.</w:t>
      </w:r>
    </w:p>
    <w:p>
      <w:pPr>
        <w:pStyle w:val="Compact"/>
        <w:numPr>
          <w:ilvl w:val="0"/>
          <w:numId w:val="1018"/>
        </w:numPr>
      </w:pPr>
      <w:r>
        <w:t xml:space="preserve">Controlled generation parameters.</w:t>
      </w:r>
    </w:p>
    <w:p>
      <w:pPr>
        <w:pStyle w:val="Compact"/>
        <w:numPr>
          <w:ilvl w:val="0"/>
          <w:numId w:val="1018"/>
        </w:numPr>
      </w:pPr>
      <w:r>
        <w:t xml:space="preserve">Structured outputs and deterministic routing path.</w:t>
      </w:r>
    </w:p>
    <w:p>
      <w:pPr>
        <w:pStyle w:val="FirstParagraph"/>
      </w:pPr>
      <w:r>
        <w:t xml:space="preserve">\newpage</w:t>
      </w:r>
    </w:p>
    <w:bookmarkEnd w:id="46"/>
    <w:bookmarkEnd w:id="47"/>
    <w:bookmarkStart w:id="53" w:name="X7f8593aa11cd1df216a02e98ca54431d73cd0de"/>
    <w:p>
      <w:pPr>
        <w:pStyle w:val="Heading1"/>
      </w:pPr>
      <w:r>
        <w:t xml:space="preserve">8. RESULT ANALYSIS</w:t>
      </w:r>
    </w:p>
    <w:bookmarkStart w:id="49" w:name="Xeae3b2bdf21e6f5a99389904256bc49be8058a2"/>
    <w:p>
      <w:pPr>
        <w:pStyle w:val="Heading2"/>
      </w:pPr>
      <w:r>
        <w:t xml:space="preserve">8.1 Main Quantitative Results</w:t>
      </w:r>
    </w:p>
    <w:p>
      <w:pPr>
        <w:pStyle w:val="FirstParagraph"/>
      </w:pPr>
      <w:r>
        <w:t xml:space="preserve">MedAidePlus achieves universal gains over the MedAide baseline across all six metrics and all three evaluated LLMs.</w:t>
      </w:r>
    </w:p>
    <w:bookmarkStart w:id="48" w:name="table-1-main-comparison-averages"/>
    <w:p>
      <w:pPr>
        <w:pStyle w:val="Heading3"/>
      </w:pPr>
      <w:r>
        <w:t xml:space="preserve">Table 1: Main Comparison (Averages)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System</w:t>
            </w:r>
          </w:p>
        </w:tc>
        <w:tc>
          <w:tcPr/>
          <w:p>
            <w:pPr>
              <w:pStyle w:val="Compact"/>
              <w:jc w:val="right"/>
            </w:pPr>
            <w:r>
              <w:t xml:space="preserve">BLEU-1</w:t>
            </w:r>
          </w:p>
        </w:tc>
        <w:tc>
          <w:tcPr/>
          <w:p>
            <w:pPr>
              <w:pStyle w:val="Compact"/>
              <w:jc w:val="right"/>
            </w:pPr>
            <w:r>
              <w:t xml:space="preserve">BLEU-2</w:t>
            </w:r>
          </w:p>
        </w:tc>
        <w:tc>
          <w:tcPr/>
          <w:p>
            <w:pPr>
              <w:pStyle w:val="Compact"/>
              <w:jc w:val="right"/>
            </w:pPr>
            <w:r>
              <w:t xml:space="preserve">METEOR</w:t>
            </w:r>
          </w:p>
        </w:tc>
        <w:tc>
          <w:tcPr/>
          <w:p>
            <w:pPr>
              <w:pStyle w:val="Compact"/>
              <w:jc w:val="right"/>
            </w:pPr>
            <w:r>
              <w:t xml:space="preserve">ROUGE-L</w:t>
            </w:r>
          </w:p>
        </w:tc>
        <w:tc>
          <w:tcPr/>
          <w:p>
            <w:pPr>
              <w:pStyle w:val="Compact"/>
              <w:jc w:val="right"/>
            </w:pPr>
            <w:r>
              <w:t xml:space="preserve">BERTScore</w:t>
            </w:r>
          </w:p>
        </w:tc>
        <w:tc>
          <w:tcPr/>
          <w:p>
            <w:pPr>
              <w:pStyle w:val="Compact"/>
              <w:jc w:val="right"/>
            </w:pPr>
            <w:r>
              <w:t xml:space="preserve">GLEU</w:t>
            </w:r>
          </w:p>
        </w:tc>
      </w:tr>
      <w:tr>
        <w:tc>
          <w:tcPr/>
          <w:p>
            <w:pPr>
              <w:pStyle w:val="Compact"/>
            </w:pPr>
            <w:r>
              <w:t xml:space="preserve">MedAide</w:t>
            </w:r>
          </w:p>
        </w:tc>
        <w:tc>
          <w:tcPr/>
          <w:p>
            <w:pPr>
              <w:pStyle w:val="Compact"/>
              <w:jc w:val="right"/>
            </w:pPr>
            <w:r>
              <w:t xml:space="preserve">22.14</w:t>
            </w:r>
          </w:p>
        </w:tc>
        <w:tc>
          <w:tcPr/>
          <w:p>
            <w:pPr>
              <w:pStyle w:val="Compact"/>
              <w:jc w:val="right"/>
            </w:pPr>
            <w:r>
              <w:t xml:space="preserve">9.52</w:t>
            </w:r>
          </w:p>
        </w:tc>
        <w:tc>
          <w:tcPr/>
          <w:p>
            <w:pPr>
              <w:pStyle w:val="Compact"/>
              <w:jc w:val="right"/>
            </w:pPr>
            <w:r>
              <w:t xml:space="preserve">16.34</w:t>
            </w:r>
          </w:p>
        </w:tc>
        <w:tc>
          <w:tcPr/>
          <w:p>
            <w:pPr>
              <w:pStyle w:val="Compact"/>
              <w:jc w:val="right"/>
            </w:pPr>
            <w:r>
              <w:t xml:space="preserve">14.81</w:t>
            </w:r>
          </w:p>
        </w:tc>
        <w:tc>
          <w:tcPr/>
          <w:p>
            <w:pPr>
              <w:pStyle w:val="Compact"/>
              <w:jc w:val="right"/>
            </w:pPr>
            <w:r>
              <w:t xml:space="preserve">55.38</w:t>
            </w:r>
          </w:p>
        </w:tc>
        <w:tc>
          <w:tcPr/>
          <w:p>
            <w:pPr>
              <w:pStyle w:val="Compact"/>
              <w:jc w:val="right"/>
            </w:pPr>
            <w:r>
              <w:t xml:space="preserve">7.23</w:t>
            </w:r>
          </w:p>
        </w:tc>
      </w:tr>
      <w:tr>
        <w:tc>
          <w:tcPr/>
          <w:p>
            <w:pPr>
              <w:pStyle w:val="Compact"/>
            </w:pPr>
            <w:r>
              <w:t xml:space="preserve">MedAidePlus</w:t>
            </w:r>
          </w:p>
        </w:tc>
        <w:tc>
          <w:tcPr/>
          <w:p>
            <w:pPr>
              <w:pStyle w:val="Compact"/>
              <w:jc w:val="right"/>
            </w:pPr>
            <w:r>
              <w:t xml:space="preserve">25.87</w:t>
            </w:r>
          </w:p>
        </w:tc>
        <w:tc>
          <w:tcPr/>
          <w:p>
            <w:pPr>
              <w:pStyle w:val="Compact"/>
              <w:jc w:val="right"/>
            </w:pPr>
            <w:r>
              <w:t xml:space="preserve">12.39</w:t>
            </w:r>
          </w:p>
        </w:tc>
        <w:tc>
          <w:tcPr/>
          <w:p>
            <w:pPr>
              <w:pStyle w:val="Compact"/>
              <w:jc w:val="right"/>
            </w:pPr>
            <w:r>
              <w:t xml:space="preserve">19.83</w:t>
            </w:r>
          </w:p>
        </w:tc>
        <w:tc>
          <w:tcPr/>
          <w:p>
            <w:pPr>
              <w:pStyle w:val="Compact"/>
              <w:jc w:val="right"/>
            </w:pPr>
            <w:r>
              <w:t xml:space="preserve">17.59</w:t>
            </w:r>
          </w:p>
        </w:tc>
        <w:tc>
          <w:tcPr/>
          <w:p>
            <w:pPr>
              <w:pStyle w:val="Compact"/>
              <w:jc w:val="right"/>
            </w:pPr>
            <w:r>
              <w:t xml:space="preserve">60.64</w:t>
            </w:r>
          </w:p>
        </w:tc>
        <w:tc>
          <w:tcPr/>
          <w:p>
            <w:pPr>
              <w:pStyle w:val="Compact"/>
              <w:jc w:val="right"/>
            </w:pPr>
            <w:r>
              <w:t xml:space="preserve">9.02</w:t>
            </w:r>
          </w:p>
        </w:tc>
      </w:tr>
      <w:tr>
        <w:tc>
          <w:tcPr/>
          <w:p>
            <w:pPr>
              <w:pStyle w:val="Compact"/>
            </w:pPr>
            <w:r>
              <w:t xml:space="preserve">Delta</w:t>
            </w:r>
          </w:p>
        </w:tc>
        <w:tc>
          <w:tcPr/>
          <w:p>
            <w:pPr>
              <w:pStyle w:val="Compact"/>
              <w:jc w:val="right"/>
            </w:pPr>
            <w:r>
              <w:t xml:space="preserve">+3.73</w:t>
            </w:r>
          </w:p>
        </w:tc>
        <w:tc>
          <w:tcPr/>
          <w:p>
            <w:pPr>
              <w:pStyle w:val="Compact"/>
              <w:jc w:val="right"/>
            </w:pPr>
            <w:r>
              <w:t xml:space="preserve">+2.87</w:t>
            </w:r>
          </w:p>
        </w:tc>
        <w:tc>
          <w:tcPr/>
          <w:p>
            <w:pPr>
              <w:pStyle w:val="Compact"/>
              <w:jc w:val="right"/>
            </w:pPr>
            <w:r>
              <w:t xml:space="preserve">+3.49</w:t>
            </w:r>
          </w:p>
        </w:tc>
        <w:tc>
          <w:tcPr/>
          <w:p>
            <w:pPr>
              <w:pStyle w:val="Compact"/>
              <w:jc w:val="right"/>
            </w:pPr>
            <w:r>
              <w:t xml:space="preserve">+2.78</w:t>
            </w:r>
          </w:p>
        </w:tc>
        <w:tc>
          <w:tcPr/>
          <w:p>
            <w:pPr>
              <w:pStyle w:val="Compact"/>
              <w:jc w:val="right"/>
            </w:pPr>
            <w:r>
              <w:t xml:space="preserve">+5.26</w:t>
            </w:r>
          </w:p>
        </w:tc>
        <w:tc>
          <w:tcPr/>
          <w:p>
            <w:pPr>
              <w:pStyle w:val="Compact"/>
              <w:jc w:val="right"/>
            </w:pPr>
            <w:r>
              <w:t xml:space="preserve">+1.79</w:t>
            </w:r>
          </w:p>
        </w:tc>
      </w:tr>
    </w:tbl>
    <w:bookmarkEnd w:id="48"/>
    <w:bookmarkEnd w:id="49"/>
    <w:bookmarkStart w:id="50" w:name="X30ababaabbdc5169d473ab9fae2663dc230166b"/>
    <w:p>
      <w:pPr>
        <w:pStyle w:val="Heading2"/>
      </w:pPr>
      <w:r>
        <w:t xml:space="preserve">8.2 Category-Level Observations</w:t>
      </w:r>
    </w:p>
    <w:p>
      <w:pPr>
        <w:pStyle w:val="Compact"/>
        <w:numPr>
          <w:ilvl w:val="0"/>
          <w:numId w:val="1019"/>
        </w:numPr>
      </w:pPr>
      <w:r>
        <w:t xml:space="preserve">Medication and Diagnosis categories show strongest gains due to specialist-agent alignment.</w:t>
      </w:r>
    </w:p>
    <w:p>
      <w:pPr>
        <w:pStyle w:val="Compact"/>
        <w:numPr>
          <w:ilvl w:val="0"/>
          <w:numId w:val="1019"/>
        </w:numPr>
      </w:pPr>
      <w:r>
        <w:t xml:space="preserve">Post-Diagnosis also improves consistently with routing and structure preservation.</w:t>
      </w:r>
    </w:p>
    <w:p>
      <w:pPr>
        <w:pStyle w:val="Compact"/>
        <w:numPr>
          <w:ilvl w:val="0"/>
          <w:numId w:val="1019"/>
        </w:numPr>
      </w:pPr>
      <w:r>
        <w:t xml:space="preserve">Pre-Diagnosis differences are smaller because both systems often use similar specialist behavior there.</w:t>
      </w:r>
    </w:p>
    <w:bookmarkEnd w:id="50"/>
    <w:bookmarkStart w:id="51" w:name="X3ecffd989427266a727e04dec6a2ccb52ed9e5d"/>
    <w:p>
      <w:pPr>
        <w:pStyle w:val="Heading2"/>
      </w:pPr>
      <w:r>
        <w:t xml:space="preserve">8.3 Ablation Insights</w:t>
      </w:r>
    </w:p>
    <w:p>
      <w:pPr>
        <w:pStyle w:val="FirstParagraph"/>
      </w:pPr>
      <w:r>
        <w:t xml:space="preserve">Ablation on qwen3:8b shows:</w:t>
      </w:r>
    </w:p>
    <w:p>
      <w:pPr>
        <w:pStyle w:val="Compact"/>
        <w:numPr>
          <w:ilvl w:val="0"/>
          <w:numId w:val="1020"/>
        </w:numPr>
      </w:pPr>
      <w:r>
        <w:t xml:space="preserve">Adding new modules without routing correction can reduce score.</w:t>
      </w:r>
    </w:p>
    <w:p>
      <w:pPr>
        <w:pStyle w:val="Compact"/>
        <w:numPr>
          <w:ilvl w:val="0"/>
          <w:numId w:val="1020"/>
        </w:numPr>
      </w:pPr>
      <w:r>
        <w:t xml:space="preserve">Extractive synthesis recovers quality by preserving terminology.</w:t>
      </w:r>
    </w:p>
    <w:p>
      <w:pPr>
        <w:pStyle w:val="Compact"/>
        <w:numPr>
          <w:ilvl w:val="0"/>
          <w:numId w:val="1020"/>
        </w:numPr>
      </w:pPr>
      <w:r>
        <w:t xml:space="preserve">Category-aware routing yields the largest positive jump.</w:t>
      </w:r>
    </w:p>
    <w:p>
      <w:pPr>
        <w:pStyle w:val="Compact"/>
        <w:numPr>
          <w:ilvl w:val="0"/>
          <w:numId w:val="1020"/>
        </w:numPr>
      </w:pPr>
      <w:r>
        <w:t xml:space="preserve">Memory isolation removes hidden benchmark confounds and stabilizes final results.</w:t>
      </w:r>
    </w:p>
    <w:bookmarkEnd w:id="51"/>
    <w:bookmarkStart w:id="52" w:name="Xfc0d9e297cef59cde27d8e6b7a824b98d348c54"/>
    <w:p>
      <w:pPr>
        <w:pStyle w:val="Heading2"/>
      </w:pPr>
      <w:r>
        <w:t xml:space="preserve">8.4 Interpretation</w:t>
      </w:r>
    </w:p>
    <w:p>
      <w:pPr>
        <w:pStyle w:val="FirstParagraph"/>
      </w:pPr>
      <w:r>
        <w:t xml:space="preserve">Performance improvement is driven primarily by</w:t>
      </w:r>
      <w:r>
        <w:t xml:space="preserve"> </w:t>
      </w:r>
      <w:r>
        <w:rPr>
          <w:b/>
          <w:bCs/>
        </w:rPr>
        <w:t xml:space="preserve">system design correctness</w:t>
      </w:r>
      <w:r>
        <w:t xml:space="preserve"> </w:t>
      </w:r>
      <w:r>
        <w:t xml:space="preserve">(who answers, and how final wording is preserved), not by increasing model size alone.</w:t>
      </w:r>
    </w:p>
    <w:p>
      <w:pPr>
        <w:pStyle w:val="BodyText"/>
      </w:pPr>
      <w:r>
        <w:t xml:space="preserve">\newpage</w:t>
      </w:r>
    </w:p>
    <w:bookmarkEnd w:id="52"/>
    <w:bookmarkEnd w:id="53"/>
    <w:bookmarkStart w:id="56" w:name="X8047a8c43a35724dcd052cab7ea93ad20f0d4e8"/>
    <w:p>
      <w:pPr>
        <w:pStyle w:val="Heading1"/>
      </w:pPr>
      <w:r>
        <w:t xml:space="preserve">9. CONCLUSION AND FUTURE SCOPE</w:t>
      </w:r>
    </w:p>
    <w:p>
      <w:pPr>
        <w:pStyle w:val="FirstParagraph"/>
      </w:pPr>
      <w:r>
        <w:t xml:space="preserve">This project demonstrates that MedAidePlus, a seven-module medical multi-agent framework, significantly improves benchmark performance over MedAide through category-aware specialist routing and extractive synthesis. The architecture also introduces practical safeguards for memory contamination and hallucination-aware checks.</w:t>
      </w:r>
    </w:p>
    <w:bookmarkStart w:id="54" w:name="X7b1a871fd19cc7c154ef6c967ca1bfcd9773aa7"/>
    <w:p>
      <w:pPr>
        <w:pStyle w:val="Heading2"/>
      </w:pPr>
      <w:r>
        <w:t xml:space="preserve">9.1 Major Contributions</w:t>
      </w:r>
    </w:p>
    <w:p>
      <w:pPr>
        <w:pStyle w:val="Compact"/>
        <w:numPr>
          <w:ilvl w:val="0"/>
          <w:numId w:val="1021"/>
        </w:numPr>
      </w:pPr>
      <w:r>
        <w:t xml:space="preserve">Seven-module clinical AI orchestration pipeline.</w:t>
      </w:r>
    </w:p>
    <w:p>
      <w:pPr>
        <w:pStyle w:val="Compact"/>
        <w:numPr>
          <w:ilvl w:val="0"/>
          <w:numId w:val="1021"/>
        </w:numPr>
      </w:pPr>
      <w:r>
        <w:t xml:space="preserve">Deterministic category-to-specialist mapping for correct domain handling.</w:t>
      </w:r>
    </w:p>
    <w:p>
      <w:pPr>
        <w:pStyle w:val="Compact"/>
        <w:numPr>
          <w:ilvl w:val="0"/>
          <w:numId w:val="1021"/>
        </w:numPr>
      </w:pPr>
      <w:r>
        <w:t xml:space="preserve">Persistent memory with benchmark-safe isolation.</w:t>
      </w:r>
    </w:p>
    <w:p>
      <w:pPr>
        <w:pStyle w:val="Compact"/>
        <w:numPr>
          <w:ilvl w:val="0"/>
          <w:numId w:val="1021"/>
        </w:numPr>
      </w:pPr>
      <w:r>
        <w:t xml:space="preserve">Reproducible multi-model evaluation with comprehensive metrics.</w:t>
      </w:r>
    </w:p>
    <w:bookmarkEnd w:id="54"/>
    <w:bookmarkStart w:id="55" w:name="X29705ab0f3e278130b479bbf7857ae0c4859641"/>
    <w:p>
      <w:pPr>
        <w:pStyle w:val="Heading2"/>
      </w:pPr>
      <w:r>
        <w:t xml:space="preserve">9.2 Future Scope</w:t>
      </w:r>
    </w:p>
    <w:p>
      <w:pPr>
        <w:pStyle w:val="Compact"/>
        <w:numPr>
          <w:ilvl w:val="0"/>
          <w:numId w:val="1022"/>
        </w:numPr>
      </w:pPr>
      <w:r>
        <w:t xml:space="preserve">Train HDIO with larger clinically annotated datasets (for production routing without hints).</w:t>
      </w:r>
    </w:p>
    <w:p>
      <w:pPr>
        <w:pStyle w:val="Compact"/>
        <w:numPr>
          <w:ilvl w:val="0"/>
          <w:numId w:val="1022"/>
        </w:numPr>
      </w:pPr>
      <w:r>
        <w:t xml:space="preserve">Add human clinical evaluation and inter-rater reliability study.</w:t>
      </w:r>
    </w:p>
    <w:p>
      <w:pPr>
        <w:pStyle w:val="Compact"/>
        <w:numPr>
          <w:ilvl w:val="0"/>
          <w:numId w:val="1022"/>
        </w:numPr>
      </w:pPr>
      <w:r>
        <w:t xml:space="preserve">Expand benchmark scale to 500+ cases and include longitudinal sessions.</w:t>
      </w:r>
    </w:p>
    <w:p>
      <w:pPr>
        <w:pStyle w:val="Compact"/>
        <w:numPr>
          <w:ilvl w:val="0"/>
          <w:numId w:val="1022"/>
        </w:numPr>
      </w:pPr>
      <w:r>
        <w:t xml:space="preserve">Explore consensus synthesis for genuinely multi-specialist complex cases.</w:t>
      </w:r>
    </w:p>
    <w:p>
      <w:pPr>
        <w:pStyle w:val="Compact"/>
        <w:numPr>
          <w:ilvl w:val="0"/>
          <w:numId w:val="1022"/>
        </w:numPr>
      </w:pPr>
      <w:r>
        <w:t xml:space="preserve">Incorporate stronger privacy and audit controls for deployment-grade settings.</w:t>
      </w:r>
    </w:p>
    <w:p>
      <w:pPr>
        <w:pStyle w:val="FirstParagraph"/>
      </w:pPr>
      <w:r>
        <w:t xml:space="preserve">\newpage</w:t>
      </w:r>
    </w:p>
    <w:bookmarkEnd w:id="55"/>
    <w:bookmarkEnd w:id="56"/>
    <w:bookmarkStart w:id="57" w:name="X3b4c3db7819ed66f453f0c9b146c43e80460b49"/>
    <w:p>
      <w:pPr>
        <w:pStyle w:val="Heading1"/>
      </w:pPr>
      <w:r>
        <w:t xml:space="preserve">10. REFERENCES</w:t>
      </w:r>
    </w:p>
    <w:p>
      <w:pPr>
        <w:pStyle w:val="Compact"/>
        <w:numPr>
          <w:ilvl w:val="0"/>
          <w:numId w:val="1023"/>
        </w:numPr>
      </w:pPr>
      <w:r>
        <w:t xml:space="preserve">Yang D., Wei J., Li M., et al. MedAide: LLM-Based Multi-Agent Collaboration for Medical Applications. arXiv:2410.12532, 2024.</w:t>
      </w:r>
    </w:p>
    <w:p>
      <w:pPr>
        <w:pStyle w:val="Compact"/>
        <w:numPr>
          <w:ilvl w:val="0"/>
          <w:numId w:val="1023"/>
        </w:numPr>
      </w:pPr>
      <w:r>
        <w:t xml:space="preserve">Singhal K., et al. Large Language Models Encode Clinical Knowledge. Nature, 2023.</w:t>
      </w:r>
    </w:p>
    <w:p>
      <w:pPr>
        <w:pStyle w:val="Compact"/>
        <w:numPr>
          <w:ilvl w:val="0"/>
          <w:numId w:val="1023"/>
        </w:numPr>
      </w:pPr>
      <w:r>
        <w:t xml:space="preserve">Tian R., et al. ChiMed-GPT: A Chinese Medical Large Language Model with Full Training Regime and Better Alignment to Human Preferences. arXiv:2311.06025, 2023.</w:t>
      </w:r>
    </w:p>
    <w:p>
      <w:pPr>
        <w:pStyle w:val="Compact"/>
        <w:numPr>
          <w:ilvl w:val="0"/>
          <w:numId w:val="1023"/>
        </w:numPr>
      </w:pPr>
      <w:r>
        <w:t xml:space="preserve">Zhang H., et al. HuatuoGPT: Towards Taming Language Models to be a Doctor. EMNLP Findings, 2023.</w:t>
      </w:r>
    </w:p>
    <w:p>
      <w:pPr>
        <w:pStyle w:val="Compact"/>
        <w:numPr>
          <w:ilvl w:val="0"/>
          <w:numId w:val="1023"/>
        </w:numPr>
      </w:pPr>
      <w:r>
        <w:t xml:space="preserve">Es S., et al. RAGAS: Automated Evaluation of Retrieval Augmented Generation. arXiv:2309.15217, 2023.</w:t>
      </w:r>
    </w:p>
    <w:p>
      <w:pPr>
        <w:pStyle w:val="Compact"/>
        <w:numPr>
          <w:ilvl w:val="0"/>
          <w:numId w:val="1023"/>
        </w:numPr>
      </w:pPr>
      <w:r>
        <w:t xml:space="preserve">Yao S., et al. ReAct: Synergizing Reasoning and Acting in Language Models. ICLR, 2023.</w:t>
      </w:r>
    </w:p>
    <w:p>
      <w:pPr>
        <w:pStyle w:val="Compact"/>
        <w:numPr>
          <w:ilvl w:val="0"/>
          <w:numId w:val="1023"/>
        </w:numPr>
      </w:pPr>
      <w:r>
        <w:t xml:space="preserve">Shinn N., et al. Reflexion: Language Agents with Verbal Reinforcement Learning. NeurIPS, 2023.</w:t>
      </w:r>
    </w:p>
    <w:p>
      <w:pPr>
        <w:pStyle w:val="Compact"/>
        <w:numPr>
          <w:ilvl w:val="0"/>
          <w:numId w:val="1023"/>
        </w:numPr>
      </w:pPr>
      <w:r>
        <w:t xml:space="preserve">Velickovic P., et al. Graph Attention Networks. ICLR, 2018.</w:t>
      </w:r>
    </w:p>
    <w:p>
      <w:pPr>
        <w:pStyle w:val="Compact"/>
        <w:numPr>
          <w:ilvl w:val="0"/>
          <w:numId w:val="1023"/>
        </w:numPr>
      </w:pPr>
      <w:r>
        <w:t xml:space="preserve">Lee J., et al. BioBERT: a pre-trained biomedical language representation model for biomedical text mining. Bioinformatics, 2020.</w:t>
      </w:r>
    </w:p>
    <w:p>
      <w:pPr>
        <w:pStyle w:val="Compact"/>
        <w:numPr>
          <w:ilvl w:val="0"/>
          <w:numId w:val="1023"/>
        </w:numPr>
      </w:pPr>
      <w:r>
        <w:t xml:space="preserve">Robertson S., Zaragoza H. The Probabilistic Relevance Framework: BM25 and Beyond. Foundations and Trends in Information Retrieval, 2009.</w:t>
      </w:r>
    </w:p>
    <w:p>
      <w:pPr>
        <w:pStyle w:val="Compact"/>
        <w:numPr>
          <w:ilvl w:val="0"/>
          <w:numId w:val="1023"/>
        </w:numPr>
      </w:pPr>
      <w:r>
        <w:t xml:space="preserve">Papineni K., et al. BLEU: a Method for Automatic Evaluation of Machine Translation. ACL, 2002.</w:t>
      </w:r>
    </w:p>
    <w:p>
      <w:pPr>
        <w:pStyle w:val="Compact"/>
        <w:numPr>
          <w:ilvl w:val="0"/>
          <w:numId w:val="1023"/>
        </w:numPr>
      </w:pPr>
      <w:r>
        <w:t xml:space="preserve">Lin C.-Y. ROUGE: A Package for Automatic Evaluation of Summaries. ACL Workshop, 2004.</w:t>
      </w:r>
    </w:p>
    <w:p>
      <w:pPr>
        <w:pStyle w:val="Compact"/>
        <w:numPr>
          <w:ilvl w:val="0"/>
          <w:numId w:val="1023"/>
        </w:numPr>
      </w:pPr>
      <w:r>
        <w:t xml:space="preserve">Banerjee S., Lavie A. METEOR: An Automatic Metric for MT Evaluation with Improved Correlation with Human Judgments. ACL Workshop, 2005.</w:t>
      </w:r>
    </w:p>
    <w:p>
      <w:pPr>
        <w:pStyle w:val="Compact"/>
        <w:numPr>
          <w:ilvl w:val="0"/>
          <w:numId w:val="1023"/>
        </w:numPr>
      </w:pPr>
      <w:r>
        <w:t xml:space="preserve">Zhang T., et al. BERTScore: Evaluating Text Generation with BERT. ICLR, 2020.</w:t>
      </w:r>
    </w:p>
    <w:p>
      <w:pPr>
        <w:pStyle w:val="Compact"/>
        <w:numPr>
          <w:ilvl w:val="0"/>
          <w:numId w:val="1023"/>
        </w:numPr>
      </w:pPr>
      <w:r>
        <w:t xml:space="preserve">OpenAI. GPT-4 Technical Report. arXiv:2303.08774, 2023.</w:t>
      </w:r>
    </w:p>
    <w:bookmarkEnd w:id="57"/>
    <w:sectPr w:rsidR="003A3AFB">
      <w:footerReference r:id="rId8" w:type="default"/>
      <w:pgSz w:h="16838" w:w="11906"/>
      <w:pgMar w:bottom="1418" w:footer="720" w:gutter="0" w:header="720" w:left="1701" w:right="1418" w:top="1418"/>
      <w:pgNumType w:start="1"/>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Helvetica Neue">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Kokila">
    <w:altName w:val="Arial"/>
    <w:charset w:val="00"/>
    <w:family w:val="swiss"/>
    <w:pitch w:val="variable"/>
    <w:sig w:usb0="00008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5444136"/>
      <w:docPartObj>
        <w:docPartGallery w:val="AutoText"/>
      </w:docPartObj>
    </w:sdtPr>
    <w:sdtContent>
      <w:p w14:paraId="2A38C116" w14:textId="77777777" w:rsidR="003A3AFB" w:rsidRDefault="00000000">
        <w:pPr>
          <w:pStyle w:val="Footer"/>
          <w:jc w:val="center"/>
        </w:pPr>
      </w:p>
    </w:sdtContent>
  </w:sdt>
  <w:p w14:paraId="5E5444DA" w14:textId="77777777" w:rsidR="003A3AFB" w:rsidRDefault="003A3A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3853053"/>
      <w:docPartObj>
        <w:docPartGallery w:val="AutoText"/>
      </w:docPartObj>
    </w:sdtPr>
    <w:sdtContent>
      <w:p w14:paraId="7A19488D" w14:textId="77777777" w:rsidR="003A3AFB" w:rsidRDefault="00000000">
        <w:pPr>
          <w:pStyle w:val="Footer"/>
          <w:jc w:val="center"/>
        </w:pPr>
      </w:p>
    </w:sdtContent>
  </w:sdt>
  <w:p w14:paraId="37014ED2" w14:textId="77777777" w:rsidR="003A3AFB" w:rsidRDefault="003A3A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5419856"/>
      <w:docPartObj>
        <w:docPartGallery w:val="AutoText"/>
      </w:docPartObj>
    </w:sdtPr>
    <w:sdtContent>
      <w:p w14:paraId="0994FE76" w14:textId="77777777" w:rsidR="003A3AFB" w:rsidRDefault="00847EEA">
        <w:pPr>
          <w:pStyle w:val="Footer"/>
          <w:jc w:val="center"/>
        </w:pPr>
        <w:r>
          <w:fldChar w:fldCharType="begin"/>
        </w:r>
        <w:r>
          <w:instrText xml:space="preserve"> PAGE   \</w:instrText>
        </w:r>
        <w:r>
          <w:rPr>
            <w:rFonts w:cs="Kokila"/>
            <w:cs/>
            <w:lang w:bidi="hi-IN"/>
          </w:rPr>
          <w:instrText xml:space="preserve">* </w:instrText>
        </w:r>
        <w:r>
          <w:instrText xml:space="preserve">MERGEFORMAT </w:instrText>
        </w:r>
        <w:r>
          <w:fldChar w:fldCharType="separate"/>
        </w:r>
        <w:r w:rsidR="0025745D">
          <w:rPr>
            <w:noProof/>
          </w:rPr>
          <w:t>10</w:t>
        </w:r>
        <w:r>
          <w:fldChar w:fldCharType="end"/>
        </w:r>
      </w:p>
    </w:sdtContent>
  </w:sdt>
  <w:p w14:paraId="33F2A38C" w14:textId="77777777" w:rsidR="003A3AFB" w:rsidRDefault="003A3AFB">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C7229" w14:textId="77777777" w:rsidR="003A3AFB" w:rsidRDefault="003A3AFB">
    <w:pPr>
      <w:pStyle w:val="HeaderFoote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05474" w14:textId="77777777" w:rsidR="003A3AFB" w:rsidRDefault="003A3AFB">
    <w:pPr>
      <w:pStyle w:val="HeaderFooter"/>
      <w:rPr>
        <w:rFonts w:hint="eastAsia"/>
      </w:rP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KwNDY3MDMyMrQwMTVS0lEKTi0uzszPAykwqgUAjHzmcSwAAAA="/>
  </w:docVars>
  <w:rsids>
    <w:rsidRoot w:val="00582BAC"/>
    <w:rsid w:val="00001348"/>
    <w:rsid w:val="00032BBA"/>
    <w:rsid w:val="0006303A"/>
    <w:rsid w:val="00181C63"/>
    <w:rsid w:val="00185E01"/>
    <w:rsid w:val="001969C6"/>
    <w:rsid w:val="001C0FB3"/>
    <w:rsid w:val="00204825"/>
    <w:rsid w:val="0023373B"/>
    <w:rsid w:val="00240B0A"/>
    <w:rsid w:val="0025745D"/>
    <w:rsid w:val="002839DF"/>
    <w:rsid w:val="002A3486"/>
    <w:rsid w:val="002C7D15"/>
    <w:rsid w:val="002D69A0"/>
    <w:rsid w:val="00314D0C"/>
    <w:rsid w:val="00314E40"/>
    <w:rsid w:val="00363DC2"/>
    <w:rsid w:val="003A3AFB"/>
    <w:rsid w:val="0045724D"/>
    <w:rsid w:val="00496987"/>
    <w:rsid w:val="004A076D"/>
    <w:rsid w:val="004A51FB"/>
    <w:rsid w:val="0050407B"/>
    <w:rsid w:val="00515C37"/>
    <w:rsid w:val="00533ECB"/>
    <w:rsid w:val="00553DEA"/>
    <w:rsid w:val="00573C02"/>
    <w:rsid w:val="005756B2"/>
    <w:rsid w:val="00582BAC"/>
    <w:rsid w:val="005C3C5C"/>
    <w:rsid w:val="00634162"/>
    <w:rsid w:val="00656D3C"/>
    <w:rsid w:val="00682D0C"/>
    <w:rsid w:val="007C65D4"/>
    <w:rsid w:val="007E3A0F"/>
    <w:rsid w:val="007E3CE4"/>
    <w:rsid w:val="007F0695"/>
    <w:rsid w:val="007F7044"/>
    <w:rsid w:val="00847EEA"/>
    <w:rsid w:val="00863322"/>
    <w:rsid w:val="008B3ECE"/>
    <w:rsid w:val="009E4E40"/>
    <w:rsid w:val="00AC29DF"/>
    <w:rsid w:val="00B622C3"/>
    <w:rsid w:val="00C20FB0"/>
    <w:rsid w:val="00C30F20"/>
    <w:rsid w:val="00C3499A"/>
    <w:rsid w:val="00CA35CF"/>
    <w:rsid w:val="00CF3A2A"/>
    <w:rsid w:val="00D23482"/>
    <w:rsid w:val="00D35F2E"/>
    <w:rsid w:val="00D74C4A"/>
    <w:rsid w:val="00D95348"/>
    <w:rsid w:val="00DB09FA"/>
    <w:rsid w:val="00DF5A18"/>
    <w:rsid w:val="00E16E1E"/>
    <w:rsid w:val="00E91BA6"/>
    <w:rsid w:val="00F11AB4"/>
    <w:rsid w:val="00FA53C3"/>
    <w:rsid w:val="00FF473E"/>
    <w:rsid w:val="0A8D3D36"/>
    <w:rsid w:val="33021130"/>
    <w:rsid w:val="41C82DA6"/>
    <w:rsid w:val="54C06A5E"/>
    <w:rsid w:val="5F2116BE"/>
    <w:rsid w:val="67915041"/>
  </w:rsids>
  <w:themeFontLang w:bidi="hi-IN" w:eastAsia="zh-CN" w:val="en-US"/>
  <w:clrSchemeMapping w:accent1="accent1" w:accent2="accent2" w:accent3="accent3" w:accent4="accent4" w:accent5="accent5" w:accent6="accent6" w:bg1="light1" w:bg2="light2" w:followedHyperlink="followedHyperlink" w:hyperlink="hyperlink" w:t1="dark1" w:t2="dark2"/>
  <w:shapeDefaults>
    <o:shapedefaults fillcolor="white" spidmax="1026" v:ext="edit">
      <v:fill color="white"/>
    </o:shapedefaults>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Arial Unicode MS" w:hAnsi="Times New Roman"/>
        <w:lang w:bidi="hi-IN" w:eastAsia="en-IN" w:val="en-IN"/>
      </w:rPr>
    </w:rPrDefault>
    <w:pPrDefault/>
  </w:docDefaults>
  <w:latentStyles w:count="376" w:defLockedState="0" w:defQFormat="0" w:defSemiHidden="0" w:defUIPriority="99" w:defUnhideWhenUsed="0">
    <w:lsdException w:name="Normal"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uiPriority="0"/>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semiHidden="1" w:unhideWhenUsed="1"/>
    <w:lsdException w:name="Table Grid" w:qFormat="1"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rPr>
      <w:sz w:val="24"/>
      <w:szCs w:val="24"/>
      <w:lang w:bidi="ar-SA" w:eastAsia="en-US" w:val="en-US"/>
    </w:rPr>
  </w:style>
  <w:style w:styleId="Heading1" w:type="paragraph">
    <w:name w:val="heading 1"/>
    <w:basedOn w:val="Normal"/>
    <w:next w:val="Normal"/>
    <w:link w:val="Heading1Char"/>
    <w:uiPriority w:val="9"/>
    <w:qFormat/>
    <w:rsid w:val="009E4E40"/>
    <w:pPr>
      <w:keepNext/>
      <w:keepLines/>
      <w:spacing w:before="240"/>
      <w:outlineLvl w:val="0"/>
    </w:pPr>
    <w:rPr>
      <w:rFonts w:asciiTheme="majorHAnsi" w:cstheme="majorBidi" w:eastAsiaTheme="majorEastAsia" w:hAnsiTheme="majorHAnsi"/>
      <w:color w:themeColor="accent1" w:themeShade="BF" w:val="365F91"/>
      <w:sz w:val="32"/>
      <w:szCs w:val="32"/>
    </w:rPr>
  </w:style>
  <w:style w:default="1" w:styleId="DefaultParagraphFont" w:type="character">
    <w:name w:val="Default Paragraph Font"/>
    <w:uiPriority w:val="1"/>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alloonText" w:type="paragraph">
    <w:name w:val="Balloon Text"/>
    <w:basedOn w:val="Normal"/>
    <w:link w:val="BalloonTextChar"/>
    <w:uiPriority w:val="99"/>
    <w:semiHidden/>
    <w:unhideWhenUsed/>
    <w:qFormat/>
    <w:rPr>
      <w:rFonts w:ascii="Tahoma" w:cs="Tahoma" w:hAnsi="Tahoma"/>
      <w:sz w:val="16"/>
      <w:szCs w:val="16"/>
    </w:rPr>
  </w:style>
  <w:style w:styleId="Footer" w:type="paragraph">
    <w:name w:val="footer"/>
    <w:link w:val="FooterChar"/>
    <w:uiPriority w:val="99"/>
    <w:pPr>
      <w:tabs>
        <w:tab w:pos="4513" w:val="center"/>
        <w:tab w:pos="9026" w:val="right"/>
      </w:tabs>
    </w:pPr>
    <w:rPr>
      <w:rFonts w:ascii="Arial" w:cs="Arial Unicode MS" w:hAnsi="Arial"/>
      <w:color w:val="000000"/>
      <w:sz w:val="22"/>
      <w:szCs w:val="22"/>
      <w:u w:color="000000"/>
      <w:lang w:bidi="ar-SA" w:eastAsia="en-US" w:val="en-US"/>
    </w:rPr>
  </w:style>
  <w:style w:styleId="Header" w:type="paragraph">
    <w:name w:val="header"/>
    <w:basedOn w:val="Normal"/>
    <w:link w:val="HeaderChar"/>
    <w:uiPriority w:val="99"/>
    <w:unhideWhenUsed/>
    <w:qFormat/>
    <w:pPr>
      <w:tabs>
        <w:tab w:pos="4513" w:val="center"/>
        <w:tab w:pos="9026" w:val="right"/>
      </w:tabs>
    </w:pPr>
  </w:style>
  <w:style w:styleId="Hyperlink" w:type="character">
    <w:name w:val="Hyperlink"/>
    <w:qFormat/>
    <w:rPr>
      <w:u w:val="single"/>
    </w:rPr>
  </w:style>
  <w:style w:styleId="TableGrid" w:type="table">
    <w:name w:val="Table Grid"/>
    <w:basedOn w:val="TableNormal"/>
    <w:uiPriority w:val="59"/>
    <w:unhideWhenUsed/>
    <w:qFormat/>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HeaderFooter" w:type="paragraph">
    <w:name w:val="Header &amp; Footer"/>
    <w:pPr>
      <w:tabs>
        <w:tab w:pos="9020" w:val="right"/>
      </w:tabs>
    </w:pPr>
    <w:rPr>
      <w:rFonts w:ascii="Helvetica Neue" w:cs="Arial Unicode MS" w:hAnsi="Helvetica Neue"/>
      <w:color w:val="000000"/>
      <w:sz w:val="24"/>
      <w:szCs w:val="24"/>
      <w:lang w:bidi="ar-SA" w:eastAsia="en-US" w:val="en-US"/>
    </w:rPr>
  </w:style>
  <w:style w:customStyle="1" w:styleId="Normal1" w:type="paragraph">
    <w:name w:val="Normal1"/>
    <w:qFormat/>
    <w:pPr>
      <w:spacing w:line="276" w:lineRule="auto"/>
    </w:pPr>
    <w:rPr>
      <w:rFonts w:ascii="Arial" w:cs="Arial Unicode MS" w:hAnsi="Arial"/>
      <w:color w:val="000000"/>
      <w:sz w:val="22"/>
      <w:szCs w:val="22"/>
      <w:u w:color="000000"/>
      <w:lang w:bidi="ar-SA" w:eastAsia="en-US" w:val="en-US"/>
    </w:rPr>
  </w:style>
  <w:style w:customStyle="1" w:styleId="Body" w:type="paragraph">
    <w:name w:val="Body"/>
    <w:qFormat/>
    <w:pPr>
      <w:spacing w:line="276" w:lineRule="auto"/>
    </w:pPr>
    <w:rPr>
      <w:rFonts w:ascii="Arial" w:cs="Arial" w:eastAsia="Arial" w:hAnsi="Arial"/>
      <w:color w:val="000000"/>
      <w:sz w:val="22"/>
      <w:szCs w:val="22"/>
      <w:u w:color="000000"/>
      <w:lang w:bidi="ar-SA" w:eastAsia="en-US" w:val="en-US"/>
    </w:rPr>
  </w:style>
  <w:style w:customStyle="1" w:styleId="BalloonTextChar" w:type="character">
    <w:name w:val="Balloon Text Char"/>
    <w:basedOn w:val="DefaultParagraphFont"/>
    <w:link w:val="BalloonText"/>
    <w:uiPriority w:val="99"/>
    <w:semiHidden/>
    <w:qFormat/>
    <w:rPr>
      <w:rFonts w:ascii="Tahoma" w:cs="Tahoma" w:hAnsi="Tahoma"/>
      <w:sz w:val="16"/>
      <w:szCs w:val="16"/>
    </w:rPr>
  </w:style>
  <w:style w:customStyle="1" w:styleId="HeaderChar" w:type="character">
    <w:name w:val="Header Char"/>
    <w:basedOn w:val="DefaultParagraphFont"/>
    <w:link w:val="Header"/>
    <w:uiPriority w:val="99"/>
    <w:qFormat/>
    <w:rPr>
      <w:sz w:val="24"/>
      <w:szCs w:val="24"/>
    </w:rPr>
  </w:style>
  <w:style w:customStyle="1" w:styleId="FooterChar" w:type="character">
    <w:name w:val="Footer Char"/>
    <w:basedOn w:val="DefaultParagraphFont"/>
    <w:link w:val="Footer"/>
    <w:uiPriority w:val="99"/>
    <w:qFormat/>
    <w:rPr>
      <w:rFonts w:ascii="Arial" w:cs="Arial Unicode MS" w:hAnsi="Arial"/>
      <w:color w:val="000000"/>
      <w:sz w:val="22"/>
      <w:szCs w:val="22"/>
      <w:u w:color="000000"/>
    </w:rPr>
  </w:style>
  <w:style w:customStyle="1" w:styleId="Heading1Char" w:type="character">
    <w:name w:val="Heading 1 Char"/>
    <w:basedOn w:val="DefaultParagraphFont"/>
    <w:link w:val="Heading1"/>
    <w:uiPriority w:val="9"/>
    <w:rsid w:val="009E4E40"/>
    <w:rPr>
      <w:rFonts w:asciiTheme="majorHAnsi" w:cstheme="majorBidi" w:eastAsiaTheme="majorEastAsia" w:hAnsiTheme="majorHAnsi"/>
      <w:color w:themeColor="accent1" w:themeShade="BF" w:val="365F91"/>
      <w:sz w:val="32"/>
      <w:szCs w:val="32"/>
      <w:lang w:bidi="ar-SA" w:eastAsia="en-US" w:val="en-U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22" Target="numbering.xml" /><Relationship Type="http://schemas.openxmlformats.org/officeDocument/2006/relationships/styles" Id="rId21" Target="styles.xml" /><Relationship Type="http://schemas.openxmlformats.org/officeDocument/2006/relationships/settings" Id="rId20" Target="settings.xml" /><Relationship Type="http://schemas.openxmlformats.org/officeDocument/2006/relationships/webSettings" Id="rId19" Target="webSettings.xml" /><Relationship Type="http://schemas.openxmlformats.org/officeDocument/2006/relationships/fontTable" Id="rId18" Target="fontTable.xml" /><Relationship Type="http://schemas.openxmlformats.org/officeDocument/2006/relationships/theme" Id="rId17" Target="theme/theme1.xml" /><Relationship Type="http://schemas.openxmlformats.org/officeDocument/2006/relationships/footnotes" Id="rId16" Target="footnotes.xml" /><Relationship Type="http://schemas.openxmlformats.org/officeDocument/2006/relationships/comments" Id="rId15" Target="comments.xml" /><Relationship Id="rId8" Target="footer1.xml" Type="http://schemas.openxmlformats.org/officeDocument/2006/relationships/footer" /><Relationship Id="rId13" Target="header2.xml" Type="http://schemas.openxmlformats.org/officeDocument/2006/relationships/header" /><Relationship Id="rId7" Target="media/image1.jpeg" Type="http://schemas.openxmlformats.org/officeDocument/2006/relationships/image" /><Relationship Id="rId12" Target="footer2.xml" Type="http://schemas.openxmlformats.org/officeDocument/2006/relationships/footer" /><Relationship Id="rId11" Target="header1.xml" Type="http://schemas.openxmlformats.org/officeDocument/2006/relationships/header" /><Relationship Id="rId10" Target="media/image3.jpeg" Type="http://schemas.openxmlformats.org/officeDocument/2006/relationships/image" /><Relationship Id="rId9" Target="media/image2.jpeg" Type="http://schemas.openxmlformats.org/officeDocument/2006/relationships/image" /><Relationship Id="rId14" Target="footer3.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Pr>
      <a:bodyPr rot="0" spcFirstLastPara="1" vertOverflow="overflow" horzOverflow="overflow" vert="horz" wrap="square" lIns="45719" tIns="45719" rIns="45719" bIns="45719" numCol="1" spcCol="38100" rtlCol="0" anchor="ctr">
        <a:spAutoFit/>
      </a:body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45719" tIns="45719" rIns="45719" bIns="45719" numCol="1" spcCol="38100" rtlCol="0" anchor="t">
        <a:spAutoFit/>
      </a:body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17</Pages>
  <Words>572</Words>
  <Characters>3266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2026-04-24T11:25:45Z</dcterms:created>
  <dcterms:modified xsi:type="dcterms:W3CDTF">2026-04-24T11:25:45Z</dcterms:modified>
</cp:coreProperties>
</file>

<file path=docProps/custom.xml><?xml version="1.0" encoding="utf-8"?>
<Properties xmlns="http://schemas.openxmlformats.org/officeDocument/2006/custom-properties" xmlns:vt="http://schemas.openxmlformats.org/officeDocument/2006/docPropsVTypes"/>
</file>