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lifelong-learning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4" w:name="introduction"/>
    <w:p>
      <w:pPr>
        <w:pStyle w:val="Heading1"/>
      </w:pPr>
      <w:r>
        <w:t xml:space="preserve">1. Introduction</w:t>
      </w:r>
    </w:p>
    <w:p>
      <w:pPr>
        <w:pStyle w:val="FirstParagraph"/>
      </w:pPr>
      <w:r>
        <w:t xml:space="preserve">What is active learning and why this is matter</w:t>
      </w:r>
      <w:r>
        <w:t xml:space="preserve"> </w:t>
      </w:r>
      <w:r>
        <w:t xml:space="preserve">Gogus (2012)</w:t>
      </w:r>
    </w:p>
    <w:p>
      <w:pPr>
        <w:pStyle w:val="BodyText"/>
      </w:pPr>
      <w:r>
        <w:t xml:space="preserve">I don’t know how people mention about this in literature but it’s amazing how much the topic has developed and evolved throughout the pass decade.</w:t>
      </w:r>
      <w:r>
        <w:t xml:space="preserve"> </w:t>
      </w:r>
      <w:r>
        <w:t xml:space="preserve">Voysey et al. (2021)</w:t>
      </w:r>
    </w:p>
    <w:tbl>
      <w:tblPr>
        <w:tblStyle w:val="Table"/>
        <w:tblW w:type="pct" w:w="5000"/>
        <w:tblLayout w:type="fixed"/>
        <w:tblLook w:firstRow="0" w:lastRow="0" w:firstColumn="0" w:lastColumn="0" w:noHBand="0" w:noVBand="0" w:val="0000"/>
      </w:tblPr>
      <w:tblGrid>
        <w:gridCol w:w="7920"/>
      </w:tblGrid>
      <w:tr>
        <w:tc>
          <w:tcPr/>
          <w:bookmarkStart w:id="23" w:name="fig-exp-learning"/>
          <w:p>
            <w:pPr>
              <w:pStyle w:val="Compact"/>
              <w:jc w:val="center"/>
            </w:pPr>
            <w:r>
              <w:drawing>
                <wp:inline>
                  <wp:extent cx="5334000" cy="5334000"/>
                  <wp:effectExtent b="0" l="0" r="0" t="0"/>
                  <wp:docPr descr="" title="" id="21" name="Picture"/>
                  <a:graphic>
                    <a:graphicData uri="http://schemas.openxmlformats.org/drawingml/2006/picture">
                      <pic:pic>
                        <pic:nvPicPr>
                          <pic:cNvPr descr="lifelong-learning/experiential-learning.png" id="22"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Experientail Learning |300</w:t>
            </w:r>
          </w:p>
          <w:bookmarkEnd w:id="23"/>
        </w:tc>
      </w:tr>
    </w:tbl>
    <w:bookmarkEnd w:id="24"/>
    <w:bookmarkStart w:id="25" w:name="manager"/>
    <w:p>
      <w:pPr>
        <w:pStyle w:val="Heading1"/>
      </w:pPr>
      <w:r>
        <w:t xml:space="preserve">2. Manager</w:t>
      </w:r>
    </w:p>
    <w:p>
      <w:pPr>
        <w:pStyle w:val="FirstParagraph"/>
      </w:pPr>
      <w:r>
        <w:t xml:space="preserve">However, there are some learning tool that need improvement</w:t>
      </w:r>
      <w:r>
        <w:t xml:space="preserve"> </w:t>
      </w:r>
      <w:r>
        <w:t xml:space="preserve">Seif (2021)</w:t>
      </w:r>
    </w:p>
    <w:bookmarkEnd w:id="25"/>
    <w:bookmarkStart w:id="30" w:name="statistical-analysis"/>
    <w:p>
      <w:pPr>
        <w:pStyle w:val="Heading1"/>
      </w:pPr>
      <w:r>
        <w:t xml:space="preserve">3. Statistical analysis</w:t>
      </w:r>
    </w:p>
    <w:p>
      <w:pPr>
        <w:pStyle w:val="FirstParagraph"/>
      </w:pPr>
      <w:r>
        <w:t xml:space="preserve">here is another picture</w:t>
      </w:r>
    </w:p>
    <w:tbl>
      <w:tblPr>
        <w:tblStyle w:val="Table"/>
        <w:tblW w:type="pct" w:w="5000"/>
        <w:tblLayout w:type="fixed"/>
        <w:tblLook w:firstRow="0" w:lastRow="0" w:firstColumn="0" w:lastColumn="0" w:noHBand="0" w:noVBand="0" w:val="0000"/>
      </w:tblPr>
      <w:tblGrid>
        <w:gridCol w:w="7920"/>
      </w:tblGrid>
      <w:tr>
        <w:tc>
          <w:tcPr/>
          <w:bookmarkStart w:id="29" w:name="fig-lifelong"/>
          <w:p>
            <w:pPr>
              <w:pStyle w:val="Compact"/>
              <w:jc w:val="center"/>
            </w:pPr>
            <w:r>
              <w:drawing>
                <wp:inline>
                  <wp:extent cx="5334000" cy="8242300"/>
                  <wp:effectExtent b="0" l="0" r="0" t="0"/>
                  <wp:docPr descr="" title="" id="27" name="Picture"/>
                  <a:graphic>
                    <a:graphicData uri="http://schemas.openxmlformats.org/drawingml/2006/picture">
                      <pic:pic>
                        <pic:nvPicPr>
                          <pic:cNvPr descr="lifelong-learning/lifelong-learner-card.png" id="28" name="Picture"/>
                          <pic:cNvPicPr>
                            <a:picLocks noChangeArrowheads="1" noChangeAspect="1"/>
                          </pic:cNvPicPr>
                        </pic:nvPicPr>
                        <pic:blipFill>
                          <a:blip r:embed="rId26"/>
                          <a:stretch>
                            <a:fillRect/>
                          </a:stretch>
                        </pic:blipFill>
                        <pic:spPr bwMode="auto">
                          <a:xfrm>
                            <a:off x="0" y="0"/>
                            <a:ext cx="5334000" cy="82423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Lifelong learning diagram</w:t>
            </w:r>
          </w:p>
          <w:bookmarkEnd w:id="29"/>
        </w:tc>
      </w:tr>
    </w:tbl>
    <w:bookmarkEnd w:id="30"/>
    <w:bookmarkStart w:id="31" w:name="improvement"/>
    <w:p>
      <w:pPr>
        <w:pStyle w:val="Heading1"/>
      </w:pPr>
      <w:r>
        <w:t xml:space="preserve">4. Improvement</w:t>
      </w:r>
    </w:p>
    <w:p>
      <w:pPr>
        <w:pStyle w:val="FirstParagraph"/>
      </w:pPr>
      <w:r>
        <w:t xml:space="preserve">Using the construction and guidance on</w:t>
      </w:r>
      <w:r>
        <w:t xml:space="preserve"> </w:t>
      </w:r>
      <w:hyperlink w:anchor="fig-exp-learning">
        <w:r>
          <w:rPr>
            <w:rStyle w:val="Hyperlink"/>
          </w:rPr>
          <w:t xml:space="preserve">Figure 1</w:t>
        </w:r>
      </w:hyperlink>
      <w:r>
        <w:t xml:space="preserve"> </w:t>
      </w:r>
      <w:r>
        <w:t xml:space="preserve">how the literature help improve our understanding is the key</w:t>
      </w:r>
      <w:r>
        <w:t xml:space="preserve"> </w:t>
      </w:r>
      <w:r>
        <w:t xml:space="preserve">Bordage (2009)</w:t>
      </w:r>
      <w:r>
        <w:t xml:space="preserve"> </w:t>
      </w:r>
      <w:r>
        <w:t xml:space="preserve">like have been shown in</w:t>
      </w:r>
      <w:r>
        <w:t xml:space="preserve"> </w:t>
      </w:r>
      <w:hyperlink w:anchor="fig-lifelong">
        <w:r>
          <w:rPr>
            <w:rStyle w:val="Hyperlink"/>
          </w:rPr>
          <w:t xml:space="preserve">Figure 2</w:t>
        </w:r>
      </w:hyperlink>
    </w:p>
    <w:bookmarkEnd w:id="31"/>
    <w:bookmarkStart w:id="39" w:name="reference"/>
    <w:p>
      <w:pPr>
        <w:pStyle w:val="Heading1"/>
      </w:pPr>
      <w:r>
        <w:t xml:space="preserve">5. Reference</w:t>
      </w:r>
    </w:p>
    <w:bookmarkStart w:id="38" w:name="refs"/>
    <w:bookmarkStart w:id="33" w:name="ref-bordage2009"/>
    <w:p>
      <w:pPr>
        <w:pStyle w:val="Bibliography"/>
      </w:pPr>
      <w:r>
        <w:t xml:space="preserve">Bordage, G. (2009). Conceptual frameworks to illuminate and magnify.</w:t>
      </w:r>
      <w:r>
        <w:t xml:space="preserve"> </w:t>
      </w:r>
      <w:r>
        <w:rPr>
          <w:i/>
          <w:iCs/>
        </w:rPr>
        <w:t xml:space="preserve">Medical Education</w:t>
      </w:r>
      <w:r>
        <w:t xml:space="preserve">,</w:t>
      </w:r>
      <w:r>
        <w:t xml:space="preserve"> </w:t>
      </w:r>
      <w:r>
        <w:rPr>
          <w:i/>
          <w:iCs/>
        </w:rPr>
        <w:t xml:space="preserve">43</w:t>
      </w:r>
      <w:r>
        <w:t xml:space="preserve">(4), 312–319.</w:t>
      </w:r>
      <w:r>
        <w:t xml:space="preserve"> </w:t>
      </w:r>
      <w:hyperlink r:id="rId32">
        <w:r>
          <w:rPr>
            <w:rStyle w:val="Hyperlink"/>
          </w:rPr>
          <w:t xml:space="preserve">https://doi.org/10.1111/j.1365-2923.2009.03295.x</w:t>
        </w:r>
      </w:hyperlink>
    </w:p>
    <w:bookmarkEnd w:id="33"/>
    <w:bookmarkStart w:id="34" w:name="ref-Gogus2012"/>
    <w:p>
      <w:pPr>
        <w:pStyle w:val="Bibliography"/>
      </w:pPr>
      <w:r>
        <w:t xml:space="preserve">Gogus, A. (2012).</w:t>
      </w:r>
      <w:r>
        <w:t xml:space="preserve"> </w:t>
      </w:r>
      <w:r>
        <w:rPr>
          <w:i/>
          <w:iCs/>
        </w:rPr>
        <w:t xml:space="preserve">Active learning</w:t>
      </w:r>
      <w:r>
        <w:t xml:space="preserve"> </w:t>
      </w:r>
      <w:r>
        <w:t xml:space="preserve">(N. M. Seel, Ed.; pp. 77–80). Springer US.</w:t>
      </w:r>
    </w:p>
    <w:bookmarkEnd w:id="34"/>
    <w:bookmarkStart w:id="35" w:name="ref-seif2021"/>
    <w:p>
      <w:pPr>
        <w:pStyle w:val="Bibliography"/>
      </w:pPr>
      <w:r>
        <w:t xml:space="preserve">Seif, E. (2021).</w:t>
      </w:r>
      <w:r>
        <w:t xml:space="preserve"> </w:t>
      </w:r>
      <w:r>
        <w:rPr>
          <w:i/>
          <w:iCs/>
        </w:rPr>
        <w:t xml:space="preserve">Teaching for lifelong learning: How to prepare students for a changing world</w:t>
      </w:r>
      <w:r>
        <w:t xml:space="preserve">. Solution Tree Press.</w:t>
      </w:r>
    </w:p>
    <w:bookmarkEnd w:id="35"/>
    <w:bookmarkStart w:id="37" w:name="ref-Voysey2021b"/>
    <w:p>
      <w:pPr>
        <w:pStyle w:val="Bibliography"/>
      </w:pPr>
      <w:r>
        <w:t xml:space="preserve">Voysey, M., Costa Clemens, S. A., Madhi, S. A., Weckx, L. Y., Folegatti, P. M., Aley, P. K., Angus, B., Baillie, V. L., Barnabas, S. L., Bhorat, Q. E., Bibi, S., Briner, C., Cicconi, P., Clutterbuck, E. A., Collins, A. M., Cutland, C. L., Darton, T. C., Dheda, K., Dold, C., … Zuidewind, P. (2021). Single-dose administration and the influence of the timing of the booster dose on immunogenicity and efficacy of ChAdOx1 nCoV-19 (AZD1222) vaccine: A pooled analysis of four randomised trials.</w:t>
      </w:r>
      <w:r>
        <w:t xml:space="preserve"> </w:t>
      </w:r>
      <w:r>
        <w:rPr>
          <w:i/>
          <w:iCs/>
        </w:rPr>
        <w:t xml:space="preserve">The Lancet</w:t>
      </w:r>
      <w:r>
        <w:t xml:space="preserve">,</w:t>
      </w:r>
      <w:r>
        <w:t xml:space="preserve"> </w:t>
      </w:r>
      <w:r>
        <w:rPr>
          <w:i/>
          <w:iCs/>
        </w:rPr>
        <w:t xml:space="preserve">397</w:t>
      </w:r>
      <w:r>
        <w:t xml:space="preserve">(10277), 881–891.</w:t>
      </w:r>
      <w:r>
        <w:t xml:space="preserve"> </w:t>
      </w:r>
      <w:hyperlink r:id="rId36">
        <w:r>
          <w:rPr>
            <w:rStyle w:val="Hyperlink"/>
          </w:rPr>
          <w:t xml:space="preserve">https://doi.org/10.1016/S0140-6736(21)00432-3</w:t>
        </w:r>
      </w:hyperlink>
    </w:p>
    <w:bookmarkEnd w:id="37"/>
    <w:bookmarkEnd w:id="38"/>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hyperlink" Id="rId36" Target="https://doi.org/10.1016/S0140-6736(21)00432-3" TargetMode="External" /><Relationship Type="http://schemas.openxmlformats.org/officeDocument/2006/relationships/hyperlink" Id="rId32" Target="https://doi.org/10.1111/j.1365-2923.2009.03295.x" TargetMode="External" /></Relationships>
</file>

<file path=word/_rels/footnotes.xml.rels><?xml version="1.0" encoding="UTF-8"?><Relationships xmlns="http://schemas.openxmlformats.org/package/2006/relationships"><Relationship Type="http://schemas.openxmlformats.org/officeDocument/2006/relationships/hyperlink" Id="rId36" Target="https://doi.org/10.1016/S0140-6736(21)00432-3" TargetMode="External" /><Relationship Type="http://schemas.openxmlformats.org/officeDocument/2006/relationships/hyperlink" Id="rId32" Target="https://doi.org/10.1111/j.1365-2923.2009.03295.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lifelong-learning</dc:title>
  <dc:creator/>
  <cp:keywords/>
  <dcterms:created xsi:type="dcterms:W3CDTF">2025-04-07T08:07:00Z</dcterms:created>
  <dcterms:modified xsi:type="dcterms:W3CDTF">2025-04-07T08:07:00Z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https://www.zotero.org/styles/apa</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y fmtid="{D5CDD505-2E9C-101B-9397-08002B2CF9AE}" pid="10" name="tof">
    <vt:lpwstr>True</vt:lpwstr>
  </property>
  <property fmtid="{D5CDD505-2E9C-101B-9397-08002B2CF9AE}" pid="11" name="tof-title">
    <vt:lpwstr>Table of Figures</vt:lpwstr>
  </property>
  <property fmtid="{D5CDD505-2E9C-101B-9397-08002B2CF9AE}" pid="12" name="tot">
    <vt:lpwstr>True</vt:lpwstr>
  </property>
  <property fmtid="{D5CDD505-2E9C-101B-9397-08002B2CF9AE}" pid="13" name="tot-title">
    <vt:lpwstr>Table of Tables</vt:lpwstr>
  </property>
</Properties>
</file>