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rPr>
          <w:rFonts w:ascii="Calibri" w:cs="Calibri" w:eastAsia="Calibri" w:hAnsi="Calibri"/>
          <w:b/>
          <w:bCs/>
          <w:color w:val="1E3A8A"/>
          <w:sz w:val="44"/>
          <w:szCs w:val="44"/>
        </w:rPr>
        <w:t xml:space="preserve">Lietotnes «Easy walls 2.0» vērtības un cenas noteikšana</w:t>
      </w:r>
    </w:p>
    <w:p>
      <w:pPr>
        <w:spacing w:after="300"/>
      </w:pPr>
      <w:r>
        <w:rPr>
          <w:rFonts w:ascii="Calibri" w:cs="Calibri" w:eastAsia="Calibri" w:hAnsi="Calibri"/>
          <w:color w:val="64748B"/>
          <w:sz w:val="24"/>
          <w:szCs w:val="24"/>
        </w:rPr>
        <w:t xml:space="preserve">Metodoloģisks un stratēģisks ceļvedis sadarbībai un cenu sarunām ar Latvijas Nacionālo mākslas muzeju (LNMM)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120" w:before="60" w:line="276"/>
              <w:jc w:val="left"/>
            </w:pPr>
            <w:r>
              <w:rPr>
                <w:rFonts w:ascii="Calibri" w:cs="Calibri" w:eastAsia="Calibri" w:hAnsi="Calibri"/>
                <w:b/>
                <w:bCs/>
                <w:color w:val="1E293B"/>
                <w:sz w:val="22"/>
                <w:szCs w:val="22"/>
              </w:rPr>
              <w:t xml:space="preserve">Projekts: </w:t>
            </w:r>
            <w:r>
              <w:rPr>
                <w:rFonts w:ascii="Calibri" w:cs="Calibri" w:eastAsia="Calibri" w:hAnsi="Calibri"/>
                <w:color w:val="1E293B"/>
                <w:sz w:val="22"/>
                <w:szCs w:val="22"/>
              </w:rPr>
              <w:t xml:space="preserve">Easy walls 2.0 (LNMM izstāžu zāļu plānošanas rīks)
</w:t>
            </w:r>
            <w:r>
              <w:rPr>
                <w:rFonts w:ascii="Calibri" w:cs="Calibri" w:eastAsia="Calibri" w:hAnsi="Calibri"/>
                <w:b/>
                <w:bCs/>
                <w:color w:val="1E293B"/>
                <w:sz w:val="22"/>
                <w:szCs w:val="22"/>
              </w:rPr>
              <w:t xml:space="preserve">Mērķauditorija: </w:t>
            </w:r>
            <w:r>
              <w:rPr>
                <w:rFonts w:ascii="Calibri" w:cs="Calibri" w:eastAsia="Calibri" w:hAnsi="Calibri"/>
                <w:color w:val="1E293B"/>
                <w:sz w:val="22"/>
                <w:szCs w:val="22"/>
              </w:rPr>
              <w:t xml:space="preserve">Izstāžu kuratori, arhitekti, montāžas un tehniskā vadība
</w:t>
            </w:r>
            <w:r>
              <w:rPr>
                <w:rFonts w:ascii="Calibri" w:cs="Calibri" w:eastAsia="Calibri" w:hAnsi="Calibri"/>
                <w:b/>
                <w:bCs/>
                <w:color w:val="1E293B"/>
                <w:sz w:val="22"/>
                <w:szCs w:val="22"/>
              </w:rPr>
              <w:t xml:space="preserve">Dokumenta mērķis: </w:t>
            </w:r>
            <w:r>
              <w:rPr>
                <w:rFonts w:ascii="Calibri" w:cs="Calibri" w:eastAsia="Calibri" w:hAnsi="Calibri"/>
                <w:color w:val="1E293B"/>
                <w:sz w:val="22"/>
                <w:szCs w:val="22"/>
              </w:rPr>
              <w:t xml:space="preserve">Sniegt strukturētu pamatojumu produkta finansiālās vērtības aprēķināšanai un sagatavoties sarunām par atlīdzību/līgumu.</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1E3A8A" w:sz="24"/>
              <w:bottom w:val="none"/>
              <w:right w:val="none"/>
            </w:tcBorders>
            <w:shd w:fill="EFF6FF" w:val="clear"/>
            <w:tcMar>
              <w:top w:type="dxa" w:w="160"/>
              <w:left w:type="dxa" w:w="240"/>
              <w:bottom w:type="dxa" w:w="160"/>
              <w:right w:type="dxa" w:w="200"/>
            </w:tcMar>
          </w:tcPr>
          <w:p>
            <w:pPr>
              <w:spacing w:after="80"/>
            </w:pPr>
            <w:r>
              <w:rPr>
                <w:rFonts w:ascii="Calibri" w:cs="Calibri" w:eastAsia="Calibri" w:hAnsi="Calibri"/>
                <w:b/>
                <w:bCs/>
                <w:color w:val="1E3A8A"/>
                <w:sz w:val="22"/>
                <w:szCs w:val="22"/>
              </w:rPr>
              <w:t xml:space="preserve">💡 STRATĒĢISKAIS KOPSAVILKUMS</w:t>
            </w:r>
          </w:p>
          <w:p>
            <w:pPr>
              <w:spacing w:line="260"/>
            </w:pPr>
            <w:r>
              <w:rPr>
                <w:rFonts w:ascii="Calibri" w:cs="Calibri" w:eastAsia="Calibri" w:hAnsi="Calibri"/>
                <w:color w:val="1E293B"/>
                <w:sz w:val="21"/>
                <w:szCs w:val="21"/>
              </w:rPr>
              <w:t xml:space="preserve">«Easy walls 2.0» nav tipiska tīmekļa vietne vai datu bāzes ievades forma. Tas ir </w:t>
            </w:r>
            <w:r>
              <w:rPr>
                <w:rFonts w:ascii="Calibri" w:cs="Calibri" w:eastAsia="Calibri" w:hAnsi="Calibri"/>
                <w:b/>
                <w:bCs/>
                <w:color w:val="1E293B"/>
                <w:sz w:val="21"/>
                <w:szCs w:val="21"/>
              </w:rPr>
              <w:t xml:space="preserve">specializēts inženiertehniskais mikro-CAD rīks</w:t>
            </w:r>
            <w:r>
              <w:rPr>
                <w:rFonts w:ascii="Calibri" w:cs="Calibri" w:eastAsia="Calibri" w:hAnsi="Calibri"/>
                <w:color w:val="1E293B"/>
                <w:sz w:val="21"/>
                <w:szCs w:val="21"/>
              </w:rPr>
              <w:t xml:space="preserve"> ar nestandarta ģeometrijas un renderēšanas dzinēju, automātisko PDF rasējumu mērogošanu, kolīziju novēršanu un tūlītēju svara/elementu specifikācijas aprēķinu. Šādu specializētu rīku vērtību nenosaka tikai patērētais laiks, bet gan ilgtermiņa ieguvumi pasūtītājam un unikālā domēna loģika.</w:t>
            </w:r>
          </w:p>
        </w:tc>
      </w:tr>
    </w:tbl>
    <w:p>
      <w:pPr>
        <w:spacing w:after="200"/>
      </w:pPr>
    </w:p>
    <w:p>
      <w:pPr>
        <w:pStyle w:val="Heading1"/>
        <w:spacing w:after="150" w:before="400"/>
        <w:rPr>
          <w:rFonts w:ascii="Calibri" w:cs="Calibri" w:eastAsia="Calibri" w:hAnsi="Calibri"/>
          <w:b/>
          <w:bCs/>
          <w:color w:val="1E3A8A"/>
          <w:sz w:val="32"/>
          <w:szCs w:val="32"/>
        </w:rPr>
      </w:pPr>
      <w:r>
        <w:t xml:space="preserve">1. Produkta specifika un tehniskā sarežģītība</w:t>
      </w:r>
    </w:p>
    <w:p>
      <w:pPr>
        <w:spacing w:after="120" w:before="60" w:line="276"/>
        <w:jc w:val="left"/>
      </w:pPr>
      <w:r>
        <w:rPr>
          <w:rFonts w:ascii="Calibri" w:cs="Calibri" w:eastAsia="Calibri" w:hAnsi="Calibri"/>
          <w:color w:val="1E293B"/>
          <w:sz w:val="22"/>
          <w:szCs w:val="22"/>
        </w:rPr>
        <w:t xml:space="preserve">Lai sarunās ar pasūtītāju pamatotu adekvātu cenu, ir svarīgi definēt, ar ko šī sistēma atšķiras no standarta programmatūras izstrādes projektiem. «Easy walls 2.0» satur vairākus augstas sarežģītības inženiertehniskos moduļus:</w:t>
      </w:r>
    </w:p>
    <w:p>
      <w:pPr>
        <w:pStyle w:val="ListParagraph"/>
        <w:numPr>
          <w:ilvl w:val="0"/>
          <w:numId w:val="1"/>
        </w:numPr>
        <w:spacing w:after="80" w:before="40" w:line="260"/>
      </w:pPr>
      <w:r>
        <w:rPr>
          <w:rFonts w:ascii="Calibri" w:cs="Calibri" w:eastAsia="Calibri" w:hAnsi="Calibri"/>
          <w:b/>
          <w:bCs/>
          <w:color w:val="1E293B"/>
          <w:sz w:val="22"/>
          <w:szCs w:val="22"/>
        </w:rPr>
        <w:t xml:space="preserve">Pielāgots Canvas 2D renderēšanas dzinējs: </w:t>
      </w:r>
      <w:r>
        <w:rPr>
          <w:rFonts w:ascii="Calibri" w:cs="Calibri" w:eastAsia="Calibri" w:hAnsi="Calibri"/>
          <w:color w:val="1E293B"/>
          <w:sz w:val="22"/>
          <w:szCs w:val="22"/>
        </w:rPr>
        <w:t xml:space="preserve">Matemātiskās koordinātu transformācijas reāllaikā (World-to-Screen, Screen-to-World, World-to-Grid) ar augstu kadru ātrumu un mērogošanas elastību.</w:t>
      </w:r>
    </w:p>
    <w:p>
      <w:pPr>
        <w:pStyle w:val="ListParagraph"/>
        <w:numPr>
          <w:ilvl w:val="0"/>
          <w:numId w:val="1"/>
        </w:numPr>
        <w:spacing w:after="80" w:before="40" w:line="260"/>
      </w:pPr>
      <w:r>
        <w:rPr>
          <w:rFonts w:ascii="Calibri" w:cs="Calibri" w:eastAsia="Calibri" w:hAnsi="Calibri"/>
          <w:b/>
          <w:bCs/>
          <w:color w:val="1E293B"/>
          <w:sz w:val="22"/>
          <w:szCs w:val="22"/>
        </w:rPr>
        <w:t xml:space="preserve">Vektoru PDF automātiskā mērogošana: </w:t>
      </w:r>
      <w:r>
        <w:rPr>
          <w:rFonts w:ascii="Calibri" w:cs="Calibri" w:eastAsia="Calibri" w:hAnsi="Calibri"/>
          <w:color w:val="1E293B"/>
          <w:sz w:val="22"/>
          <w:szCs w:val="22"/>
        </w:rPr>
        <w:t xml:space="preserve">Iebūvēts analītisks algoritms (lineārā regresija), kas automātiski atpazīst rasējuma izmēru ķēdes un aprēķina precīzu mērogu (piem., 1:100, 1:50) bez manuālas kļūdainas kalibrēšanas.</w:t>
      </w:r>
    </w:p>
    <w:p>
      <w:pPr>
        <w:pStyle w:val="ListParagraph"/>
        <w:numPr>
          <w:ilvl w:val="0"/>
          <w:numId w:val="1"/>
        </w:numPr>
        <w:spacing w:after="80" w:before="40" w:line="260"/>
      </w:pPr>
      <w:r>
        <w:rPr>
          <w:rFonts w:ascii="Calibri" w:cs="Calibri" w:eastAsia="Calibri" w:hAnsi="Calibri"/>
          <w:b/>
          <w:bCs/>
          <w:color w:val="1E293B"/>
          <w:sz w:val="22"/>
          <w:szCs w:val="22"/>
        </w:rPr>
        <w:t xml:space="preserve">Fiziskā ģeometrija un magnētiskā snapošana: </w:t>
      </w:r>
      <w:r>
        <w:rPr>
          <w:rFonts w:ascii="Calibri" w:cs="Calibri" w:eastAsia="Calibri" w:hAnsi="Calibri"/>
          <w:color w:val="1E293B"/>
          <w:sz w:val="22"/>
          <w:szCs w:val="22"/>
        </w:rPr>
        <w:t xml:space="preserve">L, T, X un Z veida savienojumu porti, 500 mm bāzes solis un stingra kolīziju bloķēšana, kas nepieļauj fiziski neiespējamu sienu pārklāšanos.</w:t>
      </w:r>
    </w:p>
    <w:p>
      <w:pPr>
        <w:pStyle w:val="ListParagraph"/>
        <w:numPr>
          <w:ilvl w:val="0"/>
          <w:numId w:val="1"/>
        </w:numPr>
        <w:spacing w:after="80" w:before="40" w:line="260"/>
      </w:pPr>
      <w:r>
        <w:rPr>
          <w:rFonts w:ascii="Calibri" w:cs="Calibri" w:eastAsia="Calibri" w:hAnsi="Calibri"/>
          <w:b/>
          <w:bCs/>
          <w:color w:val="1E293B"/>
          <w:sz w:val="22"/>
          <w:szCs w:val="22"/>
        </w:rPr>
        <w:t xml:space="preserve">Automātiskā specifikācija un svara aprēķins: </w:t>
      </w:r>
      <w:r>
        <w:rPr>
          <w:rFonts w:ascii="Calibri" w:cs="Calibri" w:eastAsia="Calibri" w:hAnsi="Calibri"/>
          <w:color w:val="1E293B"/>
          <w:sz w:val="22"/>
          <w:szCs w:val="22"/>
        </w:rPr>
        <w:t xml:space="preserve">Lietotne reāllaikā klasificē moduļu tipus (M-LN, M-TC, M-LL, M-LR utt.) un kalkulē kopsvaru, kas ir kritiski svarīgi vēsturiskajām telpām (Arsenāls, Birža).</w:t>
      </w:r>
    </w:p>
    <w:p>
      <w:pPr>
        <w:pStyle w:val="ListParagraph"/>
        <w:numPr>
          <w:ilvl w:val="0"/>
          <w:numId w:val="1"/>
        </w:numPr>
        <w:spacing w:after="80" w:before="40" w:line="260"/>
      </w:pPr>
      <w:r>
        <w:rPr>
          <w:rFonts w:ascii="Calibri" w:cs="Calibri" w:eastAsia="Calibri" w:hAnsi="Calibri"/>
          <w:b/>
          <w:bCs/>
          <w:color w:val="1E293B"/>
          <w:sz w:val="22"/>
          <w:szCs w:val="22"/>
        </w:rPr>
        <w:t xml:space="preserve">Lokalizācija un gatavība lietošanai: </w:t>
      </w:r>
      <w:r>
        <w:rPr>
          <w:rFonts w:ascii="Calibri" w:cs="Calibri" w:eastAsia="Calibri" w:hAnsi="Calibri"/>
          <w:color w:val="1E293B"/>
          <w:sz w:val="22"/>
          <w:szCs w:val="22"/>
        </w:rPr>
        <w:t xml:space="preserve">Datu glabāšana pārlūkā (LocalStore), JSON projektu eksports/imports un darba zonas ar sīkattēliem.</w:t>
      </w:r>
    </w:p>
    <w:p>
      <w:pPr>
        <w:pStyle w:val="Heading1"/>
        <w:spacing w:after="150" w:before="400"/>
        <w:rPr>
          <w:rFonts w:ascii="Calibri" w:cs="Calibri" w:eastAsia="Calibri" w:hAnsi="Calibri"/>
          <w:b/>
          <w:bCs/>
          <w:color w:val="1E3A8A"/>
          <w:sz w:val="32"/>
          <w:szCs w:val="32"/>
        </w:rPr>
      </w:pPr>
      <w:r>
        <w:t xml:space="preserve">2. Trīs metodes produkta vērtības noteikšanai</w:t>
      </w:r>
    </w:p>
    <w:p>
      <w:pPr>
        <w:spacing w:after="120" w:before="60" w:line="276"/>
        <w:jc w:val="left"/>
      </w:pPr>
      <w:r>
        <w:rPr>
          <w:rFonts w:ascii="Calibri" w:cs="Calibri" w:eastAsia="Calibri" w:hAnsi="Calibri"/>
          <w:color w:val="1E293B"/>
          <w:sz w:val="22"/>
          <w:szCs w:val="22"/>
        </w:rPr>
        <w:t xml:space="preserve">Programmatūras nozarē pielāgotiem risinājumiem izmanto 3 klasiskas vērtēšanas metodes. Ieteicams izmantot to kombināciju, lai iegūtu pamatotu cenu koridoru.</w:t>
      </w:r>
    </w:p>
    <w:p>
      <w:pPr>
        <w:pStyle w:val="Heading2"/>
        <w:spacing w:after="120" w:before="300"/>
        <w:rPr>
          <w:rFonts w:ascii="Calibri" w:cs="Calibri" w:eastAsia="Calibri" w:hAnsi="Calibri"/>
          <w:b/>
          <w:bCs/>
          <w:color w:val="0F766E"/>
          <w:sz w:val="26"/>
          <w:szCs w:val="26"/>
        </w:rPr>
      </w:pPr>
      <w:r>
        <w:t xml:space="preserve">Metode A: Izmaksu bāzētā pieeja (Cost-Plus / Time &amp; Materials)</w:t>
      </w:r>
    </w:p>
    <w:p>
      <w:pPr>
        <w:spacing w:after="120" w:before="60" w:line="276"/>
        <w:jc w:val="left"/>
      </w:pPr>
      <w:r>
        <w:rPr>
          <w:rFonts w:ascii="Calibri" w:cs="Calibri" w:eastAsia="Calibri" w:hAnsi="Calibri"/>
          <w:color w:val="1E293B"/>
          <w:sz w:val="22"/>
          <w:szCs w:val="22"/>
        </w:rPr>
        <w:t xml:space="preserve">Aprēķins balstās uz faktiski ieguldīto un plānoto darba apjomu (stundām) un atbilstošu tirgus likmi. Tas ir racionālākais pamatojums sarunām ar valsts iestādes juristiem un grāmatvedību.</w:t>
      </w:r>
    </w:p>
    <w:p>
      <w:pPr>
        <w:pStyle w:val="ListParagraph"/>
        <w:numPr>
          <w:ilvl w:val="0"/>
          <w:numId w:val="1"/>
        </w:numPr>
        <w:spacing w:after="80" w:before="40" w:line="260"/>
      </w:pPr>
      <w:r>
        <w:rPr>
          <w:rFonts w:ascii="Calibri" w:cs="Calibri" w:eastAsia="Calibri" w:hAnsi="Calibri"/>
          <w:b/>
          <w:bCs/>
          <w:color w:val="1E293B"/>
          <w:sz w:val="22"/>
          <w:szCs w:val="22"/>
        </w:rPr>
        <w:t xml:space="preserve">Prasību izpēte un arhitektūra: </w:t>
      </w:r>
      <w:r>
        <w:rPr>
          <w:rFonts w:ascii="Calibri" w:cs="Calibri" w:eastAsia="Calibri" w:hAnsi="Calibri"/>
          <w:color w:val="1E293B"/>
          <w:sz w:val="22"/>
          <w:szCs w:val="22"/>
        </w:rPr>
        <w:t xml:space="preserve">Darbs ar muzeja zāļu plāniem, moduļu tehnisko rasējumu izpēte, CAD loģikas projektēšana (~20–30 h).</w:t>
      </w:r>
    </w:p>
    <w:p>
      <w:pPr>
        <w:pStyle w:val="ListParagraph"/>
        <w:numPr>
          <w:ilvl w:val="0"/>
          <w:numId w:val="1"/>
        </w:numPr>
        <w:spacing w:after="80" w:before="40" w:line="260"/>
      </w:pPr>
      <w:r>
        <w:rPr>
          <w:rFonts w:ascii="Calibri" w:cs="Calibri" w:eastAsia="Calibri" w:hAnsi="Calibri"/>
          <w:b/>
          <w:bCs/>
          <w:color w:val="1E293B"/>
          <w:sz w:val="22"/>
          <w:szCs w:val="22"/>
        </w:rPr>
        <w:t xml:space="preserve">Pamatdzinēja un matemātikas programmēšana: </w:t>
      </w:r>
      <w:r>
        <w:rPr>
          <w:rFonts w:ascii="Calibri" w:cs="Calibri" w:eastAsia="Calibri" w:hAnsi="Calibri"/>
          <w:color w:val="1E293B"/>
          <w:sz w:val="22"/>
          <w:szCs w:val="22"/>
        </w:rPr>
        <w:t xml:space="preserve">Canvas dzinējs, koordinātu telpas, PDF analītika, kolīzijas un savienojumu loģika (~70–100 h).</w:t>
      </w:r>
    </w:p>
    <w:p>
      <w:pPr>
        <w:pStyle w:val="ListParagraph"/>
        <w:numPr>
          <w:ilvl w:val="0"/>
          <w:numId w:val="1"/>
        </w:numPr>
        <w:spacing w:after="80" w:before="40" w:line="260"/>
      </w:pPr>
      <w:r>
        <w:rPr>
          <w:rFonts w:ascii="Calibri" w:cs="Calibri" w:eastAsia="Calibri" w:hAnsi="Calibri"/>
          <w:b/>
          <w:bCs/>
          <w:color w:val="1E293B"/>
          <w:sz w:val="22"/>
          <w:szCs w:val="22"/>
        </w:rPr>
        <w:t xml:space="preserve">Lietotāja saskarne (UI/UX) un datu pārvaldība: </w:t>
      </w:r>
      <w:r>
        <w:rPr>
          <w:rFonts w:ascii="Calibri" w:cs="Calibri" w:eastAsia="Calibri" w:hAnsi="Calibri"/>
          <w:color w:val="1E293B"/>
          <w:sz w:val="22"/>
          <w:szCs w:val="22"/>
        </w:rPr>
        <w:t xml:space="preserve">Tumšais interfeiss, zāļu pārslēgs, dialogi, JSON imports/eksports (~30–45 h).</w:t>
      </w:r>
    </w:p>
    <w:p>
      <w:pPr>
        <w:pStyle w:val="ListParagraph"/>
        <w:numPr>
          <w:ilvl w:val="0"/>
          <w:numId w:val="1"/>
        </w:numPr>
        <w:spacing w:after="80" w:before="40" w:line="260"/>
      </w:pPr>
      <w:r>
        <w:rPr>
          <w:rFonts w:ascii="Calibri" w:cs="Calibri" w:eastAsia="Calibri" w:hAnsi="Calibri"/>
          <w:b/>
          <w:bCs/>
          <w:color w:val="1E293B"/>
          <w:sz w:val="22"/>
          <w:szCs w:val="22"/>
        </w:rPr>
        <w:t xml:space="preserve">Kalibrēšana, reālo zāļu integrācija un testēšana: </w:t>
      </w:r>
      <w:r>
        <w:rPr>
          <w:rFonts w:ascii="Calibri" w:cs="Calibri" w:eastAsia="Calibri" w:hAnsi="Calibri"/>
          <w:color w:val="1E293B"/>
          <w:sz w:val="22"/>
          <w:szCs w:val="22"/>
        </w:rPr>
        <w:t xml:space="preserve">Arsenāla un Biržas plānu pārbaude, lietojamības testi (~20–30 h).</w:t>
      </w:r>
    </w:p>
    <w:p>
      <w:pPr>
        <w:pStyle w:val="ListParagraph"/>
        <w:numPr>
          <w:ilvl w:val="0"/>
          <w:numId w:val="1"/>
        </w:numPr>
        <w:spacing w:after="80" w:before="40" w:line="260"/>
      </w:pPr>
      <w:r>
        <w:rPr>
          <w:rFonts w:ascii="Calibri" w:cs="Calibri" w:eastAsia="Calibri" w:hAnsi="Calibri"/>
          <w:b/>
          <w:bCs/>
          <w:color w:val="1E293B"/>
          <w:sz w:val="22"/>
          <w:szCs w:val="22"/>
        </w:rPr>
        <w:t xml:space="preserve">Dokumentācija un nodošana: </w:t>
      </w:r>
      <w:r>
        <w:rPr>
          <w:rFonts w:ascii="Calibri" w:cs="Calibri" w:eastAsia="Calibri" w:hAnsi="Calibri"/>
          <w:color w:val="1E293B"/>
          <w:sz w:val="22"/>
          <w:szCs w:val="22"/>
        </w:rPr>
        <w:t xml:space="preserve">Lietošanas pamācība, tehniskā specifikācija, instruktāža darbiniekiem (~10–15 h).</w:t>
      </w:r>
    </w:p>
    <w:p>
      <w:pPr>
        <w:spacing w:after="120" w:before="60" w:line="276"/>
        <w:jc w:val="left"/>
      </w:pPr>
      <w:r>
        <w:rPr>
          <w:rFonts w:ascii="Calibri" w:cs="Calibri" w:eastAsia="Calibri" w:hAnsi="Calibri"/>
          <w:b/>
          <w:bCs/>
          <w:color w:val="1E293B"/>
          <w:sz w:val="22"/>
          <w:szCs w:val="22"/>
        </w:rPr>
        <w:t xml:space="preserve">Kopējais aprēķins: </w:t>
      </w:r>
      <w:r>
        <w:rPr>
          <w:rFonts w:ascii="Calibri" w:cs="Calibri" w:eastAsia="Calibri" w:hAnsi="Calibri"/>
          <w:color w:val="1E293B"/>
          <w:sz w:val="22"/>
          <w:szCs w:val="22"/>
        </w:rPr>
        <w:t xml:space="preserve">Projektā tipiski ieguldītas 150 – 220 inženierstundas. Pie vidējās Latvijas neatkarīgā programmētāja likmes 40 – 55 €/h šīs pieejas bāzes vērtība ir: </w:t>
      </w:r>
      <w:r>
        <w:rPr>
          <w:rFonts w:ascii="Calibri" w:cs="Calibri" w:eastAsia="Calibri" w:hAnsi="Calibri"/>
          <w:b/>
          <w:bCs/>
          <w:color w:val="1E3A8A"/>
          <w:sz w:val="22"/>
          <w:szCs w:val="22"/>
        </w:rPr>
        <w:t xml:space="preserve">6 000 – 11 000 EUR</w:t>
      </w:r>
      <w:r>
        <w:rPr>
          <w:rFonts w:ascii="Calibri" w:cs="Calibri" w:eastAsia="Calibri" w:hAnsi="Calibri"/>
          <w:color w:val="1E293B"/>
          <w:sz w:val="22"/>
          <w:szCs w:val="22"/>
        </w:rPr>
        <w:t xml:space="preserve"> (atkarībā no nodokļu režīma un precīzās stundu uzskaites).</w:t>
      </w:r>
    </w:p>
    <w:p>
      <w:pPr>
        <w:pStyle w:val="Heading2"/>
        <w:spacing w:after="120" w:before="300"/>
        <w:rPr>
          <w:rFonts w:ascii="Calibri" w:cs="Calibri" w:eastAsia="Calibri" w:hAnsi="Calibri"/>
          <w:b/>
          <w:bCs/>
          <w:color w:val="0F766E"/>
          <w:sz w:val="26"/>
          <w:szCs w:val="26"/>
        </w:rPr>
      </w:pPr>
      <w:r>
        <w:t xml:space="preserve">Metode B: Vērtības bāzētā pieeja (Value-Based Pricing)</w:t>
      </w:r>
    </w:p>
    <w:p>
      <w:pPr>
        <w:spacing w:after="120" w:before="60" w:line="276"/>
        <w:jc w:val="left"/>
      </w:pPr>
      <w:r>
        <w:rPr>
          <w:rFonts w:ascii="Calibri" w:cs="Calibri" w:eastAsia="Calibri" w:hAnsi="Calibri"/>
          <w:color w:val="1E293B"/>
          <w:sz w:val="22"/>
          <w:szCs w:val="22"/>
        </w:rPr>
        <w:t xml:space="preserve">Šī pieeja skatās uz </w:t>
      </w:r>
      <w:r>
        <w:rPr>
          <w:rFonts w:ascii="Calibri" w:cs="Calibri" w:eastAsia="Calibri" w:hAnsi="Calibri"/>
          <w:b/>
          <w:bCs/>
          <w:color w:val="1E293B"/>
          <w:sz w:val="22"/>
          <w:szCs w:val="22"/>
        </w:rPr>
        <w:t xml:space="preserve">ekonomisko un operatīvo labumu</w:t>
      </w:r>
      <w:r>
        <w:rPr>
          <w:rFonts w:ascii="Calibri" w:cs="Calibri" w:eastAsia="Calibri" w:hAnsi="Calibri"/>
          <w:color w:val="1E293B"/>
          <w:sz w:val="22"/>
          <w:szCs w:val="22"/>
        </w:rPr>
        <w:t xml:space="preserve">, ko rīks sniedz LNMM ikdienas darbā. Šeit cena tiek pamatota ar pasūtītāja ietaupījumu:</w:t>
      </w:r>
    </w:p>
    <w:p>
      <w:pPr>
        <w:pStyle w:val="ListParagraph"/>
        <w:numPr>
          <w:ilvl w:val="0"/>
          <w:numId w:val="1"/>
        </w:numPr>
        <w:spacing w:after="80" w:before="40" w:line="260"/>
      </w:pPr>
      <w:r>
        <w:rPr>
          <w:rFonts w:ascii="Calibri" w:cs="Calibri" w:eastAsia="Calibri" w:hAnsi="Calibri"/>
          <w:b/>
          <w:bCs/>
          <w:color w:val="1E293B"/>
          <w:sz w:val="22"/>
          <w:szCs w:val="22"/>
        </w:rPr>
        <w:t xml:space="preserve">Kuratoru un arhitektu laika ietaupījums: </w:t>
      </w:r>
      <w:r>
        <w:rPr>
          <w:rFonts w:ascii="Calibri" w:cs="Calibri" w:eastAsia="Calibri" w:hAnsi="Calibri"/>
          <w:color w:val="1E293B"/>
          <w:sz w:val="22"/>
          <w:szCs w:val="22"/>
        </w:rPr>
        <w:t xml:space="preserve">Iepriekš izstādes izkārtojuma zīmēšana un elementu manuāla skaitīšana prasīja dienas vai pat nedēļas dārga speciālista laika. Ar «Easy walls 2.0» koncepciju var salikt un izmainīt dažu stundu laikā. Ietaupījums: 20–40 stundas uz vienu izstādi (gadā 6–10 izstādes = 150–400 stundas ietaupījuma gadā).</w:t>
      </w:r>
    </w:p>
    <w:p>
      <w:pPr>
        <w:pStyle w:val="ListParagraph"/>
        <w:numPr>
          <w:ilvl w:val="0"/>
          <w:numId w:val="1"/>
        </w:numPr>
        <w:spacing w:after="80" w:before="40" w:line="260"/>
      </w:pPr>
      <w:r>
        <w:rPr>
          <w:rFonts w:ascii="Calibri" w:cs="Calibri" w:eastAsia="Calibri" w:hAnsi="Calibri"/>
          <w:b/>
          <w:bCs/>
          <w:color w:val="1E293B"/>
          <w:sz w:val="22"/>
          <w:szCs w:val="22"/>
        </w:rPr>
        <w:t xml:space="preserve">Montāžas kļūdu un dīkstāves novēršana: </w:t>
      </w:r>
      <w:r>
        <w:rPr>
          <w:rFonts w:ascii="Calibri" w:cs="Calibri" w:eastAsia="Calibri" w:hAnsi="Calibri"/>
          <w:color w:val="1E293B"/>
          <w:sz w:val="22"/>
          <w:szCs w:val="22"/>
        </w:rPr>
        <w:t xml:space="preserve">Kļūda specifikācijā (piem., montāžas dienā pietrūkst 4 moduļi vai savienojums nav fiziski iespējams) nozīmē montieru komandas dīkstāvi, papildu transportu un grafika nobīdi. Viena novērsta kļūda ietaupa 500 – 1 500 EUR montāžas izmaksās.</w:t>
      </w:r>
    </w:p>
    <w:p>
      <w:pPr>
        <w:pStyle w:val="ListParagraph"/>
        <w:numPr>
          <w:ilvl w:val="0"/>
          <w:numId w:val="1"/>
        </w:numPr>
        <w:spacing w:after="80" w:before="40" w:line="260"/>
      </w:pPr>
      <w:r>
        <w:rPr>
          <w:rFonts w:ascii="Calibri" w:cs="Calibri" w:eastAsia="Calibri" w:hAnsi="Calibri"/>
          <w:b/>
          <w:bCs/>
          <w:color w:val="1E293B"/>
          <w:sz w:val="22"/>
          <w:szCs w:val="22"/>
        </w:rPr>
        <w:t xml:space="preserve">Pārsegumu nestspējas drošība: </w:t>
      </w:r>
      <w:r>
        <w:rPr>
          <w:rFonts w:ascii="Calibri" w:cs="Calibri" w:eastAsia="Calibri" w:hAnsi="Calibri"/>
          <w:color w:val="1E293B"/>
          <w:sz w:val="22"/>
          <w:szCs w:val="22"/>
        </w:rPr>
        <w:t xml:space="preserve">Vēsturiskās ēkās (īpaši Arsenālā un Biržā) grīdu pieļaujamā slodze ir stingri ierobežota. Automātiskā svara kalkulācija novērš riskus vēsturiskajam mantojumam un atbildīgajām personām.</w:t>
      </w:r>
    </w:p>
    <w:p>
      <w:pPr>
        <w:pStyle w:val="Heading2"/>
        <w:spacing w:after="120" w:before="300"/>
        <w:rPr>
          <w:rFonts w:ascii="Calibri" w:cs="Calibri" w:eastAsia="Calibri" w:hAnsi="Calibri"/>
          <w:b/>
          <w:bCs/>
          <w:color w:val="0F766E"/>
          <w:sz w:val="26"/>
          <w:szCs w:val="26"/>
        </w:rPr>
      </w:pPr>
      <w:r>
        <w:t xml:space="preserve">Metode C: Aizvietošanas un tirgus izmaksu pieeja (Replacement Cost)</w:t>
      </w:r>
    </w:p>
    <w:p>
      <w:pPr>
        <w:spacing w:after="120" w:before="60" w:line="276"/>
        <w:jc w:val="left"/>
      </w:pPr>
      <w:r>
        <w:rPr>
          <w:rFonts w:ascii="Calibri" w:cs="Calibri" w:eastAsia="Calibri" w:hAnsi="Calibri"/>
          <w:color w:val="1E293B"/>
          <w:sz w:val="22"/>
          <w:szCs w:val="22"/>
        </w:rPr>
        <w:t xml:space="preserve">Cik šāds risinājums LNMM izmaksātu, ja viņi to pasūtītu brīvajā tirgū?</w:t>
      </w:r>
    </w:p>
    <w:p>
      <w:pPr>
        <w:pStyle w:val="ListParagraph"/>
        <w:numPr>
          <w:ilvl w:val="0"/>
          <w:numId w:val="1"/>
        </w:numPr>
        <w:spacing w:after="80" w:before="40" w:line="260"/>
      </w:pPr>
      <w:r>
        <w:rPr>
          <w:rFonts w:ascii="Calibri" w:cs="Calibri" w:eastAsia="Calibri" w:hAnsi="Calibri"/>
          <w:b/>
          <w:bCs/>
          <w:color w:val="1E293B"/>
          <w:sz w:val="22"/>
          <w:szCs w:val="22"/>
        </w:rPr>
        <w:t xml:space="preserve">Standarta CAD licences: </w:t>
      </w:r>
      <w:r>
        <w:rPr>
          <w:rFonts w:ascii="Calibri" w:cs="Calibri" w:eastAsia="Calibri" w:hAnsi="Calibri"/>
          <w:color w:val="1E293B"/>
          <w:sz w:val="22"/>
          <w:szCs w:val="22"/>
        </w:rPr>
        <w:t xml:space="preserve">AutoCAD vai Vectorworks licences maksā 1 500 – 3 500 € gadā par katru darba vietu. Tās prasa augsti apmācītus operatorus un nesatur LNMM specifiskos moduļus vai automātiskos izstāžu svara aprēķinus.</w:t>
      </w:r>
    </w:p>
    <w:p>
      <w:pPr>
        <w:pStyle w:val="ListParagraph"/>
        <w:numPr>
          <w:ilvl w:val="0"/>
          <w:numId w:val="1"/>
        </w:numPr>
        <w:spacing w:after="80" w:before="40" w:line="260"/>
      </w:pPr>
      <w:r>
        <w:rPr>
          <w:rFonts w:ascii="Calibri" w:cs="Calibri" w:eastAsia="Calibri" w:hAnsi="Calibri"/>
          <w:b/>
          <w:bCs/>
          <w:color w:val="1E293B"/>
          <w:sz w:val="22"/>
          <w:szCs w:val="22"/>
        </w:rPr>
        <w:t xml:space="preserve">Izstrāde IT aģentūrā: </w:t>
      </w:r>
      <w:r>
        <w:rPr>
          <w:rFonts w:ascii="Calibri" w:cs="Calibri" w:eastAsia="Calibri" w:hAnsi="Calibri"/>
          <w:color w:val="1E293B"/>
          <w:sz w:val="22"/>
          <w:szCs w:val="22"/>
        </w:rPr>
        <w:t xml:space="preserve">Ja muzejs šādu tehnisko specifikāciju izsludinātu konkursā IT izstrādes uzņēmumiem, aģentūras tāme par pielāgotu Canvas dzinēju, algoritmiem un testēšanu parasti svārstītos robežās no </w:t>
      </w:r>
      <w:r>
        <w:rPr>
          <w:rFonts w:ascii="Calibri" w:cs="Calibri" w:eastAsia="Calibri" w:hAnsi="Calibri"/>
          <w:b/>
          <w:bCs/>
          <w:color w:val="1E293B"/>
          <w:sz w:val="22"/>
          <w:szCs w:val="22"/>
        </w:rPr>
        <w:t xml:space="preserve">10 000 līdz 22 000 EUR + PVN</w:t>
      </w:r>
      <w:r>
        <w:rPr>
          <w:rFonts w:ascii="Calibri" w:cs="Calibri" w:eastAsia="Calibri" w:hAnsi="Calibri"/>
          <w:color w:val="1E293B"/>
          <w:sz w:val="22"/>
          <w:szCs w:val="22"/>
        </w:rPr>
        <w:t xml:space="preserve">.</w:t>
      </w:r>
    </w:p>
    <w:p>
      <w:pPr>
        <w:pStyle w:val="Heading1"/>
        <w:spacing w:after="150" w:before="400"/>
        <w:rPr>
          <w:rFonts w:ascii="Calibri" w:cs="Calibri" w:eastAsia="Calibri" w:hAnsi="Calibri"/>
          <w:b/>
          <w:bCs/>
          <w:color w:val="1E3A8A"/>
          <w:sz w:val="32"/>
          <w:szCs w:val="32"/>
        </w:rPr>
      </w:pPr>
      <w:r>
        <w:t xml:space="preserve">3. Piedāvājuma komerciālā struktūra (3 līmeņu modelis)</w:t>
      </w:r>
    </w:p>
    <w:p>
      <w:pPr>
        <w:spacing w:after="120" w:before="60" w:line="276"/>
        <w:jc w:val="left"/>
      </w:pPr>
      <w:r>
        <w:rPr>
          <w:rFonts w:ascii="Calibri" w:cs="Calibri" w:eastAsia="Calibri" w:hAnsi="Calibri"/>
          <w:color w:val="1E293B"/>
          <w:sz w:val="22"/>
          <w:szCs w:val="22"/>
        </w:rPr>
        <w:t xml:space="preserve">Valsts iestādēm visvieglāk ir pieņemt piedāvājumu, kas ir skaidri sadalīts funkcionālajās un uzturēšanas daļās: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1E3A8A" w:sz="4"/>
              <w:left w:val="none"/>
              <w:bottom w:val="single" w:color="1E3A8A" w:sz="8"/>
              <w:right w:val="none"/>
            </w:tcBorders>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Pozīcija</w:t>
            </w:r>
          </w:p>
        </w:tc>
        <w:tc>
          <w:tcPr>
            <w:tcW w:type="pct" w:w="44%"/>
            <w:tcBorders>
              <w:top w:val="single" w:color="1E3A8A" w:sz="4"/>
              <w:left w:val="none"/>
              <w:bottom w:val="single" w:color="1E3A8A" w:sz="8"/>
              <w:right w:val="none"/>
            </w:tcBorders>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Satura apraksts</w:t>
            </w:r>
          </w:p>
        </w:tc>
        <w:tc>
          <w:tcPr>
            <w:tcW w:type="pct" w:w="28%"/>
            <w:tcBorders>
              <w:top w:val="single" w:color="1E3A8A" w:sz="4"/>
              <w:left w:val="none"/>
              <w:bottom w:val="single" w:color="1E3A8A" w:sz="8"/>
              <w:right w:val="none"/>
            </w:tcBorders>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Ieteicamais apmaksas veids</w:t>
            </w:r>
          </w:p>
        </w:tc>
      </w:tr>
      <w:tr>
        <w:tc>
          <w:tcPr>
            <w:tcW w:type="pct" w:w="28%"/>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 Izstrāde un ieviešana</w:t>
            </w:r>
          </w:p>
        </w:tc>
        <w:tc>
          <w:tcPr>
            <w:tcW w:type="pct" w:w="44%"/>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Gatava lietotne ar visiem CAD rīkiem, PDF mērogošanu, moduļu specifikāciju un Arsenāla/Biržas plānu kalibrāciju.</w:t>
            </w:r>
          </w:p>
        </w:tc>
        <w:tc>
          <w:tcPr>
            <w:tcW w:type="pct" w:w="28%"/>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Vienreizējs fiksēts maksājums (var dalīt 50/50 pa posmiem)</w:t>
            </w:r>
          </w:p>
        </w:tc>
      </w:tr>
      <w:tr>
        <w:tc>
          <w:tcPr>
            <w:tcW w:type="pct" w:w="28%"/>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2. Lietošanas rokasgrāmata un apmācība</w:t>
            </w:r>
          </w:p>
        </w:tc>
        <w:tc>
          <w:tcPr>
            <w:tcW w:type="pct" w:w="44%"/>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Sagatavota PDF instrukcija un 1–2 praktiskās apmācību sesijas muzeja darbiniekiem un arhitektiem.</w:t>
            </w:r>
          </w:p>
        </w:tc>
        <w:tc>
          <w:tcPr>
            <w:tcW w:type="pct" w:w="28%"/>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Iekļauts bāzes cenā vai fiksēta neliela pozīcija</w:t>
            </w:r>
          </w:p>
        </w:tc>
      </w:tr>
      <w:tr>
        <w:tc>
          <w:tcPr>
            <w:tcW w:type="pct" w:w="28%"/>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3. Garantija un kļūdu labošana</w:t>
            </w:r>
          </w:p>
        </w:tc>
        <w:tc>
          <w:tcPr>
            <w:tcW w:type="pct" w:w="44%"/>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3–6 mēnešu garantijas periods, kura laikā bez papildu maksas tiek novērstas atklātās nepilnības.</w:t>
            </w:r>
          </w:p>
        </w:tc>
        <w:tc>
          <w:tcPr>
            <w:tcW w:type="pct" w:w="28%"/>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Iekļauts izstrādes cenā</w:t>
            </w:r>
          </w:p>
        </w:tc>
      </w:tr>
      <w:tr>
        <w:tc>
          <w:tcPr>
            <w:tcW w:type="pct" w:w="28%"/>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4. Tehniskā uzturēšana un attīstība</w:t>
            </w:r>
          </w:p>
        </w:tc>
        <w:tc>
          <w:tcPr>
            <w:tcW w:type="pct" w:w="44%"/>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Ikgadējs atbalsts: jaunu zāļu plānu kalibrēšana, jaunu moduļu tipu pievienošana, pārlūku atbalsts.</w:t>
            </w:r>
          </w:p>
        </w:tc>
        <w:tc>
          <w:tcPr>
            <w:tcW w:type="pct" w:w="28%"/>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Gada abonements (10–15% no izstrādes vērtības) vai stundu fonds</w:t>
            </w:r>
          </w:p>
        </w:tc>
      </w:tr>
    </w:tbl>
    <w:p>
      <w:pPr>
        <w:spacing w:after="200"/>
      </w:pPr>
    </w:p>
    <w:p>
      <w:pPr>
        <w:pStyle w:val="Heading1"/>
        <w:spacing w:after="150" w:before="400"/>
        <w:rPr>
          <w:rFonts w:ascii="Calibri" w:cs="Calibri" w:eastAsia="Calibri" w:hAnsi="Calibri"/>
          <w:b/>
          <w:bCs/>
          <w:color w:val="1E3A8A"/>
          <w:sz w:val="32"/>
          <w:szCs w:val="32"/>
        </w:rPr>
      </w:pPr>
      <w:r>
        <w:t xml:space="preserve">4. Intelektuālais īpašums un licences veids (KRITISKS PUNKTS)</w:t>
      </w:r>
    </w:p>
    <w:p>
      <w:pPr>
        <w:spacing w:after="120" w:before="60" w:line="276"/>
        <w:jc w:val="left"/>
      </w:pPr>
      <w:r>
        <w:rPr>
          <w:rFonts w:ascii="Calibri" w:cs="Calibri" w:eastAsia="Calibri" w:hAnsi="Calibri"/>
          <w:color w:val="1E293B"/>
          <w:sz w:val="22"/>
          <w:szCs w:val="22"/>
        </w:rPr>
        <w:t xml:space="preserve">Šis ir viens no būtiskākajiem faktoriem, kas ietekmē gan cenu, gan tavu nākotnes biznesa potenciālu:</w:t>
      </w:r>
    </w:p>
    <w:p>
      <w:pPr>
        <w:pStyle w:val="Heading2"/>
        <w:spacing w:after="120" w:before="300"/>
        <w:rPr>
          <w:rFonts w:ascii="Calibri" w:cs="Calibri" w:eastAsia="Calibri" w:hAnsi="Calibri"/>
          <w:b/>
          <w:bCs/>
          <w:color w:val="0F766E"/>
          <w:sz w:val="26"/>
          <w:szCs w:val="26"/>
        </w:rPr>
      </w:pPr>
      <w:r>
        <w:t xml:space="preserve">Variants A: Neekskluzīva lietošanas licence (STRATĒĢISKI IETEICAMS)</w:t>
      </w:r>
    </w:p>
    <w:p>
      <w:pPr>
        <w:pStyle w:val="ListParagraph"/>
        <w:numPr>
          <w:ilvl w:val="0"/>
          <w:numId w:val="1"/>
        </w:numPr>
        <w:spacing w:after="80" w:before="40" w:line="260"/>
      </w:pPr>
      <w:r>
        <w:rPr>
          <w:rFonts w:ascii="Calibri" w:cs="Calibri" w:eastAsia="Calibri" w:hAnsi="Calibri"/>
          <w:b/>
          <w:bCs/>
          <w:color w:val="1E293B"/>
          <w:sz w:val="22"/>
          <w:szCs w:val="22"/>
        </w:rPr>
        <w:t xml:space="preserve">Kā tas darbojas: </w:t>
      </w:r>
      <w:r>
        <w:rPr>
          <w:rFonts w:ascii="Calibri" w:cs="Calibri" w:eastAsia="Calibri" w:hAnsi="Calibri"/>
          <w:color w:val="1E293B"/>
          <w:sz w:val="22"/>
          <w:szCs w:val="22"/>
        </w:rPr>
        <w:t xml:space="preserve">LNMM saņem pastāvīgas, neierobežotas tiesības lietot lietotni visām muzeja vajadzībām un nepieciešamības gadījumā to modificēt saviem mērķiem.</w:t>
      </w:r>
    </w:p>
    <w:p>
      <w:pPr>
        <w:pStyle w:val="ListParagraph"/>
        <w:numPr>
          <w:ilvl w:val="0"/>
          <w:numId w:val="1"/>
        </w:numPr>
        <w:spacing w:after="80" w:before="40" w:line="260"/>
      </w:pPr>
      <w:r>
        <w:rPr>
          <w:rFonts w:ascii="Calibri" w:cs="Calibri" w:eastAsia="Calibri" w:hAnsi="Calibri"/>
          <w:b/>
          <w:bCs/>
          <w:color w:val="1E293B"/>
          <w:sz w:val="22"/>
          <w:szCs w:val="22"/>
        </w:rPr>
        <w:t xml:space="preserve">Autora tiesības: </w:t>
      </w:r>
      <w:r>
        <w:rPr>
          <w:rFonts w:ascii="Calibri" w:cs="Calibri" w:eastAsia="Calibri" w:hAnsi="Calibri"/>
          <w:color w:val="1E293B"/>
          <w:sz w:val="22"/>
          <w:szCs w:val="22"/>
        </w:rPr>
        <w:t xml:space="preserve">Tu saglabā programmatūras dzinēja autortiesības un tiesības šo pašu tehnoloģiju pielāgot un pārdot </w:t>
      </w:r>
      <w:r>
        <w:rPr>
          <w:rFonts w:ascii="Calibri" w:cs="Calibri" w:eastAsia="Calibri" w:hAnsi="Calibri"/>
          <w:b/>
          <w:bCs/>
          <w:color w:val="1E293B"/>
          <w:sz w:val="22"/>
          <w:szCs w:val="22"/>
        </w:rPr>
        <w:t xml:space="preserve">citiem muzejiem, izstāžu zālēm un galerijām</w:t>
      </w:r>
      <w:r>
        <w:rPr>
          <w:rFonts w:ascii="Calibri" w:cs="Calibri" w:eastAsia="Calibri" w:hAnsi="Calibri"/>
          <w:color w:val="1E293B"/>
          <w:sz w:val="22"/>
          <w:szCs w:val="22"/>
        </w:rPr>
        <w:t xml:space="preserve"> (piem., Hanzas perons, Cēsu koncertzāle, Daugavpils Rotko centrs, ārvalstu muzeji).</w:t>
      </w:r>
    </w:p>
    <w:p>
      <w:pPr>
        <w:pStyle w:val="ListParagraph"/>
        <w:numPr>
          <w:ilvl w:val="0"/>
          <w:numId w:val="1"/>
        </w:numPr>
        <w:spacing w:after="80" w:before="40" w:line="260"/>
      </w:pPr>
      <w:r>
        <w:rPr>
          <w:rFonts w:ascii="Calibri" w:cs="Calibri" w:eastAsia="Calibri" w:hAnsi="Calibri"/>
          <w:b/>
          <w:bCs/>
          <w:color w:val="1E293B"/>
          <w:sz w:val="22"/>
          <w:szCs w:val="22"/>
        </w:rPr>
        <w:t xml:space="preserve">Cenas ietekme: </w:t>
      </w:r>
      <w:r>
        <w:rPr>
          <w:rFonts w:ascii="Calibri" w:cs="Calibri" w:eastAsia="Calibri" w:hAnsi="Calibri"/>
          <w:color w:val="1E293B"/>
          <w:sz w:val="22"/>
          <w:szCs w:val="22"/>
        </w:rPr>
        <w:t xml:space="preserve">Muzejam var piedāvāt pievilcīgāku cenu, jo tu saglabā komerciālo potenciālu nākotnē.</w:t>
      </w:r>
    </w:p>
    <w:p>
      <w:pPr>
        <w:pStyle w:val="Heading2"/>
        <w:spacing w:after="120" w:before="300"/>
        <w:rPr>
          <w:rFonts w:ascii="Calibri" w:cs="Calibri" w:eastAsia="Calibri" w:hAnsi="Calibri"/>
          <w:b/>
          <w:bCs/>
          <w:color w:val="0F766E"/>
          <w:sz w:val="26"/>
          <w:szCs w:val="26"/>
        </w:rPr>
      </w:pPr>
      <w:r>
        <w:t xml:space="preserve">Variants B: Pilna autortiesību atsavināšana (Work for Hire / Ekskluzīvas tiesības)</w:t>
      </w:r>
    </w:p>
    <w:p>
      <w:pPr>
        <w:pStyle w:val="ListParagraph"/>
        <w:numPr>
          <w:ilvl w:val="0"/>
          <w:numId w:val="1"/>
        </w:numPr>
        <w:spacing w:after="80" w:before="40" w:line="260"/>
      </w:pPr>
      <w:r>
        <w:rPr>
          <w:rFonts w:ascii="Calibri" w:cs="Calibri" w:eastAsia="Calibri" w:hAnsi="Calibri"/>
          <w:b/>
          <w:bCs/>
          <w:color w:val="1E293B"/>
          <w:sz w:val="22"/>
          <w:szCs w:val="22"/>
        </w:rPr>
        <w:t xml:space="preserve">Kā tas darbojas: </w:t>
      </w:r>
      <w:r>
        <w:rPr>
          <w:rFonts w:ascii="Calibri" w:cs="Calibri" w:eastAsia="Calibri" w:hAnsi="Calibri"/>
          <w:color w:val="1E293B"/>
          <w:sz w:val="22"/>
          <w:szCs w:val="22"/>
        </w:rPr>
        <w:t xml:space="preserve">LNMM kļūst par vienīgo koda un zīmola īpašnieku. Tu vairs nedrīksti šo dzinēju izmantot nevienam citam klientam.</w:t>
      </w:r>
    </w:p>
    <w:p>
      <w:pPr>
        <w:pStyle w:val="ListParagraph"/>
        <w:numPr>
          <w:ilvl w:val="0"/>
          <w:numId w:val="1"/>
        </w:numPr>
        <w:spacing w:after="80" w:before="40" w:line="260"/>
      </w:pPr>
      <w:r>
        <w:rPr>
          <w:rFonts w:ascii="Calibri" w:cs="Calibri" w:eastAsia="Calibri" w:hAnsi="Calibri"/>
          <w:b/>
          <w:bCs/>
          <w:color w:val="1E293B"/>
          <w:sz w:val="22"/>
          <w:szCs w:val="22"/>
        </w:rPr>
        <w:t xml:space="preserve">Cenas ietekme: </w:t>
      </w:r>
      <w:r>
        <w:rPr>
          <w:rFonts w:ascii="Calibri" w:cs="Calibri" w:eastAsia="Calibri" w:hAnsi="Calibri"/>
          <w:color w:val="1E293B"/>
          <w:sz w:val="22"/>
          <w:szCs w:val="22"/>
        </w:rPr>
        <w:t xml:space="preserve">Šādā gadījumā cenai jābūt </w:t>
      </w:r>
      <w:r>
        <w:rPr>
          <w:rFonts w:ascii="Calibri" w:cs="Calibri" w:eastAsia="Calibri" w:hAnsi="Calibri"/>
          <w:b/>
          <w:bCs/>
          <w:color w:val="1E293B"/>
          <w:sz w:val="22"/>
          <w:szCs w:val="22"/>
        </w:rPr>
        <w:t xml:space="preserve">vismaz par 50% līdz 100% augstākai</w:t>
      </w:r>
      <w:r>
        <w:rPr>
          <w:rFonts w:ascii="Calibri" w:cs="Calibri" w:eastAsia="Calibri" w:hAnsi="Calibri"/>
          <w:color w:val="1E293B"/>
          <w:sz w:val="22"/>
          <w:szCs w:val="22"/>
        </w:rPr>
        <w:t xml:space="preserve">, jo tiek atdots viss nākotnes tirgus potenciāls.</w:t>
      </w:r>
    </w:p>
    <w:p>
      <w:pPr>
        <w:pStyle w:val="Heading1"/>
        <w:spacing w:after="150" w:before="400"/>
        <w:rPr>
          <w:rFonts w:ascii="Calibri" w:cs="Calibri" w:eastAsia="Calibri" w:hAnsi="Calibri"/>
          <w:b/>
          <w:bCs/>
          <w:color w:val="1E3A8A"/>
          <w:sz w:val="32"/>
          <w:szCs w:val="32"/>
        </w:rPr>
      </w:pPr>
      <w:r>
        <w:t xml:space="preserve">5. Praktiskie cenu scenāriji sarunām</w:t>
      </w:r>
    </w:p>
    <w:p>
      <w:pPr>
        <w:spacing w:after="120" w:before="60" w:line="276"/>
        <w:jc w:val="left"/>
      </w:pPr>
      <w:r>
        <w:rPr>
          <w:rFonts w:ascii="Calibri" w:cs="Calibri" w:eastAsia="Calibri" w:hAnsi="Calibri"/>
          <w:color w:val="1E293B"/>
          <w:sz w:val="22"/>
          <w:szCs w:val="22"/>
        </w:rPr>
        <w:t xml:space="preserve">Lai sarunās būtu fleksibilitāte, ir lietderīgi sagatavot 3 līmeņu cenu piedāvājumu: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1E3A8A" w:sz="4"/>
              <w:left w:val="none"/>
              <w:bottom w:val="single" w:color="1E3A8A" w:sz="8"/>
              <w:right w:val="none"/>
            </w:tcBorders>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Piedāvājuma līmenis</w:t>
            </w:r>
          </w:p>
        </w:tc>
        <w:tc>
          <w:tcPr>
            <w:tcW w:type="pct" w:w="50%"/>
            <w:tcBorders>
              <w:top w:val="single" w:color="1E3A8A" w:sz="4"/>
              <w:left w:val="none"/>
              <w:bottom w:val="single" w:color="1E3A8A" w:sz="8"/>
              <w:right w:val="none"/>
            </w:tcBorders>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Iekļautais apjoms</w:t>
            </w:r>
          </w:p>
        </w:tc>
        <w:tc>
          <w:tcPr>
            <w:tcW w:type="pct" w:w="25%"/>
            <w:tcBorders>
              <w:top w:val="single" w:color="1E3A8A" w:sz="4"/>
              <w:left w:val="none"/>
              <w:bottom w:val="single" w:color="1E3A8A" w:sz="8"/>
              <w:right w:val="none"/>
            </w:tcBorders>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Orientējošā cena</w:t>
            </w:r>
          </w:p>
        </w:tc>
      </w:tr>
      <w:tr>
        <w:tc>
          <w:tcPr>
            <w:tcW w:type="pct" w:w="25%"/>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Bāzes (MVP)</w:t>
            </w:r>
          </w:p>
        </w:tc>
        <w:tc>
          <w:tcPr>
            <w:tcW w:type="pct" w:w="50%"/>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Pašreizējā lietotne, Arsenāla un Biržas zāļu kalibrācija, pamata kļūdu labojumi 60 dienas.</w:t>
            </w:r>
          </w:p>
        </w:tc>
        <w:tc>
          <w:tcPr>
            <w:tcW w:type="pct" w:w="25%"/>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4 500 – 6 500 EUR</w:t>
            </w:r>
          </w:p>
        </w:tc>
      </w:tr>
      <w:tr>
        <w:tc>
          <w:tcPr>
            <w:tcW w:type="pct" w:w="25%"/>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Standarta (IETEICAMĀ)</w:t>
            </w:r>
          </w:p>
        </w:tc>
        <w:tc>
          <w:tcPr>
            <w:tcW w:type="pct" w:w="50%"/>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Pilna lietotne + Lietotāja rokasgrāmata (PDF) + 2 apmācību nodarbības + 6 mēnešu garantija + neekskluzīva licence.</w:t>
            </w:r>
          </w:p>
        </w:tc>
        <w:tc>
          <w:tcPr>
            <w:tcW w:type="pct" w:w="25%"/>
            <w:tcBorders>
              <w:top w:val="none"/>
              <w:left w:val="none"/>
              <w:bottom w:val="single" w:color="CBD5E1" w:sz="4"/>
              <w:right w:val="none"/>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7 000 – 9 800 EUR</w:t>
            </w:r>
          </w:p>
        </w:tc>
      </w:tr>
      <w:tr>
        <w:tc>
          <w:tcPr>
            <w:tcW w:type="pct" w:w="25%"/>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Pilnā pakete ar uzturēšanu</w:t>
            </w:r>
          </w:p>
        </w:tc>
        <w:tc>
          <w:tcPr>
            <w:tcW w:type="pct" w:w="50%"/>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Standarta pakete + 1 gada uzturēšanas līgums (līdz 2 jaunu zāļu ieviešanai un papildu moduļu konfigurācija).</w:t>
            </w:r>
          </w:p>
        </w:tc>
        <w:tc>
          <w:tcPr>
            <w:tcW w:type="pct" w:w="25%"/>
            <w:tcBorders>
              <w:top w:val="none"/>
              <w:left w:val="none"/>
              <w:bottom w:val="single" w:color="CBD5E1" w:sz="4"/>
              <w:right w:val="none"/>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9 800 – 12 500 EUR</w:t>
            </w:r>
          </w:p>
        </w:tc>
      </w:tr>
    </w:tbl>
    <w:p>
      <w:pPr>
        <w:spacing w:after="200"/>
      </w:pPr>
    </w:p>
    <w:p>
      <w:pPr>
        <w:pStyle w:val="Heading1"/>
        <w:spacing w:after="150" w:before="400"/>
        <w:rPr>
          <w:rFonts w:ascii="Calibri" w:cs="Calibri" w:eastAsia="Calibri" w:hAnsi="Calibri"/>
          <w:b/>
          <w:bCs/>
          <w:color w:val="1E3A8A"/>
          <w:sz w:val="32"/>
          <w:szCs w:val="32"/>
        </w:rPr>
      </w:pPr>
      <w:r>
        <w:t xml:space="preserve">6. LNMM specifika un sarunu taktika valsts iestādē</w:t>
      </w:r>
    </w:p>
    <w:p>
      <w:pPr>
        <w:spacing w:after="120" w:before="60" w:line="276"/>
        <w:jc w:val="left"/>
      </w:pPr>
      <w:r>
        <w:rPr>
          <w:rFonts w:ascii="Calibri" w:cs="Calibri" w:eastAsia="Calibri" w:hAnsi="Calibri"/>
          <w:color w:val="1E293B"/>
          <w:sz w:val="22"/>
          <w:szCs w:val="22"/>
        </w:rPr>
        <w:t xml:space="preserve">Sarunās ar valsts muzeju ir jāņem vērā valsts pārvaldes un Publisko iepirkumu likuma specifika:</w:t>
      </w:r>
    </w:p>
    <w:p>
      <w:pPr>
        <w:pStyle w:val="ListParagraph"/>
        <w:numPr>
          <w:ilvl w:val="0"/>
          <w:numId w:val="1"/>
        </w:numPr>
        <w:spacing w:after="80" w:before="40" w:line="260"/>
      </w:pPr>
      <w:r>
        <w:rPr>
          <w:rFonts w:ascii="Calibri" w:cs="Calibri" w:eastAsia="Calibri" w:hAnsi="Calibri"/>
          <w:b/>
          <w:bCs/>
          <w:color w:val="1E293B"/>
          <w:sz w:val="22"/>
          <w:szCs w:val="22"/>
        </w:rPr>
        <w:t xml:space="preserve">Iepirkumu sliekšņi: </w:t>
      </w:r>
      <w:r>
        <w:rPr>
          <w:rFonts w:ascii="Calibri" w:cs="Calibri" w:eastAsia="Calibri" w:hAnsi="Calibri"/>
          <w:color w:val="1E293B"/>
          <w:sz w:val="22"/>
          <w:szCs w:val="22"/>
        </w:rPr>
        <w:t xml:space="preserve">Līdz noteiktam slieksnim (atkarībā no iestādes iekšējās kārtības, bieži līdz 10 000 EUR bez PVN) iestāde var veikt zemsliekšņa iepirkumu vai tiešo līgumu/cenu aptauju bez sarežģīta atklāta konkursa. Tāpēc piedāvājums zonā ap 7 000 – 9 500 EUR bieži ir visreālāk realizējamais.</w:t>
      </w:r>
    </w:p>
    <w:p>
      <w:pPr>
        <w:pStyle w:val="ListParagraph"/>
        <w:numPr>
          <w:ilvl w:val="0"/>
          <w:numId w:val="1"/>
        </w:numPr>
        <w:spacing w:after="80" w:before="40" w:line="260"/>
      </w:pPr>
      <w:r>
        <w:rPr>
          <w:rFonts w:ascii="Calibri" w:cs="Calibri" w:eastAsia="Calibri" w:hAnsi="Calibri"/>
          <w:b/>
          <w:bCs/>
          <w:color w:val="1E293B"/>
          <w:sz w:val="22"/>
          <w:szCs w:val="22"/>
        </w:rPr>
        <w:t xml:space="preserve">Finansējuma piesaiste: </w:t>
      </w:r>
      <w:r>
        <w:rPr>
          <w:rFonts w:ascii="Calibri" w:cs="Calibri" w:eastAsia="Calibri" w:hAnsi="Calibri"/>
          <w:color w:val="1E293B"/>
          <w:sz w:val="22"/>
          <w:szCs w:val="22"/>
        </w:rPr>
        <w:t xml:space="preserve">Noskaidro, no kāda avota iestāde plāno maksāt — pamatbudžeta atlikums, VKKF mērķprogramma vai digitalizācijas projekts. Bieži gada otrajā pusē iestādēm ir brīvi līdzekļi konkrētos inovāciju pantos.</w:t>
      </w:r>
    </w:p>
    <w:p>
      <w:pPr>
        <w:pStyle w:val="ListParagraph"/>
        <w:numPr>
          <w:ilvl w:val="0"/>
          <w:numId w:val="1"/>
        </w:numPr>
        <w:spacing w:after="80" w:before="40" w:line="260"/>
      </w:pPr>
      <w:r>
        <w:rPr>
          <w:rFonts w:ascii="Calibri" w:cs="Calibri" w:eastAsia="Calibri" w:hAnsi="Calibri"/>
          <w:b/>
          <w:bCs/>
          <w:color w:val="1E293B"/>
          <w:sz w:val="22"/>
          <w:szCs w:val="22"/>
        </w:rPr>
        <w:t xml:space="preserve">Līguma noformējums: </w:t>
      </w:r>
      <w:r>
        <w:rPr>
          <w:rFonts w:ascii="Calibri" w:cs="Calibri" w:eastAsia="Calibri" w:hAnsi="Calibri"/>
          <w:color w:val="1E293B"/>
          <w:sz w:val="22"/>
          <w:szCs w:val="22"/>
        </w:rPr>
        <w:t xml:space="preserve">Jāsaskaņo, kāds būs izpildītāja statuss: uzņēmuma rēķins (SIA), pašnodarbinātā rēķins vai Autortiesību līgums ar fizisku personu (kur iestāde ietur nodokļus).</w:t>
      </w:r>
    </w:p>
    <w:p>
      <w:pPr>
        <w:pStyle w:val="Heading1"/>
        <w:spacing w:after="150" w:before="400"/>
        <w:rPr>
          <w:rFonts w:ascii="Calibri" w:cs="Calibri" w:eastAsia="Calibri" w:hAnsi="Calibri"/>
          <w:b/>
          <w:bCs/>
          <w:color w:val="1E3A8A"/>
          <w:sz w:val="32"/>
          <w:szCs w:val="32"/>
        </w:rPr>
      </w:pPr>
      <w:r>
        <w:t xml:space="preserve">7. Kontrolsaraksts pirms tikšanās ar pasūtītāju</w:t>
      </w:r>
    </w:p>
    <w:p>
      <w:pPr>
        <w:pStyle w:val="ListParagraph"/>
        <w:numPr>
          <w:ilvl w:val="0"/>
          <w:numId w:val="1"/>
        </w:numPr>
        <w:spacing w:after="80" w:before="40" w:line="260"/>
      </w:pPr>
      <w:r>
        <w:rPr>
          <w:rFonts w:ascii="Calibri" w:cs="Calibri" w:eastAsia="Calibri" w:hAnsi="Calibri"/>
          <w:color w:val="1E293B"/>
          <w:sz w:val="22"/>
          <w:szCs w:val="22"/>
        </w:rPr>
        <w:t xml:space="preserve">✓ </w:t>
      </w:r>
      <w:r>
        <w:rPr>
          <w:rFonts w:ascii="Calibri" w:cs="Calibri" w:eastAsia="Calibri" w:hAnsi="Calibri"/>
          <w:b/>
          <w:bCs/>
          <w:color w:val="1E293B"/>
          <w:sz w:val="22"/>
          <w:szCs w:val="22"/>
        </w:rPr>
        <w:t xml:space="preserve">Apkopo precīzu ieguldīto stundu skaitu </w:t>
      </w:r>
      <w:r>
        <w:rPr>
          <w:rFonts w:ascii="Calibri" w:cs="Calibri" w:eastAsia="Calibri" w:hAnsi="Calibri"/>
          <w:color w:val="1E293B"/>
          <w:sz w:val="22"/>
          <w:szCs w:val="22"/>
        </w:rPr>
        <w:t xml:space="preserve">pa etapiem (dzinējs, PDF algoritms, zāļu plāni, UI).</w:t>
      </w:r>
    </w:p>
    <w:p>
      <w:pPr>
        <w:pStyle w:val="ListParagraph"/>
        <w:numPr>
          <w:ilvl w:val="0"/>
          <w:numId w:val="1"/>
        </w:numPr>
        <w:spacing w:after="80" w:before="40" w:line="260"/>
      </w:pPr>
      <w:r>
        <w:rPr>
          <w:rFonts w:ascii="Calibri" w:cs="Calibri" w:eastAsia="Calibri" w:hAnsi="Calibri"/>
          <w:color w:val="1E293B"/>
          <w:sz w:val="22"/>
          <w:szCs w:val="22"/>
        </w:rPr>
        <w:t xml:space="preserve">✓ </w:t>
      </w:r>
      <w:r>
        <w:rPr>
          <w:rFonts w:ascii="Calibri" w:cs="Calibri" w:eastAsia="Calibri" w:hAnsi="Calibri"/>
          <w:b/>
          <w:bCs/>
          <w:color w:val="1E293B"/>
          <w:sz w:val="22"/>
          <w:szCs w:val="22"/>
        </w:rPr>
        <w:t xml:space="preserve">Sagatavo dzīvo demonstrāciju: </w:t>
      </w:r>
      <w:r>
        <w:rPr>
          <w:rFonts w:ascii="Calibri" w:cs="Calibri" w:eastAsia="Calibri" w:hAnsi="Calibri"/>
          <w:color w:val="1E293B"/>
          <w:sz w:val="22"/>
          <w:szCs w:val="22"/>
        </w:rPr>
        <w:t xml:space="preserve">parādi, cik minūtēs tiek uzģenerēta gatava specifikācija un svara aprēķins salīdzinājumā ar veco metodi.</w:t>
      </w:r>
    </w:p>
    <w:p>
      <w:pPr>
        <w:pStyle w:val="ListParagraph"/>
        <w:numPr>
          <w:ilvl w:val="0"/>
          <w:numId w:val="1"/>
        </w:numPr>
        <w:spacing w:after="80" w:before="40" w:line="260"/>
      </w:pPr>
      <w:r>
        <w:rPr>
          <w:rFonts w:ascii="Calibri" w:cs="Calibri" w:eastAsia="Calibri" w:hAnsi="Calibri"/>
          <w:color w:val="1E293B"/>
          <w:sz w:val="22"/>
          <w:szCs w:val="22"/>
        </w:rPr>
        <w:t xml:space="preserve">✓ </w:t>
      </w:r>
      <w:r>
        <w:rPr>
          <w:rFonts w:ascii="Calibri" w:cs="Calibri" w:eastAsia="Calibri" w:hAnsi="Calibri"/>
          <w:b/>
          <w:bCs/>
          <w:color w:val="1E293B"/>
          <w:sz w:val="22"/>
          <w:szCs w:val="22"/>
        </w:rPr>
        <w:t xml:space="preserve">Definē licenci kā neekskluzīvu: </w:t>
      </w:r>
      <w:r>
        <w:rPr>
          <w:rFonts w:ascii="Calibri" w:cs="Calibri" w:eastAsia="Calibri" w:hAnsi="Calibri"/>
          <w:color w:val="1E293B"/>
          <w:sz w:val="22"/>
          <w:szCs w:val="22"/>
        </w:rPr>
        <w:t xml:space="preserve">uzsver, ka tas ļauj muzejam saņemt izdevīgāku cenu bez liekām autoratlīdzības nodevām.</w:t>
      </w:r>
    </w:p>
    <w:p>
      <w:pPr>
        <w:pStyle w:val="ListParagraph"/>
        <w:numPr>
          <w:ilvl w:val="0"/>
          <w:numId w:val="1"/>
        </w:numPr>
        <w:spacing w:after="80" w:before="40" w:line="260"/>
      </w:pPr>
      <w:r>
        <w:rPr>
          <w:rFonts w:ascii="Calibri" w:cs="Calibri" w:eastAsia="Calibri" w:hAnsi="Calibri"/>
          <w:color w:val="1E293B"/>
          <w:sz w:val="22"/>
          <w:szCs w:val="22"/>
        </w:rPr>
        <w:t xml:space="preserve">✓ </w:t>
      </w:r>
      <w:r>
        <w:rPr>
          <w:rFonts w:ascii="Calibri" w:cs="Calibri" w:eastAsia="Calibri" w:hAnsi="Calibri"/>
          <w:b/>
          <w:bCs/>
          <w:color w:val="1E293B"/>
          <w:sz w:val="22"/>
          <w:szCs w:val="22"/>
        </w:rPr>
        <w:t xml:space="preserve">Uzklausi muzeja budžeta rāmi: </w:t>
      </w:r>
      <w:r>
        <w:rPr>
          <w:rFonts w:ascii="Calibri" w:cs="Calibri" w:eastAsia="Calibri" w:hAnsi="Calibri"/>
          <w:color w:val="1E293B"/>
          <w:sz w:val="22"/>
          <w:szCs w:val="22"/>
        </w:rPr>
        <w:t xml:space="preserve">Pirms striktas gala summas nosaukšanas uzdod jautājumu: «Kāds ir jūsu plānotais budžeta koridors šāda veida digitalizācijas rīkiem?»</w:t>
      </w:r>
    </w:p>
    <w:p>
      <w:pPr>
        <w:spacing w:after="100"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1E3A8A" w:sz="24"/>
              <w:bottom w:val="none"/>
              <w:right w:val="none"/>
            </w:tcBorders>
            <w:shd w:fill="EFF6FF" w:val="clear"/>
            <w:tcMar>
              <w:top w:type="dxa" w:w="160"/>
              <w:left w:type="dxa" w:w="240"/>
              <w:bottom w:type="dxa" w:w="160"/>
              <w:right w:type="dxa" w:w="200"/>
            </w:tcMar>
          </w:tcPr>
          <w:p>
            <w:pPr>
              <w:spacing w:after="80"/>
            </w:pPr>
            <w:r>
              <w:rPr>
                <w:rFonts w:ascii="Calibri" w:cs="Calibri" w:eastAsia="Calibri" w:hAnsi="Calibri"/>
                <w:b/>
                <w:bCs/>
                <w:color w:val="1E3A8A"/>
                <w:sz w:val="22"/>
                <w:szCs w:val="22"/>
              </w:rPr>
              <w:t xml:space="preserve">💡 DOKUMENTA STATUSS</w:t>
            </w:r>
          </w:p>
          <w:p>
            <w:pPr>
              <w:spacing w:line="260"/>
            </w:pPr>
            <w:r>
              <w:rPr>
                <w:rFonts w:ascii="Calibri" w:cs="Calibri" w:eastAsia="Calibri" w:hAnsi="Calibri"/>
                <w:color w:val="1E293B"/>
                <w:sz w:val="21"/>
                <w:szCs w:val="21"/>
              </w:rPr>
              <w:t xml:space="preserve">Dokuments sagatavots kā praktisks palīglīdzeklis cenu un sadarbības sarunām par lietotni «Easy walls 2.0». Šo .docx failu var tieši augšupielādēt Google Drive un atvērt kā Google Doc, kur saglabāsies visi stili, tabulas un noformējums.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Easy walls 2.0 • Vērtības un cenas ceļvedis | Lapa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no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2026-09-02T11:33:15.746Z</dcterms:created>
  <dcterms:modified xsi:type="dcterms:W3CDTF">2026-09-02T11:33:15.747Z</dcterms:modified>
</cp:coreProperties>
</file>

<file path=docProps/custom.xml><?xml version="1.0" encoding="utf-8"?>
<Properties xmlns="http://schemas.openxmlformats.org/officeDocument/2006/custom-properties" xmlns:vt="http://schemas.openxmlformats.org/officeDocument/2006/docPropsVTypes"/>
</file>