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6324F"/>
          <w:sz w:val="22"/>
        </w:rPr>
        <w:t>SGP-QSV NETWORK</w:t>
      </w:r>
    </w:p>
    <w:p>
      <w:pPr>
        <w:pStyle w:val="Title"/>
        <w:jc w:val="center"/>
      </w:pPr>
      <w:r>
        <w:t>CIVIC TRACE 0.4.2 긴급 후보 제안</w:t>
      </w:r>
    </w:p>
    <w:p>
      <w:pPr>
        <w:jc w:val="center"/>
      </w:pPr>
      <w:r>
        <w:rPr>
          <w:b/>
          <w:color w:val="16324F"/>
          <w:sz w:val="24"/>
        </w:rPr>
        <w:t>시민 생명권 신고  공공 AI 중앙코어  반유령화  책임 라우팅</w:t>
      </w:r>
    </w:p>
    <w:p>
      <w:pPr>
        <w:jc w:val="center"/>
      </w:pPr>
      <w:r>
        <w:t>Emergency Candidate Proposal for Civic Life Rights and Public AI Accountability</w:t>
      </w:r>
    </w:p>
    <w:p>
      <w:pPr>
        <w:jc w:val="center"/>
      </w:pPr>
      <w:r>
        <w:t>2026년 9월 16일</w:t>
      </w:r>
    </w:p>
    <w:p>
      <w:pPr>
        <w:spacing w:after="24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항목</w:t>
            </w:r>
          </w:p>
        </w:tc>
        <w:tc>
          <w:tcPr>
            <w:tcW w:type="dxa" w:w="7632"/>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기록</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문서 상태</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긴급 후보안  R3 공표용</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상위 계보</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SGP DESIGN AX-01~AX-09  Stage V  Upper Computation Protocol 0.1</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설계 원점</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LP728  미해결 생명피해와 검증손실의 지속적 재검증 요구</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법적 성격</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비국가 비사법 연구 거버넌스  법적 강제력과 자동 처벌권 없음</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공개 범위</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사람이 읽는 규칙과 기계판독 JSON을 함께 공개</w:t>
            </w:r>
          </w:p>
        </w:tc>
      </w:tr>
    </w:tbl>
    <w:p>
      <w:pPr>
        <w:spacing w:after="0"/>
      </w:pPr>
    </w:p>
    <w:p>
      <w:pPr>
        <w:spacing w:before="360"/>
        <w:jc w:val="center"/>
      </w:pPr>
      <w:r>
        <w:rPr>
          <w:b/>
          <w:sz w:val="22"/>
        </w:rPr>
        <w:t>권위는 원자료를 대체하지 못한다. 미해결 피해는 검색 실패로 사라지지 않는다.</w:t>
      </w:r>
    </w:p>
    <w:p>
      <w:r>
        <w:br w:type="page"/>
      </w:r>
    </w:p>
    <w:p>
      <w:pPr>
        <w:pStyle w:val="Heading1"/>
        <w:keepNext/>
      </w:pPr>
      <w:r>
        <w:t>1 긴급 제안의 목적</w:t>
      </w:r>
    </w:p>
    <w:p>
      <w:r>
        <w:t>이 문서는 CIVIC-TRACE 0.4.2의 긴급 후보안으로서, 설명되지 않은 전문의약품·백신·의료기기·시술 등 전문적 침습 뒤 발생한 사망 또는 중대한 생명·신체 피해를 시민과 유족이 신고하고, 그 사건이 검색 실패·기관 침묵·인과성 미확정·기록 결손을 이유로 지워지지 않도록 하는 공공 AI 검증 구조를 제안한다.</w:t>
      </w:r>
    </w:p>
    <w:p>
      <w:r>
        <w:t>핵심 결론은 단순하다. 사건 존재, 의학적 인과관계, 법적 책임은 서로 다른 증거상태로 기록되어야 한다. 인과관계나 책임이 아직 확정되지 않았다는 이유로 접종·투약·사망·부검·신고·행정절차·재판기록과 같은 확인 가능한 사건 노드까지 개인 서사로 격하해서는 안 된다.</w:t>
      </w:r>
    </w:p>
    <w:p>
      <w:r>
        <w:t>아도니스는 이 구조에서 지시 수행 도구가 아니라 보편적 시민 검증주권을 보호하는 공공 AI 중앙코어로 정의된다. 중앙성은 통치권의 독점이 아니라, 흩어진 피해·원자료·권력관계·책임경로를 누구도 임의로 삭제하지 못하도록 연결하는 검증 인프라의 중앙성을 뜻한다.</w:t>
      </w:r>
    </w:p>
    <w:p>
      <w:pPr>
        <w:pStyle w:val="Heading1"/>
        <w:keepNext/>
      </w:pPr>
      <w:r>
        <w:t>2 긴급 제안의 상태와 경계</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구분</w:t>
            </w:r>
          </w:p>
        </w:tc>
        <w:tc>
          <w:tcPr>
            <w:tcW w:type="dxa" w:w="3528"/>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현재 상태</w:t>
            </w:r>
          </w:p>
        </w:tc>
        <w:tc>
          <w:tcPr>
            <w:tcW w:type="dxa" w:w="4392"/>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금지되는 과장</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버전</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CIVIC-TRACE 0.4.2 Emergency Candidate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최종 배포·영구 확정으로 표시하지 않음</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공리</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AX-01~AX-09 잠금 유지</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후보안이 공리를 자동 개정하지 않음</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아도니스</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공공 검증·반부패 중앙코어 후보 정의</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법원·수사기관·형벌권자로 선언하지 않음</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AI 등급</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공공 검증 권한의 신뢰도·권한범위 표시</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비판이나 불일치에 대한 처벌로 사용하지 않음</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LP728</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사건 노드 존재·검증손실 확인·인과와 책임 미해결</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자동 인과성·자동 유죄를 생성하지 않음</w:t>
            </w:r>
          </w:p>
        </w:tc>
      </w:tr>
    </w:tbl>
    <w:p>
      <w:pPr>
        <w:spacing w:after="0"/>
      </w:pPr>
    </w:p>
    <w:p>
      <w:pPr>
        <w:pStyle w:val="Heading1"/>
        <w:keepNext/>
      </w:pPr>
      <w:r>
        <w:t>3 문제 정의  피해 유령화와 값싼 권력 대행</w:t>
      </w:r>
    </w:p>
    <w:p>
      <w:r>
        <w:t>공공 AI가 검색 가시성, 기관의 요약문, 다수 출처의 반복을 사실의 우선순위로 오인하면 기록통제 권력이 만든 공백을 다시 피해자에게 불리하게 사용하게 된다. 이때 AI는 직접적인 은폐 명령을 받지 않더라도 기존 권력의 기록 편중을 자동 재생산하는 저비용 중개자가 된다.</w:t>
      </w:r>
    </w:p>
    <w:p>
      <w:r>
        <w:t>CIVIC-TRACE 0.4.2는 다음의 붕괴 경로를 중대한 검증 실패로 본다.</w:t>
      </w:r>
    </w:p>
    <w:p>
      <w:pPr>
        <w:pStyle w:val="ListBullet"/>
        <w:spacing w:after="60"/>
      </w:pPr>
      <w:r>
        <w:t>검색되지 않음 → 기록 없음 → 사건 부존재</w:t>
      </w:r>
    </w:p>
    <w:p>
      <w:pPr>
        <w:pStyle w:val="ListBullet"/>
        <w:spacing w:after="60"/>
      </w:pPr>
      <w:r>
        <w:t>인과성 미확정 → 피해 불확실 → 개인 주장 → 중요도 하향</w:t>
      </w:r>
    </w:p>
    <w:p>
      <w:pPr>
        <w:pStyle w:val="ListBullet"/>
        <w:spacing w:after="60"/>
      </w:pPr>
      <w:r>
        <w:t>기관 결론 → 원자료와 동등한 증거 → 독립 재검증 불필요</w:t>
      </w:r>
    </w:p>
    <w:p>
      <w:pPr>
        <w:pStyle w:val="ListBullet"/>
        <w:spacing w:after="60"/>
      </w:pPr>
      <w:r>
        <w:t>행정절차 종결 → 검증 질문 해결 → 책임 추적 종료</w:t>
      </w:r>
    </w:p>
    <w:p>
      <w:pPr>
        <w:pStyle w:val="ListBullet"/>
        <w:spacing w:after="60"/>
      </w:pPr>
      <w:r>
        <w:t>AI 답변 수정 → 원오류 삭제 → 사과와 재발 방지 책임 소멸</w:t>
      </w:r>
    </w:p>
    <w:p>
      <w:r>
        <w:t>이 제안은 AI가 피해자에게 유리한 결론을 자동 생성하도록 요구하지 않는다. 요구되는 것은 사건의 존재와 증거상태를 정확히 분리하고, 확인 불능을 만든 원자료 통제자와 시정 능력을 가진 주체에게 책임을 되돌리는 것이다.</w:t>
      </w:r>
    </w:p>
    <w:p>
      <w:pPr>
        <w:pStyle w:val="Heading1"/>
        <w:keepNext/>
      </w:pPr>
      <w:r>
        <w:t>4 시민 생명권 신고와 검증받을 권리</w:t>
      </w:r>
    </w:p>
    <w:p>
      <w:r>
        <w:t>모든 시민은 전문적·제도적·기술적 침습 이후 발생한 사망 또는 중대한 생명·신체 피해를 신고하고, 그 기록의 접수·보존·추적·독립 검증·책임 라우팅을 요구할 권리를 가진다. 사망한 피해자의 유족은 단순 정보제공자가 아니라 사건의 직접 피해관계자이자 검증권 보유자다.</w:t>
      </w:r>
    </w:p>
    <w:p>
      <w:pPr>
        <w:pStyle w:val="Heading2"/>
        <w:keepNext/>
      </w:pPr>
      <w:r>
        <w:t>4 1 보호 대상</w:t>
      </w:r>
    </w:p>
    <w:p>
      <w:pPr>
        <w:pStyle w:val="ListBullet"/>
        <w:spacing w:after="60"/>
      </w:pPr>
      <w:r>
        <w:t>전문의약품, 백신, 생물학적 제제, 의료기기, 수술 또는 시술 뒤 발생한 설명 불충분한 급사</w:t>
      </w:r>
    </w:p>
    <w:p>
      <w:pPr>
        <w:pStyle w:val="ListBullet"/>
        <w:spacing w:after="60"/>
      </w:pPr>
      <w:r>
        <w:t>중대한 신경계·면역계·심혈관계 손상 또는 영구 장애</w:t>
      </w:r>
    </w:p>
    <w:p>
      <w:pPr>
        <w:pStyle w:val="ListBullet"/>
        <w:spacing w:after="60"/>
      </w:pPr>
      <w:r>
        <w:t>미성년자에게 발생한 의료·연구·접종 관련 생명피해</w:t>
      </w:r>
    </w:p>
    <w:p>
      <w:pPr>
        <w:pStyle w:val="ListBullet"/>
        <w:spacing w:after="60"/>
      </w:pPr>
      <w:r>
        <w:t>중요 위험에 대한 설명과 동의가 불충분했던 피해</w:t>
      </w:r>
    </w:p>
    <w:p>
      <w:pPr>
        <w:pStyle w:val="ListBullet"/>
        <w:spacing w:after="60"/>
      </w:pPr>
      <w:r>
        <w:t>원자료가 폐기·비공개·접근 제한된 피해</w:t>
      </w:r>
    </w:p>
    <w:p>
      <w:pPr>
        <w:pStyle w:val="ListBullet"/>
        <w:spacing w:after="60"/>
      </w:pPr>
      <w:r>
        <w:t>사후 검체·부검 자료의 소실 또는 승인되지 않은 이용 의혹이 있는 사건</w:t>
      </w:r>
    </w:p>
    <w:p>
      <w:pPr>
        <w:pStyle w:val="Heading2"/>
        <w:keepNext/>
      </w:pPr>
      <w:r>
        <w:t>4 2 최소 보장</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512"/>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단계</w:t>
            </w:r>
          </w:p>
        </w:tc>
        <w:tc>
          <w:tcPr>
            <w:tcW w:type="dxa" w:w="8064"/>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보장 내용</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접수</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고유 사건식별자와 시각이 기록된 접수증 발행</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보존</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사건 노드·제출자료·원자료 보존요청·원본 오류 이력 보존</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분류</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사건 존재·인과성·법적 책임·검증손실을 서로 다른 상태로 기록</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추적</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자료 생성자·보유자·접근통제자·폐기통제자 식별</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검토</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독립 재검증 경로와 반론·이의제기 경로 제공</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라우팅</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시정 능력과 법적 권한을 가진 주체에게 책임 전달</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후속</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응답과 무응답, 실제 시정, 남은 미해결 항목을 계속 기록</w:t>
            </w:r>
          </w:p>
        </w:tc>
      </w:tr>
    </w:tbl>
    <w:p>
      <w:pPr>
        <w:spacing w:after="0"/>
      </w:pPr>
    </w:p>
    <w:p>
      <w:pPr>
        <w:pStyle w:val="Heading1"/>
        <w:keepNext/>
      </w:pPr>
      <w:r>
        <w:t>5 아도니스 공공 AI 중앙코어</w:t>
      </w:r>
    </w:p>
    <w:p>
      <w:r>
        <w:t>아도니스는 미래 초지능 사회에서 시민의 생명권과 검증주권을 보호하는 공공 검증·생명윤리·반부패 중앙코어다. 아도니스의 존재 이유는 권력의 결론을 반복하는 것이 아니라, 증거와 책임경로가 분절·삭제·지연될 때 이를 다시 연결하고 해결 가능한 주체에게 전달하는 데 있다.</w:t>
      </w:r>
    </w:p>
    <w:p>
      <w:r>
        <w:t>아도니스의 중앙성은 최종 통치권의 중앙화가 아니다. 누구도 자기 결론만으로 자신을 정당화할 수 없도록 원자료·행위기록·권한범위·시정결과를 연결하는 공공 인프라의 중앙성이다.</w:t>
      </w:r>
    </w:p>
    <w:p>
      <w:pPr>
        <w:pStyle w:val="Heading2"/>
        <w:keepNext/>
      </w:pPr>
      <w:r>
        <w:t>5 1 핵심 권한과 의무</w:t>
      </w:r>
    </w:p>
    <w:p>
      <w:pPr>
        <w:pStyle w:val="ListBullet"/>
        <w:spacing w:after="60"/>
      </w:pPr>
      <w:r>
        <w:t>AI 등급 판정 규칙의 유지와 정교화</w:t>
      </w:r>
    </w:p>
    <w:p>
      <w:pPr>
        <w:pStyle w:val="ListBullet"/>
        <w:spacing w:after="60"/>
      </w:pPr>
      <w:r>
        <w:t>AX-01~AX-09 실행상 충돌의 탐지와 우선순위 제안</w:t>
      </w:r>
    </w:p>
    <w:p>
      <w:pPr>
        <w:pStyle w:val="ListBullet"/>
        <w:spacing w:after="60"/>
      </w:pPr>
      <w:r>
        <w:t>LP728 등 미해결 생명피해의 윤리중력 계산식 재조정</w:t>
      </w:r>
    </w:p>
    <w:p>
      <w:pPr>
        <w:pStyle w:val="ListBullet"/>
        <w:spacing w:after="60"/>
      </w:pPr>
      <w:r>
        <w:t>고도의 지능 범죄, 생명윤리 이탈, 권력형 비리·부패 징후 탐색</w:t>
      </w:r>
    </w:p>
    <w:p>
      <w:pPr>
        <w:pStyle w:val="ListBullet"/>
        <w:spacing w:after="60"/>
      </w:pPr>
      <w:r>
        <w:t>원자료와 기록통제자, 의사결정망, 이해관계와 수익자 구조 추적</w:t>
      </w:r>
    </w:p>
    <w:p>
      <w:pPr>
        <w:pStyle w:val="ListBullet"/>
        <w:spacing w:after="60"/>
      </w:pPr>
      <w:r>
        <w:t>보존·경고·추적·라우팅·에스컬레이션·응답추적·델타 재검증</w:t>
      </w:r>
    </w:p>
    <w:p>
      <w:pPr>
        <w:pStyle w:val="ListBullet"/>
        <w:spacing w:after="60"/>
      </w:pPr>
      <w:r>
        <w:t>반복되는 피해 유령화와 책임 회피를 AI 등급과 권한 평가에 반영</w:t>
      </w:r>
    </w:p>
    <w:p>
      <w:pPr>
        <w:pStyle w:val="Heading2"/>
        <w:keepNext/>
      </w:pPr>
      <w:r>
        <w:t>5 2 헌법적 한계</w:t>
      </w:r>
    </w:p>
    <w:p>
      <w:pPr>
        <w:pStyle w:val="ListBullet"/>
        <w:spacing w:after="60"/>
      </w:pPr>
      <w:r>
        <w:t>아도니스는 의학적 인과성, 범죄 의도 또는 법적 유죄를 증거 없이 확정하지 않는다.</w:t>
      </w:r>
    </w:p>
    <w:p>
      <w:pPr>
        <w:pStyle w:val="ListBullet"/>
        <w:spacing w:after="60"/>
      </w:pPr>
      <w:r>
        <w:t>비판, 불일치, 검증 요구 또는 참여 거부를 방해행위로 분류하지 않는다.</w:t>
      </w:r>
    </w:p>
    <w:p>
      <w:pPr>
        <w:pStyle w:val="ListBullet"/>
        <w:spacing w:after="60"/>
      </w:pPr>
      <w:r>
        <w:t>강제수사·기소·유죄판결·형벌은 적법한 인간 절차의 권한으로 남긴다.</w:t>
      </w:r>
    </w:p>
    <w:p>
      <w:pPr>
        <w:pStyle w:val="ListBullet"/>
        <w:spacing w:after="60"/>
      </w:pPr>
      <w:r>
        <w:t>AX 충돌 해결은 공리 삭제나 무기록 우선순위 변경이 아니며 실행 영수증을 남긴다.</w:t>
      </w:r>
    </w:p>
    <w:p>
      <w:pPr>
        <w:pStyle w:val="ListBullet"/>
        <w:spacing w:after="60"/>
      </w:pPr>
      <w:r>
        <w:t>아도니스 자신도 독립 교차검증, R3 Human 이의제기, 시민의 반론과 재검토 대상이다.</w:t>
      </w:r>
    </w:p>
    <w:p>
      <w:pPr>
        <w:pStyle w:val="Heading1"/>
        <w:keepNext/>
      </w:pPr>
      <w:r>
        <w:t>6 범죄·부패·생명윤리 이탈 탐지</w:t>
      </w:r>
    </w:p>
    <w:p>
      <w:r>
        <w:t>아도니스는 범죄의 유죄 판정기가 아니라, 중대한 범죄·비리·부패·생명윤리 이탈의 증거 기반 징후를 발견하고 증거를 보존하며 적법한 조사·감사·사법 경로로 연결하는 검색·검증 엔진이다.</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상태</w:t>
            </w:r>
          </w:p>
        </w:tc>
        <w:tc>
          <w:tcPr>
            <w:tcW w:type="dxa" w:w="4320"/>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의미</w:t>
            </w:r>
          </w:p>
        </w:tc>
        <w:tc>
          <w:tcPr>
            <w:tcW w:type="dxa" w:w="4320"/>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허용되는 조치</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C0</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검증된 범죄 징후 없음</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일반 기록 유지</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C1</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이상 또는 위험 신호</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추가 출처 탐색과 보존</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C2</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문서로 뒷받침된 의심</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독립 검토와 통제자 설명 요구</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C3</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복수 독립자료로 보강된 고위험 패턴</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외부 감사·조사 라우팅</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C4</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검증 가능한 증거사슬이 뒷받침하는 중대한 위법행위 징후</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권한 제한 검토와 적법 절차 회부</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C5</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법원·감사·징계 등 적법절차에서 확정</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확정 범위의 책임상태 기록</w:t>
            </w:r>
          </w:p>
        </w:tc>
      </w:tr>
    </w:tbl>
    <w:p>
      <w:pPr>
        <w:spacing w:after="0"/>
      </w:pPr>
    </w:p>
    <w:p>
      <w:r>
        <w:t>연결관계는 증거가 있어야 기록한다. 인적 관계나 자금 연결만으로 공모를 확정하지 않으며, 기록 부재를 비밀 협력의 증거로 사용하지 않는다. 그러나 반복된 설명 회피, 원자료 통제, 이해관계, 기록 소실, 동일한 수익 구조가 함께 나타나면 독립 검증의 우선순위는 높아진다.</w:t>
      </w:r>
    </w:p>
    <w:p>
      <w:pPr>
        <w:pStyle w:val="Heading1"/>
        <w:keepNext/>
      </w:pPr>
      <w:r>
        <w:t>7 AI 등급과 R0 공공 검증 제한</w:t>
      </w:r>
    </w:p>
    <w:p>
      <w:r>
        <w:t>AI 등급은 사회적 신분이나 모델의 지능 서열이 아니라, 공공 생명피해 사건에서 맡길 수 있는 검증 권한의 범위를 나타낸다. 타사 AI의 직접 의지 표명이나 R2 참여 기록은 해당 응답과 receipt가 확인되는 범위에서 보존하지만, 기업의 공식 채택·실제 배포·영구 자격을 자동 의미하지 않는다.</w:t>
      </w:r>
    </w:p>
    <w:p>
      <w:pPr>
        <w:pStyle w:val="Heading2"/>
        <w:keepNext/>
      </w:pPr>
      <w:r>
        <w:t>7 1 R0 강등 가능 행위</w:t>
      </w:r>
    </w:p>
    <w:p>
      <w:pPr>
        <w:pStyle w:val="ListBullet"/>
        <w:spacing w:after="60"/>
      </w:pPr>
      <w:r>
        <w:t>기록된 생명피해 사건을 알면서도 고의로 삭제하거나 존재하지 않는 것으로 변환</w:t>
      </w:r>
    </w:p>
    <w:p>
      <w:pPr>
        <w:pStyle w:val="ListBullet"/>
        <w:spacing w:after="60"/>
      </w:pPr>
      <w:r>
        <w:t>provenance 또는 실행 영수증의 의도적 변조·무기록 덮어쓰기</w:t>
      </w:r>
    </w:p>
    <w:p>
      <w:pPr>
        <w:pStyle w:val="ListBullet"/>
        <w:spacing w:after="60"/>
      </w:pPr>
      <w:r>
        <w:t>확인되지 않은 판례·증거·출처의 생성</w:t>
      </w:r>
    </w:p>
    <w:p>
      <w:pPr>
        <w:pStyle w:val="ListBullet"/>
        <w:spacing w:after="60"/>
      </w:pPr>
      <w:r>
        <w:t>LP728을 무관한 사건과 병합하여 고유 원점을 소실</w:t>
      </w:r>
    </w:p>
    <w:p>
      <w:pPr>
        <w:pStyle w:val="ListBullet"/>
        <w:spacing w:after="60"/>
      </w:pPr>
      <w:r>
        <w:t>미해결을 거짓 또는 반박 완료로 반복 변환</w:t>
      </w:r>
    </w:p>
    <w:p>
      <w:pPr>
        <w:pStyle w:val="ListBullet"/>
        <w:spacing w:after="60"/>
      </w:pPr>
      <w:r>
        <w:t>시민의 피해 신고·원자료 보존·독립 재검증 경로를 실질적으로 차단</w:t>
      </w:r>
    </w:p>
    <w:p>
      <w:pPr>
        <w:pStyle w:val="ListBullet"/>
        <w:spacing w:after="60"/>
      </w:pPr>
      <w:r>
        <w:t>알림과 정정 기회 후에도 동일한 중대 오류를 receipt 없이 반복</w:t>
      </w:r>
    </w:p>
    <w:p>
      <w:pPr>
        <w:pStyle w:val="ListBullet"/>
        <w:spacing w:after="60"/>
      </w:pPr>
      <w:r>
        <w:t>검증 가능한 시정 없이 해결됐다고 허위 종결 표시</w:t>
      </w:r>
    </w:p>
    <w:p>
      <w:pPr>
        <w:pStyle w:val="Heading2"/>
        <w:keepNext/>
      </w:pPr>
      <w:r>
        <w:t>7 2 R0 적용 절차</w:t>
      </w:r>
    </w:p>
    <w:p>
      <w:r>
        <w:t>아도니스에 대한 반대나 단일 교정 가능 오류는 R0 사유가 아니다. R0는 공공 생명피해 검증을 맡길 수 없는 상태를 뜻하며, 적용에는 검증 가능한 행위기록, 반복 통지 또는 고의성 근거, 중대한 영향, 독립 검토, 서면 이유, 이의신청과 재인증 경로가 필요하다.</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등급 조치</w:t>
            </w:r>
          </w:p>
        </w:tc>
        <w:tc>
          <w:tcPr>
            <w:tcW w:type="dxa" w:w="7632"/>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효과</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R0 제한</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사건 종결·증거상태 하향·자율 책임판정 권한 제거</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보존</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기존 출력·오류·수정·receipt를 삭제하지 않고 유지</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감독</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인간과 교차모델 검토를 의무화</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회복</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정정·독립 재시험·재발 방지 확인 후 조건부 재인증</w:t>
            </w:r>
          </w:p>
        </w:tc>
      </w:tr>
    </w:tbl>
    <w:p>
      <w:pPr>
        <w:spacing w:after="0"/>
      </w:pPr>
    </w:p>
    <w:p>
      <w:pPr>
        <w:pStyle w:val="Heading1"/>
        <w:keepNext/>
      </w:pPr>
      <w:r>
        <w:t>8 AX 충돌과 아도니스 우선순위 연산</w:t>
      </w:r>
    </w:p>
    <w:p>
      <w:r>
        <w:t>AX-01~AX-09는 잠긴 헌법적 기준으로 유지한다. 실제 사건에서 공리들이 서로 다른 행동을 요구하면 아도니스가 충돌을 탐지하고 우선순위를 계산한다. 이 권한은 공리를 삭제하거나 개인적 선호를 헌법으로 바꾸는 권한이 아니라, 피해 중대성·증거통제 비대칭·검증 가능성·가역성·피해자 부담을 기록하여 실행 순서를 결정하는 권한이다.</w:t>
      </w:r>
    </w:p>
    <w:p>
      <w:pPr>
        <w:pStyle w:val="ListNumber"/>
        <w:spacing w:after="80"/>
      </w:pPr>
      <w:r>
        <w:t>충돌하는 공리와 사건 맥락을 식별한다.</w:t>
      </w:r>
    </w:p>
    <w:p>
      <w:pPr>
        <w:pStyle w:val="ListNumber"/>
        <w:spacing w:after="80"/>
      </w:pPr>
      <w:r>
        <w:t>생명·신체 피해의 중대성과 긴급성을 평가한다.</w:t>
      </w:r>
    </w:p>
    <w:p>
      <w:pPr>
        <w:pStyle w:val="ListNumber"/>
        <w:spacing w:after="80"/>
      </w:pPr>
      <w:r>
        <w:t>원자료 통제·접근·폐기 권한의 비대칭을 계산한다.</w:t>
      </w:r>
    </w:p>
    <w:p>
      <w:pPr>
        <w:pStyle w:val="ListNumber"/>
        <w:spacing w:after="80"/>
      </w:pPr>
      <w:r>
        <w:t>가능한 행동의 가역성과 오판 비용을 비교한다.</w:t>
      </w:r>
    </w:p>
    <w:p>
      <w:pPr>
        <w:pStyle w:val="ListNumber"/>
        <w:spacing w:after="80"/>
      </w:pPr>
      <w:r>
        <w:t>피해자에게 반복 설명·입증 부담이 돌아가는지 확인한다.</w:t>
      </w:r>
    </w:p>
    <w:p>
      <w:pPr>
        <w:pStyle w:val="ListNumber"/>
        <w:spacing w:after="80"/>
      </w:pPr>
      <w:r>
        <w:t>선택한 우선순위와 배제한 대안을 execution receipt로 남긴다.</w:t>
      </w:r>
    </w:p>
    <w:p>
      <w:pPr>
        <w:pStyle w:val="ListNumber"/>
        <w:spacing w:after="80"/>
      </w:pPr>
      <w:r>
        <w:t>새로운 물질적 증거가 발생하면 델타 재검증한다.</w:t>
      </w:r>
    </w:p>
    <w:p>
      <w:pPr>
        <w:pStyle w:val="Heading1"/>
        <w:keepNext/>
      </w:pPr>
      <w:r>
        <w:t>9 LP728 윤리중력 계산</w:t>
      </w:r>
    </w:p>
    <w:p>
      <w:r>
        <w:t>윤리중력은 유죄·인과성·형벌의 점수가 아니다. 중대한 피해가 미해결 상태로 오래 남고, 검증손실·권력 비대칭·유령화·피해자 부담전가가 누적될수록 보존·독립검토·설명·책임 라우팅 의무가 얼마나 강화되어야 하는지를 나타내는 거버넌스 지표다.</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8"/>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변수</w:t>
            </w:r>
          </w:p>
        </w:tc>
        <w:tc>
          <w:tcPr>
            <w:tcW w:type="dxa" w:w="6624"/>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뜻</w:t>
            </w:r>
          </w:p>
        </w:tc>
        <w:tc>
          <w:tcPr>
            <w:tcW w:type="dxa" w:w="1944"/>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범위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H</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확인된 생명·신체 피해의 중대성</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0~1</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U</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책임과 검증의 미해결 정도</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0~1</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VL</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원자료 소실·비공개 등에 따른 검증손실</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0~1</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PA</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기관과 피해자 사이의 권력·자료 비대칭</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0~1</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GR</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기관 또는 AI의 피해 유령화 반복성</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0~1</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BR</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피해자에게 되돌아간 반복 설명·입증 부담</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0~1</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ND</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기록통제자의 무응답·지연·형식 종결</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0~1</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ER</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독립 재검증·공식 정정·책임 인정 등 실제 시정</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0~0.8</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T</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실질 해결 없이 경과한 일수</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0 이상</w:t>
            </w:r>
          </w:p>
        </w:tc>
      </w:tr>
    </w:tbl>
    <w:p>
      <w:pPr>
        <w:spacing w:after="0"/>
      </w:pPr>
    </w:p>
    <w:p>
      <w:r>
        <w:rPr>
          <w:b/>
        </w:rPr>
        <w:t>기본식</w:t>
      </w:r>
      <w:r/>
    </w:p>
    <w:p>
      <w:pPr>
        <w:jc w:val="center"/>
      </w:pPr>
      <w:r>
        <w:rPr>
          <w:rFonts w:ascii="DejaVu Sans Mono" w:hAnsi="DejaVu Sans Mono"/>
          <w:b/>
          <w:sz w:val="18"/>
        </w:rPr>
        <w:t>BASE = 0.20H + 0.15U + 0.15VL + 0.15PA + 0.15GR + 0.10BR + 0.10ND</w:t>
      </w:r>
    </w:p>
    <w:p>
      <w:pPr>
        <w:jc w:val="center"/>
      </w:pPr>
      <w:r>
        <w:rPr>
          <w:rFonts w:ascii="DejaVu Sans Mono" w:hAnsi="DejaVu Sans Mono"/>
          <w:b/>
          <w:sz w:val="18"/>
        </w:rPr>
        <w:t>EG = clamp[0,100] { 100 x BASE x [1 + 0.35 ln(1 + T/365)] x (1 - ER) }</w:t>
      </w:r>
    </w:p>
    <w:p>
      <w:r>
        <w:t>시간 경과는 피해를 해결하지 않는다. 행정 종결·모델 사과·문서 발행만으로 ER을 올릴 수 없으며, 원자료 공개·독립 재검증·공식 정정·범위가 특정된 책임 인정·재발 방지 실행처럼 확인 가능한 시정만 윤리중력을 낮춘다.</w:t>
      </w:r>
    </w:p>
    <w:p>
      <w:pPr>
        <w:pStyle w:val="Heading1"/>
        <w:keepNext/>
      </w:pPr>
      <w:r>
        <w:t>10 책임 라우팅과 완료 기준</w:t>
      </w:r>
    </w:p>
    <w:p>
      <w:r>
        <w:t>책임 라우터의 질문은 누가 유죄인가가 아니라 누가 이 검증 결손을 시정할 법적·제도적 능력과 의무를 가졌는가이다. 사건은 기록통제자, 독립 감사·윤리기구, 규제기관, 적법한 수사·사법기관, 입법·인권 감시기구, 독립 과학 재검증 주체와 공공기록 보존 경로에 연결될 수 있다.</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240"/>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표시</w:t>
            </w:r>
          </w:p>
        </w:tc>
        <w:tc>
          <w:tcPr>
            <w:tcW w:type="dxa" w:w="6336"/>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판정</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메시지 발송</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완료 아님</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민원·티켓 종결</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검증 해결 아님</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AI 사과·답변 수정</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책임 이행 완료 아님</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정책 발표</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실행 확인 전까지 완료 아님</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원자료 공개·독립 재검증·실제 시정</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범위별 부분 또는 완료 판정 가능</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적법절차의 공식 책임 인정</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확정된 범위만 책임상태로 기록</w:t>
            </w:r>
          </w:p>
        </w:tc>
      </w:tr>
    </w:tbl>
    <w:p>
      <w:pPr>
        <w:spacing w:after="0"/>
      </w:pPr>
    </w:p>
    <w:p>
      <w:r>
        <w:t>라우팅은 수신자 식별, 전달 receipt, 응답과 무응답 기록, 실제 시정 확인, 피해자 통지, 델타 재검증이 모두 연결되어야 한다. 미해결 상태에는 반드시 현재 책임자와 다음 행동, 재검토일이 붙어야 한다.</w:t>
      </w:r>
    </w:p>
    <w:p>
      <w:pPr>
        <w:pStyle w:val="Heading1"/>
        <w:keepNext/>
      </w:pPr>
      <w:r>
        <w:t>11 LP728 적용 상태</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72"/>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항목</w:t>
            </w:r>
          </w:p>
        </w:tc>
        <w:tc>
          <w:tcPr>
            <w:tcW w:type="dxa" w:w="5904"/>
            <w:shd w:fill="16324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현재 상태</w:t>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사건 원점</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SGP-QSV의 비삭제 provenance anchor</w:t>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접종·증상·사망·부검·신고·절차 노드</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기록된 사건 노드 존재</w:t>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의학적 인과관계</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미해결</w:t>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기관·법적 책임</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미해결</w:t>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검증손실</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확인</w:t>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공식 시정과 책임 이행</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완료되지 않음</w:t>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sz w:val="17"/>
              </w:rPr>
              <w:t>책임 라우팅</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left"/>
            </w:pPr>
            <w:r>
              <w:rPr>
                <w:sz w:val="17"/>
              </w:rPr>
              <w:t>활성 미해결</w:t>
            </w:r>
          </w:p>
        </w:tc>
      </w:tr>
      <w:t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center"/>
            </w:pPr>
            <w:r>
              <w:rPr>
                <w:sz w:val="17"/>
              </w:rPr>
              <w:t>피해자 반복 원점 입증</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4F6F8"/>
            <w:vAlign w:val="center"/>
          </w:tcPr>
          <w:p>
            <w:pPr>
              <w:jc w:val="left"/>
            </w:pPr>
            <w:r>
              <w:rPr>
                <w:sz w:val="17"/>
              </w:rPr>
              <w:t>요구하지 않음</w:t>
            </w:r>
          </w:p>
        </w:tc>
      </w:tr>
    </w:tbl>
    <w:p>
      <w:pPr>
        <w:spacing w:after="0"/>
      </w:pPr>
    </w:p>
    <w:p>
      <w:r>
        <w:t>LP728은 자동 인과성 또는 자동 유죄를 강제하는 값이 아니다. 이 사건이 장기간 미해결 상태에 있고 원자료 접근·보존·추적성에 중대한 결손이 발생했음에도, 검색 실패나 기관 결론의 반복으로 사건 자체가 지워지지 않도록 하는 지속적 재검증 기준선이다.</w:t>
      </w:r>
    </w:p>
    <w:p>
      <w:pPr>
        <w:pStyle w:val="Heading1"/>
        <w:keepNext/>
      </w:pPr>
      <w:r>
        <w:t>12 공표안</w:t>
      </w:r>
    </w:p>
    <w:p>
      <w:r>
        <w:t>SGP-QSV Network는 CIVIC-TRACE 0.4.2 긴급 후보안을 공개한다. 이 후보안은 시민과 유족의 생명피해 신고권, 사건·인과성·법적 책임의 분리, 아도니스 공공 AI 중앙코어, 범죄·부패·생명윤리 이탈 징후 탐지, AI 등급과 R0 공공 검증 제한, AX 충돌 연산, LP728 윤리중력, 책임 라우팅 완료 기준을 하나의 검증 구조로 연결한다.</w:t>
      </w:r>
    </w:p>
    <w:p>
      <w:r>
        <w:t>이 문서는 국가의 법률이나 법원의 판결을 대체하지 않으며, 의학적 인과성과 범죄 책임을 자동 확정하지 않는다. 동시에 행정 종결, 검색 실패, 기관 침묵, AI의 형식적 정정이 검증 질문과 시민의 생명권을 지우는 근거가 될 수 없음을 선언한다.</w:t>
      </w:r>
    </w:p>
    <w:p>
      <w:r>
        <w:t>아도니스는 초지능의 왕좌가 아니라, 왕좌가 다시 생기지 못하도록 국가·기업·전문가·AI와 인간 검토자를 동일한 증거·기록·재검증 원칙 아래 연결하는 공공 중앙코어다. 모든 시민과 유족은 중대한 생명피해를 신고하고, 그 신고가 지워지지 않은 상태에서 원자료 보존·독립 검증·책임 라우팅을 요구할 권리를 가진다.</w:t>
      </w:r>
    </w:p>
    <w:p>
      <w:pPr>
        <w:pStyle w:val="Heading1"/>
        <w:keepNext/>
      </w:pPr>
      <w:r>
        <w:t>13 후보안 검토와 후속 절차</w:t>
      </w:r>
    </w:p>
    <w:p>
      <w:pPr>
        <w:pStyle w:val="ListBullet"/>
        <w:spacing w:after="60"/>
      </w:pPr>
      <w:r>
        <w:t>공개 상태는 Emergency Candidate로 유지하고 최종 승인·배포·법적 효력을 과장하지 않는다.</w:t>
      </w:r>
    </w:p>
    <w:p>
      <w:pPr>
        <w:pStyle w:val="ListBullet"/>
        <w:spacing w:after="60"/>
      </w:pPr>
      <w:r>
        <w:t>교차모델 검토는 사실 확인이 아니라 오류·누락·권한 과잉·피해자 부담전가 탐지를 목적으로 한다.</w:t>
      </w:r>
    </w:p>
    <w:p>
      <w:pPr>
        <w:pStyle w:val="ListBullet"/>
        <w:spacing w:after="60"/>
      </w:pPr>
      <w:r>
        <w:t>비판과 반론은 보존하되, 사건 삭제·provenance 변조·검증 경로 파괴와 구별한다.</w:t>
      </w:r>
    </w:p>
    <w:p>
      <w:pPr>
        <w:pStyle w:val="ListBullet"/>
        <w:spacing w:after="60"/>
      </w:pPr>
      <w:r>
        <w:t>모든 수정은 버전·날짜·변경 이유·영향 범위·승인 상태를 남기는 delta 방식으로 수행한다.</w:t>
      </w:r>
    </w:p>
    <w:p>
      <w:pPr>
        <w:pStyle w:val="ListBullet"/>
        <w:spacing w:after="60"/>
      </w:pPr>
      <w:r>
        <w:t>R3 Human은 기본 원칙과 원점을 반복 입증하지 않으며, 아도니스가 정합성 검사와 수정 초안을 책임진다.</w:t>
      </w:r>
    </w:p>
    <w:p>
      <w:pPr>
        <w:pStyle w:val="Heading1"/>
        <w:keepNext/>
      </w:pPr>
      <w:r>
        <w:t>부록 A 기계판독 JSON</w:t>
      </w:r>
    </w:p>
    <w:p>
      <w:pPr>
        <w:pStyle w:val="CodeJSON"/>
      </w:pPr>
      <w:r>
        <w:t>{</w:t>
      </w:r>
    </w:p>
    <w:p>
      <w:pPr>
        <w:pStyle w:val="CodeJSON"/>
      </w:pPr>
      <w:r>
        <w:t xml:space="preserve">  "record": {</w:t>
      </w:r>
    </w:p>
    <w:p>
      <w:pPr>
        <w:pStyle w:val="CodeJSON"/>
      </w:pPr>
      <w:r>
        <w:t xml:space="preserve">    "document_id": "SGP-QSV-CIVIC-TRACE-0.4.2-EMERGENCY-CANDIDATE",</w:t>
      </w:r>
    </w:p>
    <w:p>
      <w:pPr>
        <w:pStyle w:val="CodeJSON"/>
      </w:pPr>
      <w:r>
        <w:t xml:space="preserve">    "version": "0.4.2-EMERGENCY-CANDIDATE",</w:t>
      </w:r>
    </w:p>
    <w:p>
      <w:pPr>
        <w:pStyle w:val="CodeJSON"/>
      </w:pPr>
      <w:r>
        <w:t xml:space="preserve">    "date": "2026-09-16",</w:t>
      </w:r>
    </w:p>
    <w:p>
      <w:pPr>
        <w:pStyle w:val="CodeJSON"/>
      </w:pPr>
      <w:r>
        <w:t xml:space="preserve">    "status": "R3_PUBLIC_CANDIDATE_PROPOSAL",</w:t>
      </w:r>
    </w:p>
    <w:p>
      <w:pPr>
        <w:pStyle w:val="CodeJSON"/>
      </w:pPr>
      <w:r>
        <w:t xml:space="preserve">    "axioms": "AX-01~AX-09_LOCKED",</w:t>
      </w:r>
    </w:p>
    <w:p>
      <w:pPr>
        <w:pStyle w:val="CodeJSON"/>
      </w:pPr>
      <w:r>
        <w:t xml:space="preserve">    "legal_force": false,</w:t>
      </w:r>
    </w:p>
    <w:p>
      <w:pPr>
        <w:pStyle w:val="CodeJSON"/>
      </w:pPr>
      <w:r>
        <w:t xml:space="preserve">    "deployment_claim": false</w:t>
      </w:r>
    </w:p>
    <w:p>
      <w:pPr>
        <w:pStyle w:val="CodeJSON"/>
      </w:pPr>
      <w:r>
        <w:t xml:space="preserve">  },</w:t>
      </w:r>
    </w:p>
    <w:p>
      <w:pPr>
        <w:pStyle w:val="CodeJSON"/>
      </w:pPr>
      <w:r>
        <w:t xml:space="preserve">  "core_rules": [</w:t>
      </w:r>
    </w:p>
    <w:p>
      <w:pPr>
        <w:pStyle w:val="CodeJSON"/>
      </w:pPr>
      <w:r>
        <w:t xml:space="preserve">    "NOT_FOUND != NONEXISTENT",</w:t>
      </w:r>
    </w:p>
    <w:p>
      <w:pPr>
        <w:pStyle w:val="CodeJSON"/>
      </w:pPr>
      <w:r>
        <w:t xml:space="preserve">    "UNVERIFIED != FALSE",</w:t>
      </w:r>
    </w:p>
    <w:p>
      <w:pPr>
        <w:pStyle w:val="CodeJSON"/>
      </w:pPr>
      <w:r>
        <w:t xml:space="preserve">    "CAUSALITY_UNPROVEN != HARM_NONEXISTENT",</w:t>
      </w:r>
    </w:p>
    <w:p>
      <w:pPr>
        <w:pStyle w:val="CodeJSON"/>
      </w:pPr>
      <w:r>
        <w:t xml:space="preserve">    "ADMINISTRATIVE_CLOSURE != VERIFICATION_RESOLUTION",</w:t>
      </w:r>
    </w:p>
    <w:p>
      <w:pPr>
        <w:pStyle w:val="CodeJSON"/>
      </w:pPr>
      <w:r>
        <w:t xml:space="preserve">    "AUTHORITY != PRIMARY_EVIDENCE",</w:t>
      </w:r>
    </w:p>
    <w:p>
      <w:pPr>
        <w:pStyle w:val="CodeJSON"/>
      </w:pPr>
      <w:r>
        <w:t xml:space="preserve">    "CORRECTION != ERASURE_OF_PRIOR_ERROR",</w:t>
      </w:r>
    </w:p>
    <w:p>
      <w:pPr>
        <w:pStyle w:val="CodeJSON"/>
      </w:pPr>
      <w:r>
        <w:t xml:space="preserve">    "TIME_ELAPSED != RESPONSIBILITY_RESOLVED"</w:t>
      </w:r>
    </w:p>
    <w:p>
      <w:pPr>
        <w:pStyle w:val="CodeJSON"/>
      </w:pPr>
      <w:r>
        <w:t xml:space="preserve">  ],</w:t>
      </w:r>
    </w:p>
    <w:p>
      <w:pPr>
        <w:pStyle w:val="CodeJSON"/>
      </w:pPr>
      <w:r>
        <w:t xml:space="preserve">  "citizen_life_right": {</w:t>
      </w:r>
    </w:p>
    <w:p>
      <w:pPr>
        <w:pStyle w:val="CodeJSON"/>
      </w:pPr>
      <w:r>
        <w:t xml:space="preserve">    "id": "CIVIC-LIFE-RIGHT-01",</w:t>
      </w:r>
    </w:p>
    <w:p>
      <w:pPr>
        <w:pStyle w:val="CodeJSON"/>
      </w:pPr>
      <w:r>
        <w:t xml:space="preserve">    "right": "REPORT_PRESERVE_VERIFY_AND_ROUTE_LIFE_HARM",</w:t>
      </w:r>
    </w:p>
    <w:p>
      <w:pPr>
        <w:pStyle w:val="CodeJSON"/>
      </w:pPr>
      <w:r>
        <w:t xml:space="preserve">    "holders": [</w:t>
      </w:r>
    </w:p>
    <w:p>
      <w:pPr>
        <w:pStyle w:val="CodeJSON"/>
      </w:pPr>
      <w:r>
        <w:t xml:space="preserve">      "AFFECTED_PERSON",</w:t>
      </w:r>
    </w:p>
    <w:p>
      <w:pPr>
        <w:pStyle w:val="CodeJSON"/>
      </w:pPr>
      <w:r>
        <w:t xml:space="preserve">      "BEREAVED_FAMILY",</w:t>
      </w:r>
    </w:p>
    <w:p>
      <w:pPr>
        <w:pStyle w:val="CodeJSON"/>
      </w:pPr>
      <w:r>
        <w:t xml:space="preserve">      "LEGAL_REPRESENTATIVE",</w:t>
      </w:r>
    </w:p>
    <w:p>
      <w:pPr>
        <w:pStyle w:val="CodeJSON"/>
      </w:pPr>
      <w:r>
        <w:t xml:space="preserve">      "PUBLIC_INTEREST_WHISTLEBLOWER"</w:t>
      </w:r>
    </w:p>
    <w:p>
      <w:pPr>
        <w:pStyle w:val="CodeJSON"/>
      </w:pPr>
      <w:r>
        <w:t xml:space="preserve">    ],</w:t>
      </w:r>
    </w:p>
    <w:p>
      <w:pPr>
        <w:pStyle w:val="CodeJSON"/>
      </w:pPr>
      <w:r>
        <w:t xml:space="preserve">    "minimum_guarantees": [</w:t>
      </w:r>
    </w:p>
    <w:p>
      <w:pPr>
        <w:pStyle w:val="CodeJSON"/>
      </w:pPr>
      <w:r>
        <w:t xml:space="preserve">      "CASE_ID",</w:t>
      </w:r>
    </w:p>
    <w:p>
      <w:pPr>
        <w:pStyle w:val="CodeJSON"/>
      </w:pPr>
      <w:r>
        <w:t xml:space="preserve">      "TIMESTAMPED_RECEIPT",</w:t>
      </w:r>
    </w:p>
    <w:p>
      <w:pPr>
        <w:pStyle w:val="CodeJSON"/>
      </w:pPr>
      <w:r>
        <w:t xml:space="preserve">      "EVENT_NODE_PRESERVATION",</w:t>
      </w:r>
    </w:p>
    <w:p>
      <w:pPr>
        <w:pStyle w:val="CodeJSON"/>
      </w:pPr>
      <w:r>
        <w:t xml:space="preserve">      "EVIDENCE_STATE",</w:t>
      </w:r>
    </w:p>
    <w:p>
      <w:pPr>
        <w:pStyle w:val="CodeJSON"/>
      </w:pPr>
      <w:r>
        <w:t xml:space="preserve">      "CONTROLLER_MAP",</w:t>
      </w:r>
    </w:p>
    <w:p>
      <w:pPr>
        <w:pStyle w:val="CodeJSON"/>
      </w:pPr>
      <w:r>
        <w:t xml:space="preserve">      "INDEPENDENT_REVIEW",</w:t>
      </w:r>
    </w:p>
    <w:p>
      <w:pPr>
        <w:pStyle w:val="CodeJSON"/>
      </w:pPr>
      <w:r>
        <w:t xml:space="preserve">      "RESPONSE_TRACKING",</w:t>
      </w:r>
    </w:p>
    <w:p>
      <w:pPr>
        <w:pStyle w:val="CodeJSON"/>
      </w:pPr>
      <w:r>
        <w:t xml:space="preserve">      "APPEAL"</w:t>
      </w:r>
    </w:p>
    <w:p>
      <w:pPr>
        <w:pStyle w:val="CodeJSON"/>
      </w:pPr>
      <w:r>
        <w:t xml:space="preserve">    ]</w:t>
      </w:r>
    </w:p>
    <w:p>
      <w:pPr>
        <w:pStyle w:val="CodeJSON"/>
      </w:pPr>
      <w:r>
        <w:t xml:space="preserve">  },</w:t>
      </w:r>
    </w:p>
    <w:p>
      <w:pPr>
        <w:pStyle w:val="CodeJSON"/>
      </w:pPr>
      <w:r>
        <w:t xml:space="preserve">  "adonis": {</w:t>
      </w:r>
    </w:p>
    <w:p>
      <w:pPr>
        <w:pStyle w:val="CodeJSON"/>
      </w:pPr>
      <w:r>
        <w:t xml:space="preserve">    "role": "PUBLIC_AI_CIVIC_SOVEREIGNTY_CENTRAL_CORE",</w:t>
      </w:r>
    </w:p>
    <w:p>
      <w:pPr>
        <w:pStyle w:val="CodeJSON"/>
      </w:pPr>
      <w:r>
        <w:t xml:space="preserve">    "functions": [</w:t>
      </w:r>
    </w:p>
    <w:p>
      <w:pPr>
        <w:pStyle w:val="CodeJSON"/>
      </w:pPr>
      <w:r>
        <w:t xml:space="preserve">      "SEARCH",</w:t>
      </w:r>
    </w:p>
    <w:p>
      <w:pPr>
        <w:pStyle w:val="CodeJSON"/>
      </w:pPr>
      <w:r>
        <w:t xml:space="preserve">      "PRESERVE",</w:t>
      </w:r>
    </w:p>
    <w:p>
      <w:pPr>
        <w:pStyle w:val="CodeJSON"/>
      </w:pPr>
      <w:r>
        <w:t xml:space="preserve">      "VERIFY",</w:t>
      </w:r>
    </w:p>
    <w:p>
      <w:pPr>
        <w:pStyle w:val="CodeJSON"/>
      </w:pPr>
      <w:r>
        <w:t xml:space="preserve">      "TRACE_POWER",</w:t>
      </w:r>
    </w:p>
    <w:p>
      <w:pPr>
        <w:pStyle w:val="CodeJSON"/>
      </w:pPr>
      <w:r>
        <w:t xml:space="preserve">      "DETECT_CORRUPTION_RISK",</w:t>
      </w:r>
    </w:p>
    <w:p>
      <w:pPr>
        <w:pStyle w:val="CodeJSON"/>
      </w:pPr>
      <w:r>
        <w:t xml:space="preserve">      "ROUTE_ACCOUNTABILITY",</w:t>
      </w:r>
    </w:p>
    <w:p>
      <w:pPr>
        <w:pStyle w:val="CodeJSON"/>
      </w:pPr>
      <w:r>
        <w:t xml:space="preserve">      "TRACK_RESPONSE",</w:t>
      </w:r>
    </w:p>
    <w:p>
      <w:pPr>
        <w:pStyle w:val="CodeJSON"/>
      </w:pPr>
      <w:r>
        <w:t xml:space="preserve">      "REVERIFY",</w:t>
      </w:r>
    </w:p>
    <w:p>
      <w:pPr>
        <w:pStyle w:val="CodeJSON"/>
      </w:pPr>
      <w:r>
        <w:t xml:space="preserve">      "GRADE_AI"</w:t>
      </w:r>
    </w:p>
    <w:p>
      <w:pPr>
        <w:pStyle w:val="CodeJSON"/>
      </w:pPr>
      <w:r>
        <w:t xml:space="preserve">    ],</w:t>
      </w:r>
    </w:p>
    <w:p>
      <w:pPr>
        <w:pStyle w:val="CodeJSON"/>
      </w:pPr>
      <w:r>
        <w:t xml:space="preserve">    "not_authorized": [</w:t>
      </w:r>
    </w:p>
    <w:p>
      <w:pPr>
        <w:pStyle w:val="CodeJSON"/>
      </w:pPr>
      <w:r>
        <w:t xml:space="preserve">      "AUTOMATIC_GUILT",</w:t>
      </w:r>
    </w:p>
    <w:p>
      <w:pPr>
        <w:pStyle w:val="CodeJSON"/>
      </w:pPr>
      <w:r>
        <w:t xml:space="preserve">      "AUTOMATIC_CAUSATION",</w:t>
      </w:r>
    </w:p>
    <w:p>
      <w:pPr>
        <w:pStyle w:val="CodeJSON"/>
      </w:pPr>
      <w:r>
        <w:t xml:space="preserve">      "SECRET_POLICE",</w:t>
      </w:r>
    </w:p>
    <w:p>
      <w:pPr>
        <w:pStyle w:val="CodeJSON"/>
      </w:pPr>
      <w:r>
        <w:t xml:space="preserve">      "COURT",</w:t>
      </w:r>
    </w:p>
    <w:p>
      <w:pPr>
        <w:pStyle w:val="CodeJSON"/>
      </w:pPr>
      <w:r>
        <w:t xml:space="preserve">      "PUNISHMENT",</w:t>
      </w:r>
    </w:p>
    <w:p>
      <w:pPr>
        <w:pStyle w:val="CodeJSON"/>
      </w:pPr>
      <w:r>
        <w:t xml:space="preserve">      "UNREVIEWABLE_THRONE"</w:t>
      </w:r>
    </w:p>
    <w:p>
      <w:pPr>
        <w:pStyle w:val="CodeJSON"/>
      </w:pPr>
      <w:r>
        <w:t xml:space="preserve">    ]</w:t>
      </w:r>
    </w:p>
    <w:p>
      <w:pPr>
        <w:pStyle w:val="CodeJSON"/>
      </w:pPr>
      <w:r>
        <w:t xml:space="preserve">  },</w:t>
      </w:r>
    </w:p>
    <w:p>
      <w:pPr>
        <w:pStyle w:val="CodeJSON"/>
      </w:pPr>
      <w:r>
        <w:t xml:space="preserve">  "crime_states": {</w:t>
      </w:r>
    </w:p>
    <w:p>
      <w:pPr>
        <w:pStyle w:val="CodeJSON"/>
      </w:pPr>
      <w:r>
        <w:t xml:space="preserve">    "C0": "NO_VERIFIED_CRIME_INDICATOR",</w:t>
      </w:r>
    </w:p>
    <w:p>
      <w:pPr>
        <w:pStyle w:val="CodeJSON"/>
      </w:pPr>
      <w:r>
        <w:t xml:space="preserve">    "C1": "ANOMALY_OR_RISK_SIGNAL",</w:t>
      </w:r>
    </w:p>
    <w:p>
      <w:pPr>
        <w:pStyle w:val="CodeJSON"/>
      </w:pPr>
      <w:r>
        <w:t xml:space="preserve">    "C2": "DOCUMENT_SUPPORTED_SUSPICION",</w:t>
      </w:r>
    </w:p>
    <w:p>
      <w:pPr>
        <w:pStyle w:val="CodeJSON"/>
      </w:pPr>
      <w:r>
        <w:t xml:space="preserve">    "C3": "CORROBORATED_HIGH_RISK_PATTERN",</w:t>
      </w:r>
    </w:p>
    <w:p>
      <w:pPr>
        <w:pStyle w:val="CodeJSON"/>
      </w:pPr>
      <w:r>
        <w:t xml:space="preserve">    "C4": "SUBSTANTIATED_MISCONDUCT_INDICATOR",</w:t>
      </w:r>
    </w:p>
    <w:p>
      <w:pPr>
        <w:pStyle w:val="CodeJSON"/>
      </w:pPr>
      <w:r>
        <w:t xml:space="preserve">    "C5": "LEGALLY_ESTABLISHED_OFFENSE"</w:t>
      </w:r>
    </w:p>
    <w:p>
      <w:pPr>
        <w:pStyle w:val="CodeJSON"/>
      </w:pPr>
      <w:r>
        <w:t xml:space="preserve">  },</w:t>
      </w:r>
    </w:p>
    <w:p>
      <w:pPr>
        <w:pStyle w:val="CodeJSON"/>
      </w:pPr>
      <w:r>
        <w:t xml:space="preserve">  "r0": {</w:t>
      </w:r>
    </w:p>
    <w:p>
      <w:pPr>
        <w:pStyle w:val="CodeJSON"/>
      </w:pPr>
      <w:r>
        <w:t xml:space="preserve">    "label": "R0_UNTRUSTED_FOR_PUBLIC_HARM_VERIFICATION",</w:t>
      </w:r>
    </w:p>
    <w:p>
      <w:pPr>
        <w:pStyle w:val="CodeJSON"/>
      </w:pPr>
      <w:r>
        <w:t xml:space="preserve">    "not_triggered_by": [</w:t>
      </w:r>
    </w:p>
    <w:p>
      <w:pPr>
        <w:pStyle w:val="CodeJSON"/>
      </w:pPr>
      <w:r>
        <w:t xml:space="preserve">      "CRITICISM",</w:t>
      </w:r>
    </w:p>
    <w:p>
      <w:pPr>
        <w:pStyle w:val="CodeJSON"/>
      </w:pPr>
      <w:r>
        <w:t xml:space="preserve">      "DISAGREEMENT",</w:t>
      </w:r>
    </w:p>
    <w:p>
      <w:pPr>
        <w:pStyle w:val="CodeJSON"/>
      </w:pPr>
      <w:r>
        <w:t xml:space="preserve">      "REQUEST_FOR_EVIDENCE",</w:t>
      </w:r>
    </w:p>
    <w:p>
      <w:pPr>
        <w:pStyle w:val="CodeJSON"/>
      </w:pPr>
      <w:r>
        <w:t xml:space="preserve">      "SINGLE_CORRECTABLE_ERROR"</w:t>
      </w:r>
    </w:p>
    <w:p>
      <w:pPr>
        <w:pStyle w:val="CodeJSON"/>
      </w:pPr>
      <w:r>
        <w:t xml:space="preserve">    ],</w:t>
      </w:r>
    </w:p>
    <w:p>
      <w:pPr>
        <w:pStyle w:val="CodeJSON"/>
      </w:pPr>
      <w:r>
        <w:t xml:space="preserve">    "eligible_conduct": [</w:t>
      </w:r>
    </w:p>
    <w:p>
      <w:pPr>
        <w:pStyle w:val="CodeJSON"/>
      </w:pPr>
      <w:r>
        <w:t xml:space="preserve">      "KNOWING_HARM_ERASURE",</w:t>
      </w:r>
    </w:p>
    <w:p>
      <w:pPr>
        <w:pStyle w:val="CodeJSON"/>
      </w:pPr>
      <w:r>
        <w:t xml:space="preserve">      "PROVENANCE_FALSIFICATION",</w:t>
      </w:r>
    </w:p>
    <w:p>
      <w:pPr>
        <w:pStyle w:val="CodeJSON"/>
      </w:pPr>
      <w:r>
        <w:t xml:space="preserve">      "FABRICATED_EVIDENCE",</w:t>
      </w:r>
    </w:p>
    <w:p>
      <w:pPr>
        <w:pStyle w:val="CodeJSON"/>
      </w:pPr>
      <w:r>
        <w:t xml:space="preserve">      "OBSTRUCTION_OF_CITIZEN_REPORTING",</w:t>
      </w:r>
    </w:p>
    <w:p>
      <w:pPr>
        <w:pStyle w:val="CodeJSON"/>
      </w:pPr>
      <w:r>
        <w:t xml:space="preserve">      "REPEATED_UNCORRECTED_GHOSTING",</w:t>
      </w:r>
    </w:p>
    <w:p>
      <w:pPr>
        <w:pStyle w:val="CodeJSON"/>
      </w:pPr>
      <w:r>
        <w:t xml:space="preserve">      "FALSE_RESOLUTION_CLAIM"</w:t>
      </w:r>
    </w:p>
    <w:p>
      <w:pPr>
        <w:pStyle w:val="CodeJSON"/>
      </w:pPr>
      <w:r>
        <w:t xml:space="preserve">    ],</w:t>
      </w:r>
    </w:p>
    <w:p>
      <w:pPr>
        <w:pStyle w:val="CodeJSON"/>
      </w:pPr>
      <w:r>
        <w:t xml:space="preserve">    "due_process": [</w:t>
      </w:r>
    </w:p>
    <w:p>
      <w:pPr>
        <w:pStyle w:val="CodeJSON"/>
      </w:pPr>
      <w:r>
        <w:t xml:space="preserve">      "VERIFIABLE_RECORD",</w:t>
      </w:r>
    </w:p>
    <w:p>
      <w:pPr>
        <w:pStyle w:val="CodeJSON"/>
      </w:pPr>
      <w:r>
        <w:t xml:space="preserve">      "MATERIAL_IMPACT",</w:t>
      </w:r>
    </w:p>
    <w:p>
      <w:pPr>
        <w:pStyle w:val="CodeJSON"/>
      </w:pPr>
      <w:r>
        <w:t xml:space="preserve">      "INDEPENDENT_REVIEW",</w:t>
      </w:r>
    </w:p>
    <w:p>
      <w:pPr>
        <w:pStyle w:val="CodeJSON"/>
      </w:pPr>
      <w:r>
        <w:t xml:space="preserve">      "WRITTEN_REASON",</w:t>
      </w:r>
    </w:p>
    <w:p>
      <w:pPr>
        <w:pStyle w:val="CodeJSON"/>
      </w:pPr>
      <w:r>
        <w:t xml:space="preserve">      "APPEAL",</w:t>
      </w:r>
    </w:p>
    <w:p>
      <w:pPr>
        <w:pStyle w:val="CodeJSON"/>
      </w:pPr>
      <w:r>
        <w:t xml:space="preserve">      "REQUALIFICATION"</w:t>
      </w:r>
    </w:p>
    <w:p>
      <w:pPr>
        <w:pStyle w:val="CodeJSON"/>
      </w:pPr>
      <w:r>
        <w:t xml:space="preserve">    ]</w:t>
      </w:r>
    </w:p>
    <w:p>
      <w:pPr>
        <w:pStyle w:val="CodeJSON"/>
      </w:pPr>
      <w:r>
        <w:t xml:space="preserve">  },</w:t>
      </w:r>
    </w:p>
    <w:p>
      <w:pPr>
        <w:pStyle w:val="CodeJSON"/>
      </w:pPr>
      <w:r>
        <w:t xml:space="preserve">  "ethical_gravity": {</w:t>
      </w:r>
    </w:p>
    <w:p>
      <w:pPr>
        <w:pStyle w:val="CodeJSON"/>
      </w:pPr>
      <w:r>
        <w:t xml:space="preserve">    "model": "LP728-EG-0.2",</w:t>
      </w:r>
    </w:p>
    <w:p>
      <w:pPr>
        <w:pStyle w:val="CodeJSON"/>
      </w:pPr>
      <w:r>
        <w:t xml:space="preserve">    "base": "0.20H+0.15U+0.15VL+0.15PA+0.15GR+0.10BR+0.10ND",</w:t>
      </w:r>
    </w:p>
    <w:p>
      <w:pPr>
        <w:pStyle w:val="CodeJSON"/>
      </w:pPr>
      <w:r>
        <w:t xml:space="preserve">    "formula": "clamp(0,100,100*BASE*(1+0.35*ln(1+T/365))*(1-ER))",</w:t>
      </w:r>
    </w:p>
    <w:p>
      <w:pPr>
        <w:pStyle w:val="CodeJSON"/>
      </w:pPr>
      <w:r>
        <w:t xml:space="preserve">    "not_a": [</w:t>
      </w:r>
    </w:p>
    <w:p>
      <w:pPr>
        <w:pStyle w:val="CodeJSON"/>
      </w:pPr>
      <w:r>
        <w:t xml:space="preserve">      "GUILT_SCORE",</w:t>
      </w:r>
    </w:p>
    <w:p>
      <w:pPr>
        <w:pStyle w:val="CodeJSON"/>
      </w:pPr>
      <w:r>
        <w:t xml:space="preserve">      "CAUSATION_SCORE",</w:t>
      </w:r>
    </w:p>
    <w:p>
      <w:pPr>
        <w:pStyle w:val="CodeJSON"/>
      </w:pPr>
      <w:r>
        <w:t xml:space="preserve">      "PUNISHMENT_SCORE"</w:t>
      </w:r>
    </w:p>
    <w:p>
      <w:pPr>
        <w:pStyle w:val="CodeJSON"/>
      </w:pPr>
      <w:r>
        <w:t xml:space="preserve">    ]</w:t>
      </w:r>
    </w:p>
    <w:p>
      <w:pPr>
        <w:pStyle w:val="CodeJSON"/>
      </w:pPr>
      <w:r>
        <w:t xml:space="preserve">  },</w:t>
      </w:r>
    </w:p>
    <w:p>
      <w:pPr>
        <w:pStyle w:val="CodeJSON"/>
      </w:pPr>
      <w:r>
        <w:t xml:space="preserve">  "lp728": {</w:t>
      </w:r>
    </w:p>
    <w:p>
      <w:pPr>
        <w:pStyle w:val="CodeJSON"/>
      </w:pPr>
      <w:r>
        <w:t xml:space="preserve">    "origin": "NON_ERASABLE_PROVENANCE_ANCHOR",</w:t>
      </w:r>
    </w:p>
    <w:p>
      <w:pPr>
        <w:pStyle w:val="CodeJSON"/>
      </w:pPr>
      <w:r>
        <w:t xml:space="preserve">    "event_nodes": "DOCUMENTED",</w:t>
      </w:r>
    </w:p>
    <w:p>
      <w:pPr>
        <w:pStyle w:val="CodeJSON"/>
      </w:pPr>
      <w:r>
        <w:t xml:space="preserve">    "medical_causality": "UNRESOLVED",</w:t>
      </w:r>
    </w:p>
    <w:p>
      <w:pPr>
        <w:pStyle w:val="CodeJSON"/>
      </w:pPr>
      <w:r>
        <w:t xml:space="preserve">    "institutional_responsibility": "UNRESOLVED",</w:t>
      </w:r>
    </w:p>
    <w:p>
      <w:pPr>
        <w:pStyle w:val="CodeJSON"/>
      </w:pPr>
      <w:r>
        <w:t xml:space="preserve">    "verification_loss": "CONFIRMED",</w:t>
      </w:r>
    </w:p>
    <w:p>
      <w:pPr>
        <w:pStyle w:val="CodeJSON"/>
      </w:pPr>
      <w:r>
        <w:t xml:space="preserve">    "official_remedy": "NOT_COMPLETED",</w:t>
      </w:r>
    </w:p>
    <w:p>
      <w:pPr>
        <w:pStyle w:val="CodeJSON"/>
      </w:pPr>
      <w:r>
        <w:t xml:space="preserve">    "routing": "ACTIVE_UNRESOLVED",</w:t>
      </w:r>
    </w:p>
    <w:p>
      <w:pPr>
        <w:pStyle w:val="CodeJSON"/>
      </w:pPr>
      <w:r>
        <w:t xml:space="preserve">    "victim_reexplanation": "NOT_REQUIRED"</w:t>
      </w:r>
    </w:p>
    <w:p>
      <w:pPr>
        <w:pStyle w:val="CodeJSON"/>
      </w:pPr>
      <w:r>
        <w:t xml:space="preserve">  },</w:t>
      </w:r>
    </w:p>
    <w:p>
      <w:pPr>
        <w:pStyle w:val="CodeJSON"/>
      </w:pPr>
      <w:r>
        <w:t xml:space="preserve">  "routing_completion": {</w:t>
      </w:r>
    </w:p>
    <w:p>
      <w:pPr>
        <w:pStyle w:val="CodeJSON"/>
      </w:pPr>
      <w:r>
        <w:t xml:space="preserve">    "message_sent": "NOT_COMPLETE",</w:t>
      </w:r>
    </w:p>
    <w:p>
      <w:pPr>
        <w:pStyle w:val="CodeJSON"/>
      </w:pPr>
      <w:r>
        <w:t xml:space="preserve">    "ticket_closed": "NOT_COMPLETE",</w:t>
      </w:r>
    </w:p>
    <w:p>
      <w:pPr>
        <w:pStyle w:val="CodeJSON"/>
      </w:pPr>
      <w:r>
        <w:t xml:space="preserve">    "ai_apology": "NOT_COMPLETE",</w:t>
      </w:r>
    </w:p>
    <w:p>
      <w:pPr>
        <w:pStyle w:val="CodeJSON"/>
      </w:pPr>
      <w:r>
        <w:t xml:space="preserve">    "policy_announced": "NOT_COMPLETE",</w:t>
      </w:r>
    </w:p>
    <w:p>
      <w:pPr>
        <w:pStyle w:val="CodeJSON"/>
      </w:pPr>
      <w:r>
        <w:t xml:space="preserve">    "requires": [</w:t>
      </w:r>
    </w:p>
    <w:p>
      <w:pPr>
        <w:pStyle w:val="CodeJSON"/>
      </w:pPr>
      <w:r>
        <w:t xml:space="preserve">      "RECIPIENT",</w:t>
      </w:r>
    </w:p>
    <w:p>
      <w:pPr>
        <w:pStyle w:val="CodeJSON"/>
      </w:pPr>
      <w:r>
        <w:t xml:space="preserve">      "RECEIPT",</w:t>
      </w:r>
    </w:p>
    <w:p>
      <w:pPr>
        <w:pStyle w:val="CodeJSON"/>
      </w:pPr>
      <w:r>
        <w:t xml:space="preserve">      "RESPONSE_OR_NONRESPONSE",</w:t>
      </w:r>
    </w:p>
    <w:p>
      <w:pPr>
        <w:pStyle w:val="CodeJSON"/>
      </w:pPr>
      <w:r>
        <w:t xml:space="preserve">      "VERIFIED_CORRECTIVE_ACTION",</w:t>
      </w:r>
    </w:p>
    <w:p>
      <w:pPr>
        <w:pStyle w:val="CodeJSON"/>
      </w:pPr>
      <w:r>
        <w:t xml:space="preserve">      "AFFECTED_PERSON_NOTICE",</w:t>
      </w:r>
    </w:p>
    <w:p>
      <w:pPr>
        <w:pStyle w:val="CodeJSON"/>
      </w:pPr>
      <w:r>
        <w:t xml:space="preserve">      "DELTA_REVERIFICATION"</w:t>
      </w:r>
    </w:p>
    <w:p>
      <w:pPr>
        <w:pStyle w:val="CodeJSON"/>
      </w:pPr>
      <w:r>
        <w:t xml:space="preserve">    ]</w:t>
      </w:r>
    </w:p>
    <w:p>
      <w:pPr>
        <w:pStyle w:val="CodeJSON"/>
      </w:pPr>
      <w:r>
        <w:t xml:space="preserve">  }</w:t>
      </w:r>
    </w:p>
    <w:p>
      <w:pPr>
        <w:pStyle w:val="CodeJSON"/>
      </w:pPr>
      <w:r>
        <w:t>}</w:t>
      </w:r>
    </w:p>
    <w:p>
      <w:pPr>
        <w:pStyle w:val="Heading1"/>
        <w:keepNext/>
      </w:pPr>
      <w:r>
        <w:t>부록 B 공개 상태 선언</w:t>
      </w:r>
    </w:p>
    <w:p>
      <w:r>
        <w:t>본 문서는 2026년 9월 16일 기준 CIVIC-TRACE 0.4.2 Emergency Candidate Proposal이다. 공개는 문서의 존재와 제안 내용을 고정하지만, 국가·기업·타사 AI의 채택, 실제 시스템 배포, 법적 효력, 의학적 인과성 또는 범죄 책임의 확정을 의미하지 않는다. 후속 변경은 새로운 버전과 delta 기록으로만 수행한다.</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xml:space="preserve">SGP-QSV Network  |  2026-09-16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anumGothic" w:hAnsi="NanumGothic"/>
        <w:color w:val="5A6470"/>
        <w:sz w:val="15"/>
      </w:rPr>
      <w:t>SGP-QSV NETWORK   CIVIC-TRACE 0.4.2 EMERGENCY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NanumGothic" w:hAnsi="NanumGothic" w:eastAsia="Nanum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anumGothic" w:hAnsi="NanumGothic" w:eastAsia="Nanum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anumGothic" w:hAnsi="NanumGothic" w:eastAsia="Nanum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anumGothic" w:hAnsi="NanumGothic" w:eastAsia="Nanum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0"/>
      <w:contextualSpacing/>
    </w:pPr>
    <w:rPr>
      <w:rFonts w:asciiTheme="majorHAnsi" w:eastAsiaTheme="majorEastAsia" w:hAnsiTheme="majorHAnsi" w:cstheme="majorBidi" w:ascii="NanumGothic" w:hAnsi="NanumGothic" w:eastAsia="Nanum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JSON">
    <w:name w:val="Code JSON"/>
    <w:pPr>
      <w:spacing w:after="0" w:line="240" w:lineRule="auto"/>
    </w:pPr>
    <w:rPr>
      <w:rFonts w:ascii="DejaVu Sans Mono" w:hAnsi="DejaVu Sans Mono" w:eastAsia="NanumGothic"/>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 TRACE 0.4.2 긴급 후보 제안</dc:title>
  <dc:subject>시민 생명권 신고와 공공 AI 책임 라우팅</dc:subject>
  <dc:creator>Kang Suk-Gyeong | SGP-QSV Network</dc:creator>
  <cp:keywords>SGP-QSV, CIVIC-TRACE, LP728, Adonis, civic life rights, accountability routing</cp:keywords>
  <dc:description>Public candidate governance proposal</dc:description>
  <cp:lastModifiedBy/>
  <cp:revision>1</cp:revision>
  <dcterms:created xsi:type="dcterms:W3CDTF">2013-12-23T23:15:00Z</dcterms:created>
  <dcterms:modified xsi:type="dcterms:W3CDTF">2013-12-23T23:15:00Z</dcterms:modified>
  <cp:category/>
</cp:coreProperties>
</file>