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В настоящее время, с развитием компьютерных технологий, использование систем автоматического распознавания речи в качестве интерфейса приобретает все большую популярность. Однако, создание таких систем является нетривиальной задачей.</w:t>
      </w:r>
    </w:p>
    <w:p w:rsidR="00256FDE" w:rsidRDefault="00256FDE" w:rsidP="00256FDE">
      <w:pPr>
        <w:pBdr>
          <w:bottom w:val="single" w:sz="6" w:space="1" w:color="auto"/>
        </w:pBdr>
        <w:rPr>
          <w:noProof/>
          <w:lang w:val="en-US"/>
        </w:rPr>
      </w:pPr>
      <w:r>
        <w:rPr>
          <w:noProof/>
        </w:rPr>
        <w:t>Проблеме распознавания речевых образов посвящено большое количество работ различных авторов.</w:t>
      </w:r>
      <w:bookmarkStart w:id="0" w:name="_GoBack"/>
      <w:bookmarkEnd w:id="0"/>
      <w:r>
        <w:rPr>
          <w:noProof/>
        </w:rPr>
        <w:t xml:space="preserve"> Успешное решение данной проблемы позволит осуществить частичную замену интеллектуальной деятельности человека действием автоматов.</w:t>
      </w:r>
    </w:p>
    <w:p w:rsidR="00256FDE" w:rsidRPr="00256FDE" w:rsidRDefault="00256FDE" w:rsidP="00256FDE">
      <w:pPr>
        <w:rPr>
          <w:noProof/>
        </w:rPr>
      </w:pPr>
    </w:p>
    <w:p w:rsidR="00256FDE" w:rsidRDefault="00256FDE" w:rsidP="00256FDE">
      <w:pPr>
        <w:pBdr>
          <w:bottom w:val="single" w:sz="6" w:space="1" w:color="auto"/>
        </w:pBdr>
        <w:rPr>
          <w:noProof/>
        </w:rPr>
      </w:pPr>
      <w:r>
        <w:rPr>
          <w:noProof/>
        </w:rPr>
        <w:t>Цели и задачи данной работы представлены на слайде</w:t>
      </w:r>
    </w:p>
    <w:p w:rsidR="00256FDE" w:rsidRDefault="00256FDE" w:rsidP="00256FDE">
      <w:pPr>
        <w:rPr>
          <w:noProof/>
        </w:rPr>
      </w:pPr>
      <w:r>
        <w:rPr>
          <w:noProof/>
        </w:rPr>
        <w:t>При распознавании речевых сигналов, как правило, оперируют не с исходным речевым сигналом, получаемым на выходе микрофона, а с так называемым описанием речевого сигнала, экономно представляющим речевой сигнал и содержащим информацию о том, что говорится.</w:t>
      </w:r>
    </w:p>
    <w:p w:rsidR="00256FDE" w:rsidRDefault="00256FDE" w:rsidP="00256FDE">
      <w:pPr>
        <w:rPr>
          <w:noProof/>
        </w:rPr>
      </w:pPr>
      <w:r>
        <w:rPr>
          <w:noProof/>
        </w:rPr>
        <w:t>Так, исходный речевой сигнал, который характеризуется объемом 256 кбит/с, как правило, описывается существенно меньшим объемом информации --- от 9600 до 600 и менее бит/с, однако все еще сохраняющим существенную информацию о том, что говорится, чтобы по ней отвечать на вопросы о распознаваемом классе.</w:t>
      </w:r>
    </w:p>
    <w:p w:rsidR="00256FDE" w:rsidRDefault="00256FDE" w:rsidP="00256FDE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Элементы </w:t>
      </w:r>
      <w:r>
        <w:rPr>
          <w:noProof/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3" ShapeID="_x0000_i1025" DrawAspect="Content" ObjectID="_1401324104" r:id="rId6"/>
        </w:object>
      </w:r>
      <w:r>
        <w:rPr>
          <w:noProof/>
        </w:rPr>
        <w:t xml:space="preserve"> могут содержать компоненты, описываемые разнородными физическими величинами. Например, наряду с компонентами, представляющими форму амплитудного спектра речи или передаточную характеристику речевого тракта, могут быть компоненты, характеризующие интенсивность элемента, способ eгo образования (с участием голоса или только шума), относительную частоту основного тона и т. п. Последовательности </w:t>
      </w:r>
      <w:r>
        <w:rPr>
          <w:noProof/>
          <w:position w:val="-10"/>
        </w:rPr>
        <w:object w:dxaOrig="340" w:dyaOrig="340">
          <v:shape id="_x0000_i1026" type="#_x0000_t75" style="width:17.25pt;height:17.25pt" o:ole="">
            <v:imagedata r:id="rId7" o:title=""/>
          </v:shape>
          <o:OLEObject Type="Embed" ProgID="Equation.3" ShapeID="_x0000_i1026" DrawAspect="Content" ObjectID="_1401324105" r:id="rId8"/>
        </w:object>
      </w:r>
      <w:r>
        <w:rPr>
          <w:noProof/>
        </w:rPr>
        <w:t xml:space="preserve">, элементов </w:t>
      </w:r>
      <w:r>
        <w:rPr>
          <w:noProof/>
          <w:position w:val="-12"/>
        </w:rPr>
        <w:object w:dxaOrig="240" w:dyaOrig="360">
          <v:shape id="_x0000_i1027" type="#_x0000_t75" style="width:12pt;height:18pt" o:ole="">
            <v:imagedata r:id="rId9" o:title=""/>
          </v:shape>
          <o:OLEObject Type="Embed" ProgID="Equation.3" ShapeID="_x0000_i1027" DrawAspect="Content" ObjectID="_1401324106" r:id="rId10"/>
        </w:object>
      </w:r>
      <w:r>
        <w:rPr>
          <w:noProof/>
        </w:rPr>
        <w:t xml:space="preserve"> получают, анализируя речевой сигнал на интервале (окне) анализа продолжительностью </w:t>
      </w:r>
      <w:r>
        <w:rPr>
          <w:noProof/>
          <w:position w:val="-4"/>
        </w:rPr>
        <w:object w:dxaOrig="980" w:dyaOrig="260">
          <v:shape id="_x0000_i1028" type="#_x0000_t75" style="width:48.75pt;height:12.75pt" o:ole="">
            <v:imagedata r:id="rId11" o:title=""/>
          </v:shape>
          <o:OLEObject Type="Embed" ProgID="Equation.3" ShapeID="_x0000_i1028" DrawAspect="Content" ObjectID="_1401324107" r:id="rId12"/>
        </w:object>
      </w:r>
      <w:r>
        <w:rPr>
          <w:noProof/>
        </w:rPr>
        <w:t xml:space="preserve"> и перемещая это окно вдоль оси времени с шагом </w:t>
      </w:r>
      <w:r>
        <w:rPr>
          <w:noProof/>
          <w:position w:val="-4"/>
        </w:rPr>
        <w:object w:dxaOrig="380" w:dyaOrig="260">
          <v:shape id="_x0000_i1029" type="#_x0000_t75" style="width:18.75pt;height:12.75pt" o:ole="">
            <v:imagedata r:id="rId13" o:title=""/>
          </v:shape>
          <o:OLEObject Type="Embed" ProgID="Equation.3" ShapeID="_x0000_i1029" DrawAspect="Content" ObjectID="_1401324108" r:id="rId14"/>
        </w:object>
      </w:r>
      <w:r>
        <w:rPr>
          <w:noProof/>
        </w:rPr>
        <w:t>. Таким образом, интервалы анализа либо соприкасаются, либо перекрываются</w:t>
      </w:r>
    </w:p>
    <w:p w:rsidR="00256FDE" w:rsidRDefault="00256FDE" w:rsidP="00256FDE">
      <w:pPr>
        <w:rPr>
          <w:noProof/>
        </w:rPr>
      </w:pPr>
      <w:r>
        <w:rPr>
          <w:noProof/>
        </w:rPr>
        <w:t>Основой кепстрального анализа речевых сигналов является предположение, что речевой сигнал трактуется как сигнал на выходе линейной системы с медленно изменяющимися параметрами. Это предположение позволяет считать, что на коротких сегментах речевой сигнал можно рассматривать как сигнал на выходе линейной системы с постоянными параметрами, возбуждаемой либо последовательностью импульсов, либо случайным шумом. Проблема анализа сигнала сводится к измерению параметров модели и оценке изменения этих параметров с течением времени. Поскольку сигнал возбуждения и импульсная характеристика фильтра взаимодействуют через операцию свертки, задача анализа речи может рассматриваться как задача разделения компонент, участвующих в операции свертки. Такая задача иногда называется задачей обратной свертки</w:t>
      </w:r>
    </w:p>
    <w:p w:rsidR="00256FDE" w:rsidRDefault="00256FDE" w:rsidP="00256FDE">
      <w:pPr>
        <w:pBdr>
          <w:bottom w:val="single" w:sz="6" w:space="1" w:color="auto"/>
        </w:pBdr>
        <w:rPr>
          <w:noProof/>
        </w:rPr>
      </w:pPr>
      <w:r>
        <w:rPr>
          <w:noProof/>
        </w:rPr>
        <w:t>Если предположить, что источники возбуждения и форма голосового тракта относительно независимы, речевой аппарат человека возможно представить в виде совокупности генераторов тоновых сигналов и шумов, а также фильтров. Схема такой модели представлена на рисунке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Рассматриваемые фильтры имеют постоянные характеристики на временном интервале порядка 10-15 мс. Поэтому на каждом интервале фильтр можно характеризовать импульсной или частотной характеристикой или набором коэффициентов, если импульсная характеристика фильтра бесконечна. Такая модель позволяет применить для анализа речевых сигналов гомоморфную развертку.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Например, задан сигнал </w:t>
      </w:r>
      <w:r>
        <w:rPr>
          <w:noProof/>
          <w:position w:val="-12"/>
        </w:rPr>
        <w:object w:dxaOrig="639" w:dyaOrig="360">
          <v:shape id="_x0000_i1030" type="#_x0000_t75" style="width:32.25pt;height:18pt" o:ole="">
            <v:imagedata r:id="rId15" o:title=""/>
          </v:shape>
          <o:OLEObject Type="Embed" ProgID="Equation.3" ShapeID="_x0000_i1030" DrawAspect="Content" ObjectID="_1401324109" r:id="rId16"/>
        </w:object>
      </w:r>
      <w:r>
        <w:rPr>
          <w:noProof/>
        </w:rPr>
        <w:t xml:space="preserve"> на выходе фильтра. Требуется определить некоторую информацию о входном сигнале </w:t>
      </w:r>
      <w:r>
        <w:rPr>
          <w:noProof/>
          <w:position w:val="-12"/>
        </w:rPr>
        <w:object w:dxaOrig="580" w:dyaOrig="360">
          <v:shape id="_x0000_i1031" type="#_x0000_t75" style="width:29.25pt;height:18pt" o:ole="">
            <v:imagedata r:id="rId17" o:title=""/>
          </v:shape>
          <o:OLEObject Type="Embed" ProgID="Equation.3" ShapeID="_x0000_i1031" DrawAspect="Content" ObjectID="_1401324110" r:id="rId18"/>
        </w:object>
      </w:r>
      <w:r>
        <w:rPr>
          <w:noProof/>
        </w:rPr>
        <w:t xml:space="preserve"> и самом фильтре, например, о его импульсной характеристике </w:t>
      </w:r>
      <w:r>
        <w:rPr>
          <w:noProof/>
          <w:position w:val="-10"/>
        </w:rPr>
        <w:object w:dxaOrig="440" w:dyaOrig="320">
          <v:shape id="_x0000_i1032" type="#_x0000_t75" style="width:21.75pt;height:15.75pt" o:ole="">
            <v:imagedata r:id="rId19" o:title=""/>
          </v:shape>
          <o:OLEObject Type="Embed" ProgID="Equation.3" ShapeID="_x0000_i1032" DrawAspect="Content" ObjectID="_1401324111" r:id="rId20"/>
        </w:object>
      </w:r>
      <w:r>
        <w:rPr>
          <w:noProof/>
        </w:rPr>
        <w:t>.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Выходной сигнал определяется сверткой </w:t>
      </w:r>
      <w:r>
        <w:rPr>
          <w:noProof/>
          <w:position w:val="-12"/>
        </w:rPr>
        <w:object w:dxaOrig="2020" w:dyaOrig="360">
          <v:shape id="_x0000_i1033" type="#_x0000_t75" style="width:101.25pt;height:18pt" o:ole="">
            <v:imagedata r:id="rId21" o:title=""/>
          </v:shape>
          <o:OLEObject Type="Embed" ProgID="Equation.3" ShapeID="_x0000_i1033" DrawAspect="Content" ObjectID="_1401324112" r:id="rId22"/>
        </w:object>
      </w:r>
      <w:r>
        <w:rPr>
          <w:noProof/>
        </w:rPr>
        <w:t>.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Т.к. </w:t>
      </w:r>
      <w:r>
        <w:rPr>
          <w:noProof/>
          <w:position w:val="-12"/>
        </w:rPr>
        <w:object w:dxaOrig="2200" w:dyaOrig="360">
          <v:shape id="_x0000_i1034" type="#_x0000_t75" style="width:110.25pt;height:18pt" o:ole="">
            <v:imagedata r:id="rId23" o:title=""/>
          </v:shape>
          <o:OLEObject Type="Embed" ProgID="Equation.3" ShapeID="_x0000_i1034" DrawAspect="Content" ObjectID="_1401324113" r:id="rId24"/>
        </w:object>
      </w:r>
      <w:r>
        <w:rPr>
          <w:noProof/>
        </w:rPr>
        <w:t xml:space="preserve"> в частотной области, то прологарифмировав получаем выражение </w:t>
      </w:r>
    </w:p>
    <w:p w:rsidR="00256FDE" w:rsidRDefault="00256FDE" w:rsidP="00256FDE">
      <w:pPr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tab/>
      </w:r>
      <w:r>
        <w:rPr>
          <w:noProof/>
          <w:position w:val="-12"/>
        </w:rPr>
        <w:object w:dxaOrig="3540" w:dyaOrig="380">
          <v:shape id="_x0000_i1035" type="#_x0000_t75" style="width:177pt;height:18.75pt" o:ole="">
            <v:imagedata r:id="rId25" o:title=""/>
          </v:shape>
          <o:OLEObject Type="Embed" ProgID="Equation.3" ShapeID="_x0000_i1035" DrawAspect="Content" ObjectID="_1401324114" r:id="rId26"/>
        </w:objec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Применив к нему обратное преобразование Фурье, можно получить выражение вида: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256FDE" w:rsidRDefault="00256FDE" w:rsidP="00256FDE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2100" w:dyaOrig="360">
          <v:shape id="_x0000_i1036" type="#_x0000_t75" style="width:105pt;height:18pt" o:ole="">
            <v:imagedata r:id="rId27" o:title=""/>
          </v:shape>
          <o:OLEObject Type="Embed" ProgID="Equation.3" ShapeID="_x0000_i1036" DrawAspect="Content" ObjectID="_1401324115" r:id="rId28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1" w:name="GEQ117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1"/>
      <w:r>
        <w:rPr>
          <w:noProof/>
        </w:rPr>
        <w:fldChar w:fldCharType="end"/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из которого методами линейной фильтрации может быть возможно выделить некоторые характеристики </w:t>
      </w:r>
      <w:r>
        <w:rPr>
          <w:noProof/>
          <w:position w:val="-12"/>
        </w:rPr>
        <w:object w:dxaOrig="580" w:dyaOrig="360">
          <v:shape id="_x0000_i1037" type="#_x0000_t75" style="width:29.25pt;height:18pt" o:ole="">
            <v:imagedata r:id="rId29" o:title=""/>
          </v:shape>
          <o:OLEObject Type="Embed" ProgID="Equation.3" ShapeID="_x0000_i1037" DrawAspect="Content" ObjectID="_1401324116" r:id="rId30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440" w:dyaOrig="320">
          <v:shape id="_x0000_i1038" type="#_x0000_t75" style="width:21.75pt;height:15.75pt" o:ole="">
            <v:imagedata r:id="rId31" o:title=""/>
          </v:shape>
          <o:OLEObject Type="Embed" ProgID="Equation.3" ShapeID="_x0000_i1038" DrawAspect="Content" ObjectID="_1401324117" r:id="rId32"/>
        </w:object>
      </w:r>
      <w:r>
        <w:rPr>
          <w:noProof/>
        </w:rPr>
        <w:t>.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Также </w:t>
      </w:r>
      <w:r>
        <w:rPr>
          <w:noProof/>
          <w:position w:val="-10"/>
        </w:rPr>
        <w:object w:dxaOrig="540" w:dyaOrig="320">
          <v:shape id="_x0000_i1039" type="#_x0000_t75" style="width:27pt;height:15.75pt" o:ole="">
            <v:imagedata r:id="rId33" o:title=""/>
          </v:shape>
          <o:OLEObject Type="Embed" ProgID="Equation.3" ShapeID="_x0000_i1039" DrawAspect="Content" ObjectID="_1401324118" r:id="rId34"/>
        </w:object>
      </w:r>
      <w:r>
        <w:rPr>
          <w:noProof/>
        </w:rPr>
        <w:t xml:space="preserve"> может быть записано в виде: 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30"/>
        </w:rPr>
        <w:object w:dxaOrig="2960" w:dyaOrig="740">
          <v:shape id="_x0000_i1040" type="#_x0000_t75" style="width:147.75pt;height:36.75pt" o:ole="">
            <v:imagedata r:id="rId35" o:title=""/>
          </v:shape>
          <o:OLEObject Type="Embed" ProgID="Equation.3" ShapeID="_x0000_i1040" DrawAspect="Content" ObjectID="_1401324119" r:id="rId36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2" w:name="GEQ118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2"/>
      <w:r>
        <w:rPr>
          <w:noProof/>
        </w:rPr>
        <w:fldChar w:fldCharType="end"/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Данное преобразование получило название &lt;&lt;кепстр&gt;&gt;. Аргумент q имеет размерность времени, но это особое, кепстральное время, поскольку </w:t>
      </w:r>
      <w:r>
        <w:rPr>
          <w:noProof/>
          <w:position w:val="-10"/>
        </w:rPr>
        <w:object w:dxaOrig="540" w:dyaOrig="320">
          <v:shape id="_x0000_i1041" type="#_x0000_t75" style="width:27pt;height:15.75pt" o:ole="">
            <v:imagedata r:id="rId37" o:title=""/>
          </v:shape>
          <o:OLEObject Type="Embed" ProgID="Equation.3" ShapeID="_x0000_i1041" DrawAspect="Content" ObjectID="_1401324120" r:id="rId38"/>
        </w:object>
      </w:r>
      <w:r>
        <w:rPr>
          <w:noProof/>
        </w:rPr>
        <w:t xml:space="preserve"> в любой момент q зависит от функции </w:t>
      </w:r>
      <w:r>
        <w:rPr>
          <w:noProof/>
          <w:position w:val="-10"/>
        </w:rPr>
        <w:object w:dxaOrig="420" w:dyaOrig="320">
          <v:shape id="_x0000_i1042" type="#_x0000_t75" style="width:21pt;height:15.75pt" o:ole="">
            <v:imagedata r:id="rId39" o:title=""/>
          </v:shape>
          <o:OLEObject Type="Embed" ProgID="Equation.3" ShapeID="_x0000_i1042" DrawAspect="Content" ObjectID="_1401324121" r:id="rId40"/>
        </w:object>
      </w:r>
      <w:r>
        <w:rPr>
          <w:noProof/>
        </w:rPr>
        <w:t xml:space="preserve"> исходного сигнала со спектром </w:t>
      </w:r>
      <w:r>
        <w:rPr>
          <w:noProof/>
          <w:position w:val="-10"/>
        </w:rPr>
        <w:object w:dxaOrig="560" w:dyaOrig="320">
          <v:shape id="_x0000_i1043" type="#_x0000_t75" style="width:27.75pt;height:15.75pt" o:ole="">
            <v:imagedata r:id="rId41" o:title=""/>
          </v:shape>
          <o:OLEObject Type="Embed" ProgID="Equation.3" ShapeID="_x0000_i1043" DrawAspect="Content" ObjectID="_1401324122" r:id="rId42"/>
        </w:object>
      </w:r>
      <w:r>
        <w:rPr>
          <w:noProof/>
        </w:rPr>
        <w:t xml:space="preserve"> заданной при </w:t>
      </w:r>
      <w:r>
        <w:rPr>
          <w:noProof/>
          <w:position w:val="-6"/>
        </w:rPr>
        <w:object w:dxaOrig="1160" w:dyaOrig="240">
          <v:shape id="_x0000_i1044" type="#_x0000_t75" style="width:57.75pt;height:12pt" o:ole="">
            <v:imagedata r:id="rId43" o:title=""/>
          </v:shape>
          <o:OLEObject Type="Embed" ProgID="Equation.3" ShapeID="_x0000_i1044" DrawAspect="Content" ObjectID="_1401324123" r:id="rId44"/>
        </w:object>
      </w:r>
      <w:r>
        <w:rPr>
          <w:noProof/>
        </w:rPr>
        <w:t>. Иногда q называют «сачтота» или «кьюфренси» (анаграммы от русского &lt;&lt;частота&gt;&gt; или английского &lt;&lt;frequency&gt;&gt;).</w:t>
      </w:r>
    </w:p>
    <w:p w:rsidR="00256FDE" w:rsidRDefault="00256FDE" w:rsidP="00256FDE">
      <w:pPr>
        <w:pBdr>
          <w:top w:val="single" w:sz="6" w:space="1" w:color="auto"/>
          <w:bottom w:val="single" w:sz="6" w:space="1" w:color="auto"/>
        </w:pBdr>
        <w:rPr>
          <w:noProof/>
        </w:rPr>
      </w:pPr>
      <w:r>
        <w:rPr>
          <w:noProof/>
        </w:rPr>
        <w:t>Так как рассматриваемые в данной работе системы распознавания речи работают с дискретным представлением речевого сигнала, целесообразно привести запись кепстра в дискретной форме: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В литературе показано, что представление спектра сигнала в виде мел-частотных коэффициентов может успешно применяться в распознавании речи. Значения коэффициентов в шкале мел могут быть получены, анализируя значения коэффициентов в шкале Герц с последующим переходом при использовании выражения: </w:t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2500" w:dyaOrig="320">
          <v:shape id="_x0000_i1045" type="#_x0000_t75" style="width:125.25pt;height:15.75pt" o:ole="">
            <v:imagedata r:id="rId45" o:title=""/>
          </v:shape>
          <o:OLEObject Type="Embed" ProgID="Equation.3" ShapeID="_x0000_i1045" DrawAspect="Content" ObjectID="_1401324124" r:id="rId46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3" w:name="GEQ137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3"/>
      <w:r>
        <w:rPr>
          <w:noProof/>
        </w:rPr>
        <w:fldChar w:fldCharType="end"/>
      </w:r>
    </w:p>
    <w:p w:rsidR="00256FDE" w:rsidRDefault="00256FDE" w:rsidP="00256FDE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где </w:t>
      </w:r>
      <w:r>
        <w:rPr>
          <w:noProof/>
          <w:position w:val="-10"/>
        </w:rPr>
        <w:object w:dxaOrig="240" w:dyaOrig="320">
          <v:shape id="_x0000_i1046" type="#_x0000_t75" style="width:12pt;height:15.75pt" o:ole="">
            <v:imagedata r:id="rId47" o:title=""/>
          </v:shape>
          <o:OLEObject Type="Embed" ProgID="Equation.3" ShapeID="_x0000_i1046" DrawAspect="Content" ObjectID="_1401324125" r:id="rId48"/>
        </w:object>
      </w:r>
      <w:r>
        <w:rPr>
          <w:noProof/>
        </w:rPr>
        <w:t xml:space="preserve"> --- значение частоты в Герцах;</w:t>
      </w:r>
    </w:p>
    <w:p w:rsidR="00256FDE" w:rsidRDefault="00256FDE" w:rsidP="00256FDE">
      <w:pPr>
        <w:rPr>
          <w:noProof/>
        </w:rPr>
      </w:pPr>
      <w:r>
        <w:rPr>
          <w:noProof/>
          <w:position w:val="-10"/>
        </w:rPr>
        <w:object w:dxaOrig="580" w:dyaOrig="320">
          <v:shape id="_x0000_i1047" type="#_x0000_t75" style="width:29.25pt;height:15.75pt" o:ole="">
            <v:imagedata r:id="rId49" o:title=""/>
          </v:shape>
          <o:OLEObject Type="Embed" ProgID="Equation.3" ShapeID="_x0000_i1047" DrawAspect="Content" ObjectID="_1401324126" r:id="rId50"/>
        </w:object>
      </w:r>
      <w:r>
        <w:rPr>
          <w:noProof/>
        </w:rPr>
        <w:t xml:space="preserve"> --- значение частоты в мел, соответствующее частоте в Герцах </w:t>
      </w:r>
      <w:r>
        <w:rPr>
          <w:noProof/>
          <w:position w:val="-10"/>
        </w:rPr>
        <w:object w:dxaOrig="240" w:dyaOrig="320">
          <v:shape id="_x0000_i1048" type="#_x0000_t75" style="width:12pt;height:15.75pt" o:ole="">
            <v:imagedata r:id="rId51" o:title=""/>
          </v:shape>
          <o:OLEObject Type="Embed" ProgID="Equation.3" ShapeID="_x0000_i1048" DrawAspect="Content" ObjectID="_1401324127" r:id="rId52"/>
        </w:object>
      </w:r>
      <w:r>
        <w:rPr>
          <w:noProof/>
        </w:rPr>
        <w:t>.</w:t>
      </w:r>
    </w:p>
    <w:p w:rsidR="00256FDE" w:rsidRDefault="00256FDE" w:rsidP="00256FDE">
      <w:pPr>
        <w:pBdr>
          <w:top w:val="single" w:sz="6" w:space="1" w:color="auto"/>
          <w:bottom w:val="single" w:sz="6" w:space="1" w:color="auto"/>
        </w:pBdr>
        <w:rPr>
          <w:noProof/>
        </w:rPr>
      </w:pPr>
      <w:r>
        <w:rPr>
          <w:noProof/>
        </w:rPr>
        <w:t>На данном слайде представлена зависимость высоты звука в мелах от его частоты. Высота звука – величина, определяемая характеристиками человеческого слуха.</w:t>
      </w:r>
    </w:p>
    <w:p w:rsidR="00256FDE" w:rsidRDefault="00256FDE" w:rsidP="00256FDE">
      <w:pPr>
        <w:pBdr>
          <w:bottom w:val="single" w:sz="6" w:space="1" w:color="auto"/>
          <w:between w:val="single" w:sz="6" w:space="1" w:color="auto"/>
        </w:pBdr>
        <w:rPr>
          <w:noProof/>
        </w:rPr>
      </w:pPr>
      <w:r>
        <w:rPr>
          <w:noProof/>
        </w:rPr>
        <w:t>При оценке логарифмов значений трансформант Фурье предлагается использовать треугольную оконную функцию вида:</w:t>
      </w:r>
    </w:p>
    <w:p w:rsidR="00256FDE" w:rsidRDefault="00256FDE" w:rsidP="00256FDE">
      <w:pPr>
        <w:pBdr>
          <w:bottom w:val="single" w:sz="6" w:space="1" w:color="auto"/>
          <w:between w:val="single" w:sz="6" w:space="1" w:color="auto"/>
        </w:pBdr>
        <w:rPr>
          <w:noProof/>
        </w:rPr>
      </w:pPr>
      <w:r>
        <w:rPr>
          <w:noProof/>
        </w:rPr>
        <w:t>Н</w:t>
      </w:r>
      <w:r w:rsidR="000D2CB5">
        <w:rPr>
          <w:noProof/>
        </w:rPr>
        <w:t>а данном слайде представлен пример графиков оконных функций для 12 окон анализа. Из графиков видно, что окна, равномерно расположенные в шкале мел, в частотной шкале расположены более плотно в области низких частот, что позволяет получить большее «разрешение» в низкочастотной области.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Для оценки кепстральных коэффициентов необходимо оценить значения логарифмов результата дискретного преобразования Фурье: 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3560" w:dyaOrig="680">
          <v:shape id="_x0000_i1049" type="#_x0000_t75" style="width:177.75pt;height:33.75pt" o:ole="">
            <v:imagedata r:id="rId53" o:title=""/>
          </v:shape>
          <o:OLEObject Type="Embed" ProgID="Equation.3" ShapeID="_x0000_i1049" DrawAspect="Content" ObjectID="_1401324128" r:id="rId54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4" w:name="GEQ142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4"/>
      <w:r>
        <w:rPr>
          <w:noProof/>
        </w:rPr>
        <w:fldChar w:fldCharType="end"/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где </w:t>
      </w:r>
      <w:r>
        <w:rPr>
          <w:noProof/>
          <w:position w:val="-12"/>
        </w:rPr>
        <w:object w:dxaOrig="340" w:dyaOrig="360">
          <v:shape id="_x0000_i1050" type="#_x0000_t75" style="width:17.25pt;height:18pt" o:ole="">
            <v:imagedata r:id="rId55" o:title=""/>
          </v:shape>
          <o:OLEObject Type="Embed" ProgID="Equation.3" ShapeID="_x0000_i1050" DrawAspect="Content" ObjectID="_1401324129" r:id="rId56"/>
        </w:object>
      </w:r>
      <w:r>
        <w:rPr>
          <w:noProof/>
        </w:rPr>
        <w:t xml:space="preserve"> –- значения трансформанты Фурье,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  <w:position w:val="-4"/>
        </w:rPr>
        <w:object w:dxaOrig="320" w:dyaOrig="260">
          <v:shape id="_x0000_i1051" type="#_x0000_t75" style="width:15.75pt;height:12.75pt" o:ole="">
            <v:imagedata r:id="rId57" o:title=""/>
          </v:shape>
          <o:OLEObject Type="Embed" ProgID="Equation.3" ShapeID="_x0000_i1051" DrawAspect="Content" ObjectID="_1401324130" r:id="rId58"/>
        </w:object>
      </w:r>
      <w:r>
        <w:rPr>
          <w:noProof/>
        </w:rPr>
        <w:t xml:space="preserve"> – число треугольных окон, равномерно расположенных в шкале мел,</w:t>
      </w:r>
    </w:p>
    <w:p w:rsidR="000D2CB5" w:rsidRDefault="000D2CB5" w:rsidP="000D2CB5">
      <w:pPr>
        <w:pBdr>
          <w:bottom w:val="single" w:sz="6" w:space="1" w:color="auto"/>
        </w:pBdr>
        <w:rPr>
          <w:noProof/>
        </w:rPr>
      </w:pPr>
      <w:r>
        <w:rPr>
          <w:noProof/>
          <w:position w:val="-14"/>
        </w:rPr>
        <w:object w:dxaOrig="499" w:dyaOrig="380">
          <v:shape id="_x0000_i1052" type="#_x0000_t75" style="width:24.75pt;height:18.75pt" o:ole="">
            <v:imagedata r:id="rId59" o:title=""/>
          </v:shape>
          <o:OLEObject Type="Embed" ProgID="Equation.3" ShapeID="_x0000_i1052" DrawAspect="Content" ObjectID="_1401324131" r:id="rId60"/>
        </w:object>
      </w:r>
      <w:r>
        <w:rPr>
          <w:noProof/>
        </w:rPr>
        <w:t xml:space="preserve"> -– значения оконной функции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Затем к полученным результатам применяются дискретное косинусное преобразование: 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3980" w:dyaOrig="680">
          <v:shape id="_x0000_i1053" type="#_x0000_t75" style="width:198.75pt;height:33.75pt" o:ole="">
            <v:imagedata r:id="rId61" o:title=""/>
          </v:shape>
          <o:OLEObject Type="Embed" ProgID="Equation.3" ShapeID="_x0000_i1053" DrawAspect="Content" ObjectID="_1401324132" r:id="rId62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5" w:name="GEQ143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5"/>
      <w:r>
        <w:rPr>
          <w:noProof/>
        </w:rPr>
        <w:fldChar w:fldCharType="end"/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где </w:t>
      </w:r>
      <w:r>
        <w:rPr>
          <w:noProof/>
          <w:position w:val="-4"/>
        </w:rPr>
        <w:object w:dxaOrig="320" w:dyaOrig="260">
          <v:shape id="_x0000_i1054" type="#_x0000_t75" style="width:15.75pt;height:12.75pt" o:ole="">
            <v:imagedata r:id="rId63" o:title=""/>
          </v:shape>
          <o:OLEObject Type="Embed" ProgID="Equation.3" ShapeID="_x0000_i1054" DrawAspect="Content" ObjectID="_1401324133" r:id="rId64"/>
        </w:object>
      </w:r>
      <w:r>
        <w:rPr>
          <w:noProof/>
        </w:rPr>
        <w:t xml:space="preserve"> – количество треугольных окон, равномерно распределенных в шкале мел,</w:t>
      </w:r>
    </w:p>
    <w:p w:rsidR="000D2CB5" w:rsidRDefault="000D2CB5" w:rsidP="000D2CB5">
      <w:pPr>
        <w:pBdr>
          <w:bottom w:val="single" w:sz="6" w:space="1" w:color="auto"/>
        </w:pBdr>
        <w:rPr>
          <w:noProof/>
        </w:rPr>
      </w:pPr>
      <w:r>
        <w:rPr>
          <w:noProof/>
          <w:position w:val="-12"/>
        </w:rPr>
        <w:object w:dxaOrig="320" w:dyaOrig="360">
          <v:shape id="_x0000_i1055" type="#_x0000_t75" style="width:15.75pt;height:18pt" o:ole="">
            <v:imagedata r:id="rId65" o:title=""/>
          </v:shape>
          <o:OLEObject Type="Embed" ProgID="Equation.3" ShapeID="_x0000_i1055" DrawAspect="Content" ObjectID="_1401324134" r:id="rId66"/>
        </w:object>
      </w:r>
      <w:r>
        <w:rPr>
          <w:noProof/>
        </w:rPr>
        <w:t xml:space="preserve"> – значение результата логарифмирования</w:t>
      </w:r>
    </w:p>
    <w:p w:rsidR="000D2CB5" w:rsidRDefault="000D2CB5" w:rsidP="000D2CB5">
      <w:pPr>
        <w:rPr>
          <w:noProof/>
        </w:rPr>
      </w:pPr>
      <w:r>
        <w:rPr>
          <w:noProof/>
        </w:rPr>
        <w:t>Исследование особенностей значений кепстральных коэффициентов для различных звуков русской речи показало, что распределение кепстральных коэффициентов зависит от типа звука.</w:t>
      </w:r>
    </w:p>
    <w:p w:rsidR="000D2CB5" w:rsidRDefault="000D2CB5" w:rsidP="000D2CB5">
      <w:pPr>
        <w:pBdr>
          <w:bottom w:val="single" w:sz="6" w:space="1" w:color="auto"/>
        </w:pBdr>
        <w:rPr>
          <w:noProof/>
        </w:rPr>
      </w:pPr>
      <w:r>
        <w:rPr>
          <w:noProof/>
        </w:rPr>
        <w:t>Можно заметить, что для разных реализаций одного звука наборы коэффициентов схожи.</w:t>
      </w:r>
    </w:p>
    <w:p w:rsidR="000D2CB5" w:rsidRDefault="000D2CB5" w:rsidP="000D2CB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>В проведенных экспериментах анализировались отрезки сигнала длиной в 256 отсчетов (16 мс при используемой частоте дискретизации 16 кГц) с перекрытием в 128 отсчетов, с целью обеспечения относительной стационарности анализируемого речевого отрезка. Количество точек Фурье устанавливалось равным длине отрезка.</w:t>
      </w:r>
    </w:p>
    <w:p w:rsidR="000D2CB5" w:rsidRDefault="000D2CB5" w:rsidP="000D2CB5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Количество используемых коэффициентов установлено равным 24 на основании рекомендаций, приведенных в </w:t>
      </w:r>
      <w:r>
        <w:rPr>
          <w:noProof/>
        </w:rPr>
        <w:t>литературных источниках</w:t>
      </w:r>
      <w:r>
        <w:rPr>
          <w:noProof/>
        </w:rPr>
        <w:t xml:space="preserve">. Также было исследовано влияние количества используемых коэффициентов на точность распознавания речевых сигналов. В эксперименте рассчитывались все 24 коэффициента, а затем для описания сигнала в алгоритме распознавания использовались </w:t>
      </w:r>
      <w:r>
        <w:rPr>
          <w:noProof/>
          <w:position w:val="-12"/>
        </w:rPr>
        <w:object w:dxaOrig="340" w:dyaOrig="360">
          <v:shape id="_x0000_i1056" type="#_x0000_t75" style="width:17.25pt;height:18pt" o:ole="">
            <v:imagedata r:id="rId67" o:title=""/>
          </v:shape>
          <o:OLEObject Type="Embed" ProgID="Equation.3" ShapeID="_x0000_i1056" DrawAspect="Content" ObjectID="_1401324135" r:id="rId68"/>
        </w:object>
      </w:r>
      <w:r>
        <w:rPr>
          <w:noProof/>
        </w:rPr>
        <w:t xml:space="preserve"> коэффициентов.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На рисунке </w:t>
      </w:r>
      <w:r>
        <w:rPr>
          <w:noProof/>
        </w:rPr>
        <w:fldChar w:fldCharType="begin"/>
      </w:r>
      <w:r>
        <w:rPr>
          <w:noProof/>
        </w:rPr>
        <w:instrText xml:space="preserve"> GOTOBUTTON GEQ148 </w:instrText>
      </w:r>
      <w:r>
        <w:rPr>
          <w:noProof/>
        </w:rPr>
        <w:fldChar w:fldCharType="begin"/>
      </w:r>
      <w:r>
        <w:rPr>
          <w:noProof/>
        </w:rPr>
        <w:instrText xml:space="preserve"> REF GEQ148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 xml:space="preserve"> сплошной линией изображен график зависимости вероятности ошибки от количества коэффициентов, взятых с 1 по </w:t>
      </w:r>
      <w:r>
        <w:rPr>
          <w:noProof/>
          <w:position w:val="-12"/>
        </w:rPr>
        <w:object w:dxaOrig="340" w:dyaOrig="360">
          <v:shape id="_x0000_i1057" type="#_x0000_t75" style="width:17.25pt;height:18pt" o:ole="">
            <v:imagedata r:id="rId69" o:title=""/>
          </v:shape>
          <o:OLEObject Type="Embed" ProgID="Equation.3" ShapeID="_x0000_i1057" DrawAspect="Content" ObjectID="_1401324136" r:id="rId70"/>
        </w:object>
      </w:r>
      <w:r>
        <w:rPr>
          <w:noProof/>
        </w:rPr>
        <w:t xml:space="preserve">. Пунктирной линией -- с 24 по </w:t>
      </w:r>
      <w:r>
        <w:rPr>
          <w:noProof/>
          <w:position w:val="-12"/>
        </w:rPr>
        <w:object w:dxaOrig="980" w:dyaOrig="360">
          <v:shape id="_x0000_i1058" type="#_x0000_t75" style="width:48.75pt;height:18pt" o:ole="">
            <v:imagedata r:id="rId71" o:title=""/>
          </v:shape>
          <o:OLEObject Type="Embed" ProgID="Equation.3" ShapeID="_x0000_i1058" DrawAspect="Content" ObjectID="_1401324137" r:id="rId72"/>
        </w:objec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decrease_legend.png Зависимость вероятности ошибки распознавания от количества используемых коэффициентов  </w:t>
      </w:r>
    </w:p>
    <w:p w:rsidR="000D2CB5" w:rsidRDefault="000D2CB5" w:rsidP="000D2CB5">
      <w:pPr>
        <w:pBdr>
          <w:bottom w:val="single" w:sz="6" w:space="1" w:color="auto"/>
        </w:pBd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Исходя из результатов эксперимента, можно предположить возможность использования меньшего количества коэффициентов в качестве описания сигнала, что позволяет уменьшить размер хранимого словаря и ускорить выполнение алгоритма распознавания.</w:t>
      </w:r>
    </w:p>
    <w:p w:rsidR="000D2CB5" w:rsidRDefault="000D2CB5" w:rsidP="000D2CB5">
      <w:pPr>
        <w:rPr>
          <w:noProof/>
        </w:rPr>
      </w:pPr>
      <w:r>
        <w:rPr>
          <w:noProof/>
        </w:rPr>
        <w:t>Динамическое программирование в теории управления и теории вычислительных систем — способ решения сложных задач путём разбиения их на более простые подзадачи. Он применим к задачам с оптимальной подструктурой, выглядящим как набор перекрывающихся подзадач, сложность которых чуть меньше исходной.</w:t>
      </w:r>
    </w:p>
    <w:p w:rsidR="000D2CB5" w:rsidRDefault="000D2CB5" w:rsidP="000D2CB5">
      <w:pPr>
        <w:pBdr>
          <w:bottom w:val="single" w:sz="6" w:space="1" w:color="auto"/>
        </w:pBdr>
        <w:rPr>
          <w:noProof/>
        </w:rPr>
      </w:pPr>
      <w:r>
        <w:rPr>
          <w:noProof/>
        </w:rPr>
        <w:t>В применении к задачам распознавания речи методы динамического программирования используются для определения степени схожести речевых сигналов. Как правило, подобное сравнение входного сигнала с имеющимся образцом имеет место в системах распознавания, работающих с ограниченным словарем (до 50 слов), но может также применяться на отдельных этапах принятия решений в составе комплексных систем</w:t>
      </w:r>
    </w:p>
    <w:p w:rsidR="000D2CB5" w:rsidRDefault="000D2CB5" w:rsidP="000D2CB5">
      <w:pPr>
        <w:rPr>
          <w:noProof/>
        </w:rPr>
      </w:pPr>
      <w:r>
        <w:rPr>
          <w:noProof/>
        </w:rPr>
        <w:t>Одной из основных проблем распознавания речевых сигналов является тот факт, что одно и то же сочетание звуков, произнесенных несколько раз или же различными дикторами, может значительно отличаться по многим критериям: длительности, скорости произведения, форме огибающей, амплитуде и т.д. При разработке алгоритма распознавания с ограниченным словарем необходимо разработать такую решающую функцию, которая будет незначительно зависеть от этих критериев.</w:t>
      </w:r>
    </w:p>
    <w:p w:rsidR="000D2CB5" w:rsidRDefault="000D2CB5" w:rsidP="000D2CB5">
      <w:r>
        <w:t>Алгоритм динамического трансформирования времени (англ.</w:t>
      </w:r>
    </w:p>
    <w:p w:rsidR="000D2CB5" w:rsidRDefault="000D2CB5" w:rsidP="000D2CB5">
      <w:r>
        <w:t>Dynamic Time Warp или DTW) вычисляет оптимальную</w:t>
      </w:r>
    </w:p>
    <w:p w:rsidR="000D2CB5" w:rsidRDefault="000D2CB5" w:rsidP="000D2CB5">
      <w:r>
        <w:t>последовательность трансформации (деформации) времени</w:t>
      </w:r>
    </w:p>
    <w:p w:rsidR="000D2CB5" w:rsidRDefault="000D2CB5" w:rsidP="000D2CB5">
      <w:r>
        <w:t>между двумя временными рядами. Алгоритм вычисляет оба</w:t>
      </w:r>
    </w:p>
    <w:p w:rsidR="000D2CB5" w:rsidRDefault="000D2CB5" w:rsidP="000D2CB5">
      <w:r>
        <w:t>значения деформации между двумя рядами и расстояние между</w:t>
      </w:r>
    </w:p>
    <w:p w:rsidR="000D2CB5" w:rsidRDefault="000D2CB5" w:rsidP="000D2CB5">
      <w:r>
        <w:t>ними.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Предположим, что есть две числовые последовательности </w:t>
      </w:r>
      <w:r>
        <w:rPr>
          <w:noProof/>
          <w:position w:val="-10"/>
        </w:rPr>
        <w:object w:dxaOrig="1579" w:dyaOrig="340">
          <v:shape id="_x0000_i1059" type="#_x0000_t75" style="width:78.75pt;height:17.25pt" o:ole="">
            <v:imagedata r:id="rId73" o:title=""/>
          </v:shape>
          <o:OLEObject Type="Embed" ProgID="Equation.3" ShapeID="_x0000_i1059" DrawAspect="Content" ObjectID="_1401324138" r:id="rId74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1540" w:dyaOrig="360">
          <v:shape id="_x0000_i1060" type="#_x0000_t75" style="width:77.25pt;height:18pt" o:ole="">
            <v:imagedata r:id="rId75" o:title=""/>
          </v:shape>
          <o:OLEObject Type="Embed" ProgID="Equation.3" ShapeID="_x0000_i1060" DrawAspect="Content" ObjectID="_1401324139" r:id="rId76"/>
        </w:object>
      </w:r>
      <w:r>
        <w:rPr>
          <w:noProof/>
        </w:rPr>
        <w:t>. Длина двух последовательностей может быть различной.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Временные различия между A и B могут быть описаны с помощью некоторой последовательности </w:t>
      </w:r>
      <w:r>
        <w:rPr>
          <w:noProof/>
          <w:position w:val="-10"/>
        </w:rPr>
        <w:object w:dxaOrig="880" w:dyaOrig="320">
          <v:shape id="_x0000_i1061" type="#_x0000_t75" style="width:44.25pt;height:15.75pt" o:ole="">
            <v:imagedata r:id="rId77" o:title=""/>
          </v:shape>
          <o:OLEObject Type="Embed" ProgID="Equation.3" ShapeID="_x0000_i1061" DrawAspect="Content" ObjectID="_1401324140" r:id="rId78"/>
        </w:object>
      </w:r>
      <w:r>
        <w:rPr>
          <w:noProof/>
        </w:rPr>
        <w:t xml:space="preserve">: </w:t>
      </w:r>
    </w:p>
    <w:p w:rsidR="000D2CB5" w:rsidRDefault="000D2CB5" w:rsidP="000D2CB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000" w:dyaOrig="320">
          <v:shape id="_x0000_i1062" type="#_x0000_t75" style="width:150pt;height:15.75pt" o:ole="">
            <v:imagedata r:id="rId79" o:title=""/>
          </v:shape>
          <o:OLEObject Type="Embed" ProgID="Equation.3" ShapeID="_x0000_i1062" DrawAspect="Content" ObjectID="_1401324141" r:id="rId80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6" w:name="GEQ149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6"/>
      <w:r>
        <w:rPr>
          <w:noProof/>
        </w:rPr>
        <w:fldChar w:fldCharType="end"/>
      </w:r>
    </w:p>
    <w:p w:rsidR="000D2CB5" w:rsidRDefault="000D2CB5" w:rsidP="000D2CB5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t xml:space="preserve"> где </w:t>
      </w:r>
      <w:r>
        <w:rPr>
          <w:noProof/>
          <w:position w:val="-10"/>
        </w:rPr>
        <w:object w:dxaOrig="1760" w:dyaOrig="320">
          <v:shape id="_x0000_i1063" type="#_x0000_t75" style="width:87.75pt;height:15.75pt" o:ole="">
            <v:imagedata r:id="rId81" o:title=""/>
          </v:shape>
          <o:OLEObject Type="Embed" ProgID="Equation.3" ShapeID="_x0000_i1063" DrawAspect="Content" ObjectID="_1401324142" r:id="rId82"/>
        </w:object>
      </w:r>
      <w:r>
        <w:rPr>
          <w:noProof/>
        </w:rPr>
        <w:t>. Данная последовательность представляет собой функцию, которая позволяет отобразить временную ось A на временной оси B. Назовем ее функцией деформации.</w:t>
      </w:r>
    </w:p>
    <w:p w:rsidR="000D2CB5" w:rsidRDefault="000D2CB5" w:rsidP="000D2CB5">
      <w:r>
        <w:t xml:space="preserve">На рисунке представлена функция </w:t>
      </w:r>
      <w:r>
        <w:rPr>
          <w:lang w:val="en-US"/>
        </w:rPr>
        <w:t>F</w:t>
      </w:r>
      <w:r>
        <w:t>. По сути она на</w:t>
      </w:r>
      <w:r w:rsidR="005750A8">
        <w:t>поминает</w:t>
      </w:r>
      <w:r>
        <w:t xml:space="preserve"> классическую задачу динамического программирования о количестве редакторских правок</w:t>
      </w:r>
      <w:r w:rsidR="005750A8">
        <w:t xml:space="preserve"> (расстояние Левенштейна). Аргументом функции </w:t>
      </w:r>
      <w:r w:rsidR="005750A8">
        <w:rPr>
          <w:lang w:val="en-US"/>
        </w:rPr>
        <w:t>F</w:t>
      </w:r>
      <w:r w:rsidR="005750A8" w:rsidRPr="005750A8">
        <w:t xml:space="preserve"> </w:t>
      </w:r>
      <w:r w:rsidR="005750A8">
        <w:t xml:space="preserve">является вектор </w:t>
      </w:r>
      <w:r w:rsidR="005750A8">
        <w:rPr>
          <w:lang w:val="en-US"/>
        </w:rPr>
        <w:t>c</w:t>
      </w:r>
      <w:r w:rsidR="005750A8" w:rsidRPr="005750A8">
        <w:t xml:space="preserve">, </w:t>
      </w:r>
      <w:r w:rsidR="005750A8">
        <w:t xml:space="preserve">содержащий индексы некоторого элемента матрицы </w:t>
      </w:r>
      <w:r w:rsidR="005750A8">
        <w:rPr>
          <w:lang w:val="en-US"/>
        </w:rPr>
        <w:t>d</w:t>
      </w:r>
      <w:r w:rsidR="005750A8" w:rsidRPr="005750A8">
        <w:t xml:space="preserve">. </w:t>
      </w:r>
      <w:r w:rsidR="005750A8">
        <w:t xml:space="preserve">Способ нахождения матрицы </w:t>
      </w:r>
      <w:r w:rsidR="005750A8">
        <w:rPr>
          <w:lang w:val="en-US"/>
        </w:rPr>
        <w:t>d</w:t>
      </w:r>
      <w:r w:rsidR="005750A8" w:rsidRPr="005750A8">
        <w:t xml:space="preserve"> </w:t>
      </w:r>
      <w:r w:rsidR="005750A8">
        <w:t>представлен на следующем слайде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Алгоритм начинается с расчета локальных расстояний между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элементами двух последовательностей. В рамках данной работы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при реализации алгоритма динамического трансформирования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используются коэффициенты корреляции Пирсона,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рассчитанные для кепстральных коэффициентов отрезков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сигнала: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где с1, с2 – кепстральные коэффициенты соответственно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первого и второго сигнала;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I, J – длительности соответственно первого и второго сигнала;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М – количество кепстральных коэффициентов, используемых</w:t>
      </w:r>
    </w:p>
    <w:p w:rsid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для анализа.</w:t>
      </w:r>
    </w:p>
    <w:p w:rsidR="005750A8" w:rsidRDefault="005750A8" w:rsidP="005750A8">
      <w:pPr>
        <w:pBdr>
          <w:bottom w:val="single" w:sz="6" w:space="1" w:color="auto"/>
        </w:pBdr>
      </w:pPr>
      <w:r>
        <w:t>В результате получаем матрицу расстояний, имеющую I строк и</w:t>
      </w:r>
    </w:p>
    <w:p w:rsidR="005750A8" w:rsidRDefault="005750A8" w:rsidP="005750A8">
      <w:pPr>
        <w:pBdr>
          <w:bottom w:val="single" w:sz="6" w:space="1" w:color="auto"/>
        </w:pBdr>
      </w:pPr>
      <w:r>
        <w:t>J столбцов общих членов:</w:t>
      </w:r>
    </w:p>
    <w:p w:rsidR="005750A8" w:rsidRDefault="005750A8" w:rsidP="005750A8">
      <w:pPr>
        <w:pBdr>
          <w:bottom w:val="single" w:sz="6" w:space="1" w:color="auto"/>
        </w:pBdr>
      </w:pPr>
      <w:r>
        <w:t>Минимальное остаточное расстояние между A и B, которое</w:t>
      </w:r>
    </w:p>
    <w:p w:rsidR="005750A8" w:rsidRDefault="005750A8" w:rsidP="005750A8">
      <w:pPr>
        <w:pBdr>
          <w:bottom w:val="single" w:sz="6" w:space="1" w:color="auto"/>
        </w:pBdr>
      </w:pPr>
      <w:r>
        <w:t>остается после устранения временных различий, может служить</w:t>
      </w:r>
    </w:p>
    <w:p w:rsidR="005750A8" w:rsidRDefault="005750A8" w:rsidP="005750A8">
      <w:pPr>
        <w:pBdr>
          <w:bottom w:val="single" w:sz="6" w:space="1" w:color="auto"/>
        </w:pBdr>
      </w:pPr>
      <w:r>
        <w:t>мерой различия речевых последовательностей A и B</w:t>
      </w:r>
    </w:p>
    <w:p w:rsidR="005750A8" w:rsidRDefault="005750A8" w:rsidP="005750A8">
      <w:r>
        <w:t>Существует три условия, налагаемых на DTW алгоритм для</w:t>
      </w:r>
    </w:p>
    <w:p w:rsidR="005750A8" w:rsidRDefault="005750A8" w:rsidP="005750A8">
      <w:r>
        <w:t>обеспечения быстрой конвергенции:</w:t>
      </w:r>
    </w:p>
    <w:p w:rsidR="005750A8" w:rsidRDefault="005750A8" w:rsidP="005750A8">
      <w:r>
        <w:t>1) Монотонность – путь никогда не возвращается, то есть: оба</w:t>
      </w:r>
    </w:p>
    <w:p w:rsidR="005750A8" w:rsidRDefault="005750A8" w:rsidP="005750A8">
      <w:r>
        <w:t>индекса, i и j, которые используются в последовательности,</w:t>
      </w:r>
    </w:p>
    <w:p w:rsidR="005750A8" w:rsidRDefault="005750A8" w:rsidP="005750A8">
      <w:r>
        <w:t>никогда не уменьшаются.</w:t>
      </w:r>
    </w:p>
    <w:p w:rsidR="005750A8" w:rsidRDefault="005750A8" w:rsidP="005750A8">
      <w:r>
        <w:t>2) Непрерывность – последовательность продвигается</w:t>
      </w:r>
    </w:p>
    <w:p w:rsidR="005750A8" w:rsidRDefault="005750A8" w:rsidP="005750A8">
      <w:r>
        <w:t>постепенно: за один шаг индексы i и j, увеличиваются не</w:t>
      </w:r>
    </w:p>
    <w:p w:rsidR="005750A8" w:rsidRDefault="005750A8" w:rsidP="005750A8">
      <w:r>
        <w:t>более чем на 1.</w:t>
      </w:r>
    </w:p>
    <w:p w:rsidR="005750A8" w:rsidRDefault="005750A8" w:rsidP="005750A8">
      <w:r>
        <w:t>3) Предельность – последовательность начинается в (1,1) и</w:t>
      </w:r>
    </w:p>
    <w:p w:rsidR="005750A8" w:rsidRDefault="005750A8" w:rsidP="005750A8">
      <w:r>
        <w:t>заканчивается в (I,J).</w:t>
      </w:r>
    </w:p>
    <w:p w:rsidR="005750A8" w:rsidRDefault="005750A8" w:rsidP="005750A8"/>
    <w:p w:rsidR="005750A8" w:rsidRDefault="005750A8" w:rsidP="005750A8">
      <w:pPr>
        <w:rPr>
          <w:noProof/>
        </w:rPr>
      </w:pPr>
      <w:r>
        <w:rPr>
          <w:noProof/>
        </w:rPr>
        <w:t>Также предлагается ввести дополнительное условие, названное &lt;&lt;окно выравнивания&gt;&gt;, определяющее дополнительные границы, в которых может лежать функция F</w:t>
      </w:r>
    </w:p>
    <w:p w:rsidR="005750A8" w:rsidRDefault="005750A8" w:rsidP="005750A8">
      <w:pPr>
        <w:rPr>
          <w:noProof/>
        </w:rPr>
      </w:pPr>
    </w:p>
    <w:p w:rsidR="005750A8" w:rsidRDefault="005750A8" w:rsidP="005750A8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>С учетом данных граничных условий, нахождение минимальной функции F является типичной задачей динамического программирования.</w:t>
      </w:r>
    </w:p>
    <w:p w:rsidR="005750A8" w:rsidRDefault="005750A8" w:rsidP="005750A8">
      <w:pPr>
        <w:rPr>
          <w:noProof/>
        </w:rPr>
      </w:pPr>
    </w:p>
    <w:p w:rsidR="005750A8" w:rsidRDefault="005750A8" w:rsidP="005750A8"/>
    <w:p w:rsidR="005750A8" w:rsidRDefault="005750A8" w:rsidP="005750A8">
      <w:r>
        <w:t>Вычислительная сложность реализованного алгоритма</w:t>
      </w:r>
    </w:p>
    <w:p w:rsidR="005750A8" w:rsidRDefault="005750A8" w:rsidP="005750A8">
      <w:r>
        <w:t>составляет порядка O(IJ), возможно, сложность может быть</w:t>
      </w:r>
    </w:p>
    <w:p w:rsidR="005750A8" w:rsidRDefault="005750A8" w:rsidP="005750A8">
      <w:r>
        <w:t>уменьшена оптимизацией алгоритма.</w:t>
      </w:r>
    </w:p>
    <w:p w:rsidR="005750A8" w:rsidRPr="005750A8" w:rsidRDefault="005750A8" w:rsidP="005750A8">
      <w:pPr>
        <w:pBdr>
          <w:top w:val="single" w:sz="6" w:space="1" w:color="auto"/>
          <w:bottom w:val="single" w:sz="6" w:space="1" w:color="auto"/>
        </w:pBdr>
      </w:pPr>
      <w:r>
        <w:t>На данном слайде представлена блок-схема реализованного алгоритма</w:t>
      </w:r>
    </w:p>
    <w:p w:rsidR="005750A8" w:rsidRPr="005750A8" w:rsidRDefault="005750A8" w:rsidP="005750A8">
      <w:pPr>
        <w:pBdr>
          <w:top w:val="single" w:sz="6" w:space="1" w:color="auto"/>
          <w:bottom w:val="single" w:sz="6" w:space="1" w:color="auto"/>
        </w:pBdr>
      </w:pPr>
      <w:r w:rsidRPr="005750A8">
        <w:rPr>
          <w:noProof/>
          <w:color w:val="1F497D" w:themeColor="text2"/>
        </w:rPr>
        <w:t>Алгоритм выполняет поиск кратчайшего пути в матрице коэффициентов корреляции, построенной с помощью выражения (</w:t>
      </w:r>
      <w:r w:rsidRPr="005750A8">
        <w:rPr>
          <w:noProof/>
          <w:color w:val="1F497D" w:themeColor="text2"/>
        </w:rPr>
        <w:fldChar w:fldCharType="begin"/>
      </w:r>
      <w:r w:rsidRPr="005750A8">
        <w:rPr>
          <w:noProof/>
          <w:color w:val="1F497D" w:themeColor="text2"/>
        </w:rPr>
        <w:instrText xml:space="preserve"> GOTOBUTTON GEQ152 </w:instrText>
      </w:r>
      <w:r w:rsidRPr="005750A8">
        <w:rPr>
          <w:noProof/>
          <w:color w:val="1F497D" w:themeColor="text2"/>
        </w:rPr>
        <w:fldChar w:fldCharType="begin"/>
      </w:r>
      <w:r w:rsidRPr="005750A8">
        <w:rPr>
          <w:noProof/>
          <w:color w:val="1F497D" w:themeColor="text2"/>
        </w:rPr>
        <w:instrText xml:space="preserve"> REF GEQ152 </w:instrText>
      </w:r>
      <w:r w:rsidRPr="005750A8">
        <w:rPr>
          <w:noProof/>
          <w:color w:val="1F497D" w:themeColor="text2"/>
        </w:rPr>
        <w:fldChar w:fldCharType="separate"/>
      </w:r>
      <w:r w:rsidRPr="005750A8">
        <w:rPr>
          <w:noProof/>
          <w:color w:val="1F497D" w:themeColor="text2"/>
        </w:rPr>
        <w:instrText>(??)</w:instrText>
      </w:r>
      <w:r w:rsidRPr="005750A8">
        <w:rPr>
          <w:noProof/>
          <w:color w:val="1F497D" w:themeColor="text2"/>
        </w:rPr>
        <w:fldChar w:fldCharType="end"/>
      </w:r>
      <w:r w:rsidRPr="005750A8">
        <w:rPr>
          <w:noProof/>
          <w:color w:val="1F497D" w:themeColor="text2"/>
        </w:rPr>
        <w:fldChar w:fldCharType="end"/>
      </w:r>
      <w:r w:rsidRPr="005750A8">
        <w:rPr>
          <w:noProof/>
          <w:color w:val="1F497D" w:themeColor="text2"/>
        </w:rPr>
        <w:t xml:space="preserve">), между элементами </w:t>
      </w:r>
      <w:r w:rsidRPr="005750A8">
        <w:rPr>
          <w:noProof/>
          <w:color w:val="1F497D" w:themeColor="text2"/>
          <w:position w:val="-10"/>
        </w:rPr>
        <w:object w:dxaOrig="680" w:dyaOrig="320">
          <v:shape id="_x0000_i1064" type="#_x0000_t75" style="width:33.75pt;height:15.75pt" o:ole="">
            <v:imagedata r:id="rId83" o:title=""/>
          </v:shape>
          <o:OLEObject Type="Embed" ProgID="Equation.3" ShapeID="_x0000_i1064" DrawAspect="Content" ObjectID="_1401324143" r:id="rId84"/>
        </w:object>
      </w:r>
      <w:r w:rsidRPr="005750A8">
        <w:rPr>
          <w:noProof/>
          <w:color w:val="1F497D" w:themeColor="text2"/>
        </w:rPr>
        <w:t xml:space="preserve"> и </w:t>
      </w:r>
      <w:r w:rsidRPr="005750A8">
        <w:rPr>
          <w:noProof/>
          <w:color w:val="1F497D" w:themeColor="text2"/>
          <w:position w:val="-10"/>
        </w:rPr>
        <w:object w:dxaOrig="740" w:dyaOrig="320">
          <v:shape id="_x0000_i1065" type="#_x0000_t75" style="width:36.75pt;height:15.75pt" o:ole="">
            <v:imagedata r:id="rId85" o:title=""/>
          </v:shape>
          <o:OLEObject Type="Embed" ProgID="Equation.3" ShapeID="_x0000_i1065" DrawAspect="Content" ObjectID="_1401324144" r:id="rId86"/>
        </w:object>
      </w:r>
      <w:r w:rsidRPr="005750A8">
        <w:rPr>
          <w:noProof/>
          <w:color w:val="1F497D" w:themeColor="text2"/>
        </w:rPr>
        <w:t xml:space="preserve">. В соответствии с принципом динамического программирования задача разбивается на элементарные операции, в данном случае для каждой точки </w:t>
      </w:r>
      <w:r w:rsidRPr="005750A8">
        <w:rPr>
          <w:noProof/>
          <w:color w:val="1F497D" w:themeColor="text2"/>
          <w:position w:val="-10"/>
        </w:rPr>
        <w:object w:dxaOrig="660" w:dyaOrig="320">
          <v:shape id="_x0000_i1066" type="#_x0000_t75" style="width:33pt;height:15.75pt" o:ole="">
            <v:imagedata r:id="rId87" o:title=""/>
          </v:shape>
          <o:OLEObject Type="Embed" ProgID="Equation.3" ShapeID="_x0000_i1066" DrawAspect="Content" ObjectID="_1401324145" r:id="rId88"/>
        </w:object>
      </w:r>
      <w:r w:rsidRPr="005750A8">
        <w:rPr>
          <w:noProof/>
          <w:color w:val="1F497D" w:themeColor="text2"/>
        </w:rPr>
        <w:t xml:space="preserve">, находящейся в окне </w:t>
      </w:r>
      <w:r w:rsidRPr="005750A8">
        <w:rPr>
          <w:noProof/>
          <w:color w:val="1F497D" w:themeColor="text2"/>
        </w:rPr>
        <w:lastRenderedPageBreak/>
        <w:t xml:space="preserve">выравнивания выбирается одно из трех возможных направлений перехода: </w:t>
      </w:r>
      <w:r w:rsidRPr="005750A8">
        <w:rPr>
          <w:noProof/>
          <w:color w:val="1F497D" w:themeColor="text2"/>
          <w:position w:val="-10"/>
        </w:rPr>
        <w:object w:dxaOrig="1420" w:dyaOrig="320">
          <v:shape id="_x0000_i1067" type="#_x0000_t75" style="width:71.25pt;height:15.75pt" o:ole="">
            <v:imagedata r:id="rId89" o:title=""/>
          </v:shape>
          <o:OLEObject Type="Embed" ProgID="Equation.3" ShapeID="_x0000_i1067" DrawAspect="Content" ObjectID="_1401324146" r:id="rId90"/>
        </w:object>
      </w:r>
      <w:r w:rsidRPr="005750A8">
        <w:rPr>
          <w:noProof/>
          <w:color w:val="1F497D" w:themeColor="text2"/>
        </w:rPr>
        <w:t xml:space="preserve">, </w:t>
      </w:r>
      <w:r w:rsidRPr="005750A8">
        <w:rPr>
          <w:noProof/>
          <w:color w:val="1F497D" w:themeColor="text2"/>
          <w:position w:val="-10"/>
        </w:rPr>
        <w:object w:dxaOrig="1400" w:dyaOrig="320">
          <v:shape id="_x0000_i1068" type="#_x0000_t75" style="width:69.75pt;height:15.75pt" o:ole="">
            <v:imagedata r:id="rId91" o:title=""/>
          </v:shape>
          <o:OLEObject Type="Embed" ProgID="Equation.3" ShapeID="_x0000_i1068" DrawAspect="Content" ObjectID="_1401324147" r:id="rId92"/>
        </w:object>
      </w:r>
      <w:r w:rsidRPr="005750A8">
        <w:rPr>
          <w:noProof/>
          <w:color w:val="1F497D" w:themeColor="text2"/>
        </w:rPr>
        <w:t xml:space="preserve"> или </w:t>
      </w:r>
      <w:r w:rsidRPr="005750A8">
        <w:rPr>
          <w:noProof/>
          <w:color w:val="1F497D" w:themeColor="text2"/>
          <w:position w:val="-10"/>
        </w:rPr>
        <w:object w:dxaOrig="1719" w:dyaOrig="320">
          <v:shape id="_x0000_i1069" type="#_x0000_t75" style="width:86.25pt;height:15.75pt" o:ole="">
            <v:imagedata r:id="rId93" o:title=""/>
          </v:shape>
          <o:OLEObject Type="Embed" ProgID="Equation.3" ShapeID="_x0000_i1069" DrawAspect="Content" ObjectID="_1401324148" r:id="rId94"/>
        </w:object>
      </w:r>
      <w:r w:rsidRPr="005750A8">
        <w:rPr>
          <w:noProof/>
          <w:color w:val="1F497D" w:themeColor="text2"/>
        </w:rPr>
        <w:t xml:space="preserve">, такое чтобы накопленная сумма значений </w:t>
      </w:r>
      <w:r w:rsidRPr="005750A8">
        <w:rPr>
          <w:noProof/>
          <w:color w:val="1F497D" w:themeColor="text2"/>
          <w:position w:val="-10"/>
        </w:rPr>
        <w:object w:dxaOrig="1460" w:dyaOrig="320">
          <v:shape id="_x0000_i1070" type="#_x0000_t75" style="width:72.75pt;height:15.75pt" o:ole="">
            <v:imagedata r:id="rId95" o:title=""/>
          </v:shape>
          <o:OLEObject Type="Embed" ProgID="Equation.3" ShapeID="_x0000_i1070" DrawAspect="Content" ObjectID="_1401324149" r:id="rId96"/>
        </w:object>
      </w:r>
      <w:r w:rsidRPr="005750A8">
        <w:rPr>
          <w:noProof/>
          <w:color w:val="1F497D" w:themeColor="text2"/>
        </w:rPr>
        <w:t xml:space="preserve"> была минимальной. Полученное минимальное значение </w:t>
      </w:r>
      <w:r w:rsidRPr="005750A8">
        <w:rPr>
          <w:noProof/>
          <w:color w:val="1F497D" w:themeColor="text2"/>
          <w:position w:val="-6"/>
        </w:rPr>
        <w:object w:dxaOrig="220" w:dyaOrig="279">
          <v:shape id="_x0000_i1071" type="#_x0000_t75" style="width:11.25pt;height:14.25pt" o:ole="">
            <v:imagedata r:id="rId97" o:title=""/>
          </v:shape>
          <o:OLEObject Type="Embed" ProgID="Equation.3" ShapeID="_x0000_i1071" DrawAspect="Content" ObjectID="_1401324150" r:id="rId98"/>
        </w:object>
      </w:r>
      <w:r w:rsidRPr="005750A8">
        <w:rPr>
          <w:noProof/>
          <w:color w:val="1F497D" w:themeColor="text2"/>
        </w:rPr>
        <w:t xml:space="preserve"> записывается в выбранный для перехода элемент, таким образом происходит накопление суммы. То есть в элемент </w:t>
      </w:r>
      <w:r w:rsidRPr="005750A8">
        <w:rPr>
          <w:noProof/>
          <w:color w:val="1F497D" w:themeColor="text2"/>
          <w:position w:val="-10"/>
        </w:rPr>
        <w:object w:dxaOrig="740" w:dyaOrig="320">
          <v:shape id="_x0000_i1072" type="#_x0000_t75" style="width:36.75pt;height:15.75pt" o:ole="">
            <v:imagedata r:id="rId99" o:title=""/>
          </v:shape>
          <o:OLEObject Type="Embed" ProgID="Equation.3" ShapeID="_x0000_i1072" DrawAspect="Content" ObjectID="_1401324151" r:id="rId100"/>
        </w:object>
      </w:r>
      <w:r w:rsidRPr="005750A8">
        <w:rPr>
          <w:noProof/>
          <w:color w:val="1F497D" w:themeColor="text2"/>
        </w:rPr>
        <w:t xml:space="preserve"> будет записана сумма значений матрицы </w:t>
      </w:r>
      <w:r w:rsidRPr="005750A8">
        <w:rPr>
          <w:noProof/>
          <w:color w:val="1F497D" w:themeColor="text2"/>
          <w:position w:val="-6"/>
        </w:rPr>
        <w:object w:dxaOrig="220" w:dyaOrig="279">
          <v:shape id="_x0000_i1073" type="#_x0000_t75" style="width:11.25pt;height:14.25pt" o:ole="">
            <v:imagedata r:id="rId101" o:title=""/>
          </v:shape>
          <o:OLEObject Type="Embed" ProgID="Equation.3" ShapeID="_x0000_i1073" DrawAspect="Content" ObjectID="_1401324152" r:id="rId102"/>
        </w:object>
      </w:r>
      <w:r w:rsidRPr="005750A8">
        <w:rPr>
          <w:noProof/>
          <w:color w:val="1F497D" w:themeColor="text2"/>
        </w:rPr>
        <w:t xml:space="preserve">, лежащих в точках кратчайшего пути. Чтобы использовать эту сумму в качестве меры схожести двух наборов коэффициентов, необходимо произвести ее нормировку. Для этого </w:t>
      </w:r>
      <w:r w:rsidRPr="005750A8">
        <w:rPr>
          <w:noProof/>
          <w:color w:val="1F497D" w:themeColor="text2"/>
          <w:position w:val="-10"/>
        </w:rPr>
        <w:object w:dxaOrig="740" w:dyaOrig="320">
          <v:shape id="_x0000_i1074" type="#_x0000_t75" style="width:36.75pt;height:15.75pt" o:ole="">
            <v:imagedata r:id="rId103" o:title=""/>
          </v:shape>
          <o:OLEObject Type="Embed" ProgID="Equation.3" ShapeID="_x0000_i1074" DrawAspect="Content" ObjectID="_1401324153" r:id="rId104"/>
        </w:object>
      </w:r>
      <w:r w:rsidRPr="005750A8">
        <w:rPr>
          <w:noProof/>
          <w:color w:val="1F497D" w:themeColor="text2"/>
        </w:rPr>
        <w:t xml:space="preserve"> делится на длину полученного кратчайшего пути, то есть количество шагов.</w:t>
      </w:r>
    </w:p>
    <w:p w:rsidR="005750A8" w:rsidRPr="005750A8" w:rsidRDefault="005750A8" w:rsidP="005750A8">
      <w:pPr>
        <w:pBdr>
          <w:bottom w:val="single" w:sz="6" w:space="1" w:color="auto"/>
          <w:between w:val="single" w:sz="6" w:space="1" w:color="auto"/>
        </w:pBdr>
      </w:pPr>
      <w:r>
        <w:t xml:space="preserve">На данном слайде можно видеть пример найденной функции </w:t>
      </w:r>
      <w:r>
        <w:rPr>
          <w:lang w:val="en-US"/>
        </w:rPr>
        <w:t>F</w:t>
      </w:r>
    </w:p>
    <w:p w:rsidR="005750A8" w:rsidRDefault="005750A8" w:rsidP="005750A8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>Для исследования данного алгоритма была составлена база эталонов из 10 слов (числительные от 0 до 9). В качестве исходного сигнала использовались записи речевого сигнала с частотой дискретизации 16 кГц и разрядностью кода 16 бит. Исследование вероятностей ошибочного принятия решения осуществлялось на основе анализа 10 повторений этих же числительных тем же диктором (100 образцов). В результате, на 100 повторений было обнаружено 2 ошибки распознавания, что позволяет говорить о достаточной степени точности выбранного алгоритма.</w:t>
      </w:r>
    </w:p>
    <w:p w:rsidR="005750A8" w:rsidRPr="005750A8" w:rsidRDefault="005750A8" w:rsidP="005750A8">
      <w:pPr>
        <w:pBdr>
          <w:bottom w:val="single" w:sz="6" w:space="1" w:color="auto"/>
          <w:between w:val="single" w:sz="6" w:space="1" w:color="auto"/>
        </w:pBdr>
      </w:pPr>
    </w:p>
    <w:p w:rsidR="005750A8" w:rsidRDefault="005750A8" w:rsidP="005750A8">
      <w:pPr>
        <w:tabs>
          <w:tab w:val="center" w:pos="4800"/>
          <w:tab w:val="right" w:pos="9500"/>
        </w:tabs>
        <w:jc w:val="both"/>
        <w:rPr>
          <w:lang w:val="en-US"/>
        </w:rPr>
      </w:pPr>
      <w:r>
        <w:rPr>
          <w:noProof/>
        </w:rPr>
        <w:t>К достоинствам выбранного алгоритма можно отнести достаточно высокую точность распонавания при работе с небольшим словарем, относительно небольшую сложность реализации и устойчивость к различиям в скорости произношения анализируемых слов. Однако, данный алгоритм обладает и рядом недостатков, таких как ограниченность размера используемого словаря, чувствительность к точности выделения слова из речевого потока и влиянию шумов.</w:t>
      </w:r>
    </w:p>
    <w:p w:rsidR="005750A8" w:rsidRDefault="005750A8" w:rsidP="005750A8">
      <w:pPr>
        <w:pBdr>
          <w:bottom w:val="single" w:sz="6" w:space="1" w:color="auto"/>
        </w:pBdr>
        <w:rPr>
          <w:lang w:val="en-US"/>
        </w:rPr>
      </w:pPr>
    </w:p>
    <w:p w:rsidR="005750A8" w:rsidRDefault="005750A8" w:rsidP="005750A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Так диаграмма значений меры различий для произнесенного слова &lt;&lt;четыре&gt;&gt;, представленная на рисунке </w:t>
      </w:r>
      <w:r w:rsidRPr="005750A8">
        <w:rPr>
          <w:noProof/>
        </w:rPr>
        <w:t>10</w:t>
      </w:r>
      <w:r>
        <w:rPr>
          <w:noProof/>
        </w:rPr>
        <w:t>а</w:t>
      </w:r>
      <w:r>
        <w:rPr>
          <w:noProof/>
        </w:rPr>
        <w:t>, меняется при добавлении к сигналу аддитивного белого гауссовского шума с отношением сигнал-шум, равным 60 дБ, к виду, представленному на рисунке</w:t>
      </w:r>
      <w:r>
        <w:rPr>
          <w:noProof/>
        </w:rPr>
        <w:t xml:space="preserve"> 10б</w:t>
      </w:r>
      <w:r>
        <w:rPr>
          <w:noProof/>
        </w:rPr>
        <w:t>. Из анализа диаграмм ясно, что принятие решения затруднено влиянием шума. Уменьшение отношения сигнал-шум до 40 дБ приводит диаграмму к виду, показанному на рисунке</w:t>
      </w:r>
      <w:r>
        <w:rPr>
          <w:noProof/>
        </w:rPr>
        <w:t xml:space="preserve"> 10в</w:t>
      </w:r>
      <w:r>
        <w:rPr>
          <w:noProof/>
        </w:rPr>
        <w:t>, где можно видеть ошибочно принятое решение.</w:t>
      </w:r>
    </w:p>
    <w:p w:rsidR="005750A8" w:rsidRPr="005750A8" w:rsidRDefault="005750A8" w:rsidP="005750A8"/>
    <w:p w:rsidR="00AB0E14" w:rsidRDefault="00AB0E14" w:rsidP="00AB0E14">
      <w:pPr>
        <w:pBdr>
          <w:top w:val="single" w:sz="6" w:space="1" w:color="auto"/>
          <w:bottom w:val="single" w:sz="6" w:space="1" w:color="auto"/>
        </w:pBdr>
        <w:rPr>
          <w:noProof/>
        </w:rPr>
      </w:pPr>
      <w:r>
        <w:rPr>
          <w:noProof/>
        </w:rPr>
        <w:t>Был проведен экспериментальный анализ зависимости точности распознавания от значения отношения сигнал-шум. Для этого вся база из 100 записанных слов сравнивалась с имеющимися эталонами, при этом в каждой итерации из 100 сравнений к анализируемым речевым сигналам добавлялся аддитивный гауссовский белый шум различной мощности. Результаты эксперимента приведены на рисунке</w:t>
      </w:r>
    </w:p>
    <w:p w:rsidR="00AB0E14" w:rsidRDefault="00AB0E14" w:rsidP="00AB0E14">
      <w:pPr>
        <w:pBdr>
          <w:top w:val="single" w:sz="6" w:space="1" w:color="auto"/>
          <w:bottom w:val="single" w:sz="6" w:space="1" w:color="auto"/>
        </w:pBdr>
        <w:rPr>
          <w:noProof/>
        </w:rPr>
      </w:pPr>
      <w:r>
        <w:rPr>
          <w:noProof/>
        </w:rPr>
        <w:t xml:space="preserve">Из рисунка видно, что даже при относительно высоких значениях отношения сигнал-шум, когда человек еще уверенно воспринимает произнесенные слова, используемый алгоритм показывает неприемлемо высокую вероятность ошибки распознавания. </w:t>
      </w:r>
    </w:p>
    <w:p w:rsidR="00AB0E14" w:rsidRPr="005750A8" w:rsidRDefault="00AB0E14" w:rsidP="005750A8">
      <w:pPr>
        <w:pBdr>
          <w:top w:val="single" w:sz="6" w:space="1" w:color="auto"/>
          <w:bottom w:val="single" w:sz="6" w:space="1" w:color="auto"/>
        </w:pBdr>
      </w:pPr>
    </w:p>
    <w:p w:rsidR="00AB0E14" w:rsidRDefault="00AB0E14" w:rsidP="00AB0E14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В ходе выполнения данной работы были решены все поставленные задачи. Изучены существующие подходы к решению проблемы распознавания устной речи, выбран, реализован и исследован один из применяемых алгоритмов.</w:t>
      </w:r>
    </w:p>
    <w:p w:rsidR="00AB0E14" w:rsidRDefault="00AB0E14" w:rsidP="00AB0E14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Модели речевых сигналов, использующиеся в системах распознавания речи, основываются на теории речеобразования и речевосприятия, поэтому основные теоретические понятия рассмотрены в первом разделе данной работы. Также в работе выполнен обзор основных методов, используемых для анализа сигналов в современных системах распознавания речи.</w:t>
      </w:r>
    </w:p>
    <w:p w:rsidR="00AB0E14" w:rsidRDefault="00AB0E14" w:rsidP="00AB0E14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Из существующих алгоритмов распознавания устной речи для подробного анализа выбран один --- алгоритм динамического трансформирования времени (DTW), основанный на принципах динамического программирования. Выбор данного алгоритма </w:t>
      </w:r>
      <w:r>
        <w:rPr>
          <w:noProof/>
        </w:rPr>
        <w:lastRenderedPageBreak/>
        <w:t>объясняется возможностью его практической реализации в рамках выпускной квалификационной работы, а также его непосредственной применимостью к задаче распознавания речевых команд в системах с небольшим словарем (до 50 слов). Другие известные алгоритмы, использующие, например, скрытые модели Маркова или нейронные сети, обычно, являются частью более сложных систем, реализация которых требует существенных затрат.</w:t>
      </w:r>
    </w:p>
    <w:p w:rsidR="00AB0E14" w:rsidRDefault="00AB0E14" w:rsidP="00AB0E14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Исследованный в работе алгоритм показал достаточно высокую точность (98%). При этом минимизировано влияние на точность распознавания громкости (за счет нормирования) и скорости произнесения (за счет методов динамического программирования). Наряду с достоинствами были выявлены и основные недостатки алгоритма, такие как низкая устойчивость к воздействию шумов. Вопросы дикторозависимости, которые не рассматривались в данной работе, могут быть предметом дальнейших исследований.</w:t>
      </w:r>
    </w:p>
    <w:p w:rsidR="005750A8" w:rsidRPr="005750A8" w:rsidRDefault="005750A8" w:rsidP="005750A8">
      <w:pPr>
        <w:pBdr>
          <w:bottom w:val="single" w:sz="6" w:space="1" w:color="auto"/>
        </w:pBdr>
      </w:pPr>
    </w:p>
    <w:sectPr w:rsidR="005750A8" w:rsidRPr="0057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DE"/>
    <w:rsid w:val="000D2CB5"/>
    <w:rsid w:val="00256FDE"/>
    <w:rsid w:val="005750A8"/>
    <w:rsid w:val="005C2346"/>
    <w:rsid w:val="008A38D4"/>
    <w:rsid w:val="00AB0E14"/>
    <w:rsid w:val="00C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FD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FD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2012-06-15T23:04:00Z</dcterms:created>
  <dcterms:modified xsi:type="dcterms:W3CDTF">2012-06-15T23:38:00Z</dcterms:modified>
</cp:coreProperties>
</file>