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Experimental Design for Production Use of</w:t>
        <w:br/>
        <w:t>Port-Out Fraud Sequence Model</w:t>
      </w:r>
    </w:p>
    <w:p>
      <w:pPr>
        <w:pStyle w:val="SubTitleStyle"/>
        <w:jc w:val="center"/>
      </w:pPr>
      <w:r>
        <w:t>Structured discussion note for Antony • 2-month experiment plan • baseline vs CNN vs ensemble vs score-as-feature</w:t>
      </w:r>
    </w:p>
    <w:p>
      <w:r>
        <w:drawing>
          <wp:inline xmlns:a="http://schemas.openxmlformats.org/drawingml/2006/main" xmlns:pic="http://schemas.openxmlformats.org/drawingml/2006/picture">
            <wp:extent cx="6126480" cy="1608201"/>
            <wp:docPr id="1" name="Picture 1"/>
            <wp:cNvGraphicFramePr>
              <a:graphicFrameLocks noChangeAspect="1"/>
            </wp:cNvGraphicFramePr>
            <a:graphic>
              <a:graphicData uri="http://schemas.openxmlformats.org/drawingml/2006/picture">
                <pic:pic>
                  <pic:nvPicPr>
                    <pic:cNvPr id="0" name="experiment_flow.png"/>
                    <pic:cNvPicPr/>
                  </pic:nvPicPr>
                  <pic:blipFill>
                    <a:blip r:embed="rId9"/>
                    <a:stretch>
                      <a:fillRect/>
                    </a:stretch>
                  </pic:blipFill>
                  <pic:spPr>
                    <a:xfrm>
                      <a:off x="0" y="0"/>
                      <a:ext cx="6126480" cy="1608201"/>
                    </a:xfrm>
                    <a:prstGeom prst="rect"/>
                  </pic:spPr>
                </pic:pic>
              </a:graphicData>
            </a:graphic>
          </wp:inline>
        </w:drawing>
      </w:r>
    </w:p>
    <w:p>
      <w:pPr>
        <w:jc w:val="center"/>
      </w:pPr>
      <w:r>
        <w:rPr>
          <w:i/>
          <w:sz w:val="17"/>
        </w:rPr>
        <w:t>Figure 1. End-to-end experiment flow for identifying the best production role of the sequence model.</w:t>
      </w:r>
    </w:p>
    <w:p>
      <w:r>
        <w:t>Prepared for discussion: production strategy experiment, not just model comparison. The goal is to determine where the CNN sequence model creates the most incremental business value: as a standalone model, as an ensemble, or as a feature generator for the existing LightGBM model.</w:t>
      </w:r>
    </w:p>
    <w:p>
      <w:pPr>
        <w:pStyle w:val="Heading1Custom"/>
      </w:pPr>
      <w:r>
        <w:t>1. What Antony is asking for</w:t>
      </w:r>
    </w:p>
    <w:p>
      <w:r>
        <w:t>Antony’s expectation is not only to check whether the new CNN sequence model performs well in isolation. He wants a structured experiment to determine the best way to use the sequence model in production alongside the existing 17-feature LightGBM model.</w:t>
      </w:r>
    </w:p>
    <w:p>
      <w:r>
        <w:t>In simple terms, the business question is: which production design catches the most true fraud while keeping false negatives low and maintaining an acceptable operational burden?</w:t>
      </w:r>
    </w:p>
    <w:p>
      <w:pPr>
        <w:pStyle w:val="Heading2Custom"/>
      </w:pPr>
      <w:r>
        <w:t>Decision options to compare</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156082"/>
          </w:tcPr>
          <w:p>
            <w:pPr>
              <w:spacing w:after="0"/>
              <w:jc w:val="left"/>
            </w:pPr>
            <w:r/>
            <w:r>
              <w:rPr>
                <w:rFonts w:ascii="Aptos" w:hAnsi="Aptos"/>
                <w:b/>
                <w:color w:val="FFFFFF"/>
                <w:sz w:val="19"/>
              </w:rPr>
              <w:t>Option</w:t>
            </w:r>
          </w:p>
        </w:tc>
        <w:tc>
          <w:tcPr>
            <w:tcW w:type="dxa" w:w="2578"/>
            <w:vAlign w:val="center"/>
            <w:shd w:fill="156082"/>
          </w:tcPr>
          <w:p>
            <w:pPr>
              <w:spacing w:after="0"/>
              <w:jc w:val="left"/>
            </w:pPr>
            <w:r/>
            <w:r>
              <w:rPr>
                <w:rFonts w:ascii="Aptos" w:hAnsi="Aptos"/>
                <w:b/>
                <w:color w:val="FFFFFF"/>
                <w:sz w:val="19"/>
              </w:rPr>
              <w:t>Description</w:t>
            </w:r>
          </w:p>
        </w:tc>
        <w:tc>
          <w:tcPr>
            <w:tcW w:type="dxa" w:w="2578"/>
            <w:vAlign w:val="center"/>
            <w:shd w:fill="156082"/>
          </w:tcPr>
          <w:p>
            <w:pPr>
              <w:spacing w:after="0"/>
              <w:jc w:val="left"/>
            </w:pPr>
            <w:r/>
            <w:r>
              <w:rPr>
                <w:rFonts w:ascii="Aptos" w:hAnsi="Aptos"/>
                <w:b/>
                <w:color w:val="FFFFFF"/>
                <w:sz w:val="19"/>
              </w:rPr>
              <w:t>Purpose</w:t>
            </w:r>
          </w:p>
        </w:tc>
        <w:tc>
          <w:tcPr>
            <w:tcW w:type="dxa" w:w="2578"/>
            <w:vAlign w:val="center"/>
            <w:shd w:fill="156082"/>
          </w:tcPr>
          <w:p>
            <w:pPr>
              <w:spacing w:after="0"/>
              <w:jc w:val="left"/>
            </w:pPr>
            <w:r/>
            <w:r>
              <w:rPr>
                <w:rFonts w:ascii="Aptos" w:hAnsi="Aptos"/>
                <w:b/>
                <w:color w:val="FFFFFF"/>
                <w:sz w:val="19"/>
              </w:rPr>
              <w:t>Production meaning</w:t>
            </w:r>
          </w:p>
        </w:tc>
      </w:tr>
      <w:tr>
        <w:tc>
          <w:tcPr>
            <w:tcW w:type="dxa" w:w="2578"/>
            <w:vAlign w:val="center"/>
          </w:tcPr>
          <w:p>
            <w:pPr>
              <w:spacing w:after="0"/>
              <w:jc w:val="left"/>
            </w:pPr>
            <w:r/>
            <w:r>
              <w:rPr>
                <w:rFonts w:ascii="Aptos" w:hAnsi="Aptos"/>
                <w:b w:val="0"/>
                <w:sz w:val="18"/>
              </w:rPr>
              <w:t>Model 1</w:t>
            </w:r>
          </w:p>
        </w:tc>
        <w:tc>
          <w:tcPr>
            <w:tcW w:type="dxa" w:w="2578"/>
            <w:vAlign w:val="center"/>
          </w:tcPr>
          <w:p>
            <w:pPr>
              <w:spacing w:after="0"/>
              <w:jc w:val="left"/>
            </w:pPr>
            <w:r/>
            <w:r>
              <w:rPr>
                <w:rFonts w:ascii="Aptos" w:hAnsi="Aptos"/>
                <w:b w:val="0"/>
                <w:sz w:val="18"/>
              </w:rPr>
              <w:t>17-feature LightGBM baseline</w:t>
            </w:r>
          </w:p>
        </w:tc>
        <w:tc>
          <w:tcPr>
            <w:tcW w:type="dxa" w:w="2578"/>
            <w:vAlign w:val="center"/>
          </w:tcPr>
          <w:p>
            <w:pPr>
              <w:spacing w:after="0"/>
              <w:jc w:val="left"/>
            </w:pPr>
            <w:r/>
            <w:r>
              <w:rPr>
                <w:rFonts w:ascii="Aptos" w:hAnsi="Aptos"/>
                <w:b w:val="0"/>
                <w:sz w:val="18"/>
              </w:rPr>
              <w:t>Current structured benchmark</w:t>
            </w:r>
          </w:p>
        </w:tc>
        <w:tc>
          <w:tcPr>
            <w:tcW w:type="dxa" w:w="2578"/>
            <w:vAlign w:val="center"/>
          </w:tcPr>
          <w:p>
            <w:pPr>
              <w:spacing w:after="0"/>
              <w:jc w:val="left"/>
            </w:pPr>
            <w:r/>
            <w:r>
              <w:rPr>
                <w:rFonts w:ascii="Aptos" w:hAnsi="Aptos"/>
                <w:b w:val="0"/>
                <w:sz w:val="18"/>
              </w:rPr>
              <w:t>Reference model</w:t>
            </w:r>
          </w:p>
        </w:tc>
      </w:tr>
      <w:tr>
        <w:tc>
          <w:tcPr>
            <w:tcW w:type="dxa" w:w="2578"/>
            <w:vAlign w:val="center"/>
          </w:tcPr>
          <w:p>
            <w:pPr>
              <w:spacing w:after="0"/>
              <w:jc w:val="left"/>
            </w:pPr>
            <w:r/>
            <w:r>
              <w:rPr>
                <w:rFonts w:ascii="Aptos" w:hAnsi="Aptos"/>
                <w:b w:val="0"/>
                <w:sz w:val="18"/>
              </w:rPr>
              <w:t>Model 2</w:t>
            </w:r>
          </w:p>
        </w:tc>
        <w:tc>
          <w:tcPr>
            <w:tcW w:type="dxa" w:w="2578"/>
            <w:vAlign w:val="center"/>
          </w:tcPr>
          <w:p>
            <w:pPr>
              <w:spacing w:after="0"/>
              <w:jc w:val="left"/>
            </w:pPr>
            <w:r/>
            <w:r>
              <w:rPr>
                <w:rFonts w:ascii="Aptos" w:hAnsi="Aptos"/>
                <w:b w:val="0"/>
                <w:sz w:val="18"/>
              </w:rPr>
              <w:t>CNN sequence model from memo sequence + time gaps</w:t>
            </w:r>
          </w:p>
        </w:tc>
        <w:tc>
          <w:tcPr>
            <w:tcW w:type="dxa" w:w="2578"/>
            <w:vAlign w:val="center"/>
          </w:tcPr>
          <w:p>
            <w:pPr>
              <w:spacing w:after="0"/>
              <w:jc w:val="left"/>
            </w:pPr>
            <w:r/>
            <w:r>
              <w:rPr>
                <w:rFonts w:ascii="Aptos" w:hAnsi="Aptos"/>
                <w:b w:val="0"/>
                <w:sz w:val="18"/>
              </w:rPr>
              <w:t>Measure standalone value of sequence behavior</w:t>
            </w:r>
          </w:p>
        </w:tc>
        <w:tc>
          <w:tcPr>
            <w:tcW w:type="dxa" w:w="2578"/>
            <w:vAlign w:val="center"/>
          </w:tcPr>
          <w:p>
            <w:pPr>
              <w:spacing w:after="0"/>
              <w:jc w:val="left"/>
            </w:pPr>
            <w:r/>
            <w:r>
              <w:rPr>
                <w:rFonts w:ascii="Aptos" w:hAnsi="Aptos"/>
                <w:b w:val="0"/>
                <w:sz w:val="18"/>
              </w:rPr>
              <w:t>Tests sequence signal</w:t>
            </w:r>
          </w:p>
        </w:tc>
      </w:tr>
      <w:tr>
        <w:tc>
          <w:tcPr>
            <w:tcW w:type="dxa" w:w="2578"/>
            <w:vAlign w:val="center"/>
          </w:tcPr>
          <w:p>
            <w:pPr>
              <w:spacing w:after="0"/>
              <w:jc w:val="left"/>
            </w:pPr>
            <w:r/>
            <w:r>
              <w:rPr>
                <w:rFonts w:ascii="Aptos" w:hAnsi="Aptos"/>
                <w:b w:val="0"/>
                <w:sz w:val="18"/>
              </w:rPr>
              <w:t>Model 3</w:t>
            </w:r>
          </w:p>
        </w:tc>
        <w:tc>
          <w:tcPr>
            <w:tcW w:type="dxa" w:w="2578"/>
            <w:vAlign w:val="center"/>
          </w:tcPr>
          <w:p>
            <w:pPr>
              <w:spacing w:after="0"/>
              <w:jc w:val="left"/>
            </w:pPr>
            <w:r/>
            <w:r>
              <w:rPr>
                <w:rFonts w:ascii="Aptos" w:hAnsi="Aptos"/>
                <w:b w:val="0"/>
                <w:sz w:val="18"/>
              </w:rPr>
              <w:t>Ensemble of LightGBM + CNN scores</w:t>
            </w:r>
          </w:p>
        </w:tc>
        <w:tc>
          <w:tcPr>
            <w:tcW w:type="dxa" w:w="2578"/>
            <w:vAlign w:val="center"/>
          </w:tcPr>
          <w:p>
            <w:pPr>
              <w:spacing w:after="0"/>
              <w:jc w:val="left"/>
            </w:pPr>
            <w:r/>
            <w:r>
              <w:rPr>
                <w:rFonts w:ascii="Aptos" w:hAnsi="Aptos"/>
                <w:b w:val="0"/>
                <w:sz w:val="18"/>
              </w:rPr>
              <w:t>Check complementary signal from both models</w:t>
            </w:r>
          </w:p>
        </w:tc>
        <w:tc>
          <w:tcPr>
            <w:tcW w:type="dxa" w:w="2578"/>
            <w:vAlign w:val="center"/>
          </w:tcPr>
          <w:p>
            <w:pPr>
              <w:spacing w:after="0"/>
              <w:jc w:val="left"/>
            </w:pPr>
            <w:r/>
            <w:r>
              <w:rPr>
                <w:rFonts w:ascii="Aptos" w:hAnsi="Aptos"/>
                <w:b w:val="0"/>
                <w:sz w:val="18"/>
              </w:rPr>
              <w:t>Two-model scoring</w:t>
            </w:r>
          </w:p>
        </w:tc>
      </w:tr>
      <w:tr>
        <w:tc>
          <w:tcPr>
            <w:tcW w:type="dxa" w:w="2578"/>
            <w:vAlign w:val="center"/>
          </w:tcPr>
          <w:p>
            <w:pPr>
              <w:spacing w:after="0"/>
              <w:jc w:val="left"/>
            </w:pPr>
            <w:r/>
            <w:r>
              <w:rPr>
                <w:rFonts w:ascii="Aptos" w:hAnsi="Aptos"/>
                <w:b w:val="0"/>
                <w:sz w:val="18"/>
              </w:rPr>
              <w:t>Model 4</w:t>
            </w:r>
          </w:p>
        </w:tc>
        <w:tc>
          <w:tcPr>
            <w:tcW w:type="dxa" w:w="2578"/>
            <w:vAlign w:val="center"/>
          </w:tcPr>
          <w:p>
            <w:pPr>
              <w:spacing w:after="0"/>
              <w:jc w:val="left"/>
            </w:pPr>
            <w:r/>
            <w:r>
              <w:rPr>
                <w:rFonts w:ascii="Aptos" w:hAnsi="Aptos"/>
                <w:b w:val="0"/>
                <w:sz w:val="18"/>
              </w:rPr>
              <w:t>CNN score added as new feature into LightGBM</w:t>
            </w:r>
          </w:p>
        </w:tc>
        <w:tc>
          <w:tcPr>
            <w:tcW w:type="dxa" w:w="2578"/>
            <w:vAlign w:val="center"/>
          </w:tcPr>
          <w:p>
            <w:pPr>
              <w:spacing w:after="0"/>
              <w:jc w:val="left"/>
            </w:pPr>
            <w:r/>
            <w:r>
              <w:rPr>
                <w:rFonts w:ascii="Aptos" w:hAnsi="Aptos"/>
                <w:b w:val="0"/>
                <w:sz w:val="18"/>
              </w:rPr>
              <w:t>Use sequence signal as an engineered feature</w:t>
            </w:r>
          </w:p>
        </w:tc>
        <w:tc>
          <w:tcPr>
            <w:tcW w:type="dxa" w:w="2578"/>
            <w:vAlign w:val="center"/>
          </w:tcPr>
          <w:p>
            <w:pPr>
              <w:spacing w:after="0"/>
              <w:jc w:val="left"/>
            </w:pPr>
            <w:r/>
            <w:r>
              <w:rPr>
                <w:rFonts w:ascii="Aptos" w:hAnsi="Aptos"/>
                <w:b w:val="0"/>
                <w:sz w:val="18"/>
              </w:rPr>
              <w:t>One final model with embedded sequence intelligence</w:t>
            </w:r>
          </w:p>
        </w:tc>
      </w:tr>
    </w:tbl>
    <w:p>
      <w:pPr>
        <w:pStyle w:val="Heading1Custom"/>
      </w:pPr>
      <w:r>
        <w:t>2. Working problem statement</w:t>
      </w:r>
    </w:p>
    <w:p>
      <w:r>
        <w:t>We currently have two different model families for port-out fraud prediction:</w:t>
      </w:r>
    </w:p>
    <w:p>
      <w:pPr>
        <w:spacing w:after="40"/>
        <w:ind w:left="317"/>
      </w:pPr>
      <w:r>
        <w:rPr>
          <w:b/>
        </w:rPr>
        <w:t xml:space="preserve">• </w:t>
      </w:r>
      <w:r>
        <w:t>A structured-feature model using 17 features with LightGBM.</w:t>
      </w:r>
    </w:p>
    <w:p>
      <w:pPr>
        <w:spacing w:after="40"/>
        <w:ind w:left="317"/>
      </w:pPr>
      <w:r>
        <w:rPr>
          <w:b/>
        </w:rPr>
        <w:t xml:space="preserve">• </w:t>
      </w:r>
      <w:r>
        <w:t>A sequence model built from memo types and time gaps, where gaps were transformed into bins and then modeled using a CNN-based sequence approach.</w:t>
      </w:r>
    </w:p>
    <w:p>
      <w:r>
        <w:t>The key experiment is to determine the best operational usage pattern for the sequence model. A strong AUC alone is not enough; the comparison must emphasize fraud-class recall, false negatives, and whether the sequence model catches fraud cases that the baseline misses.</w:t>
      </w:r>
    </w:p>
    <w:p>
      <w:pPr>
        <w:pStyle w:val="Heading1Custom"/>
      </w:pPr>
      <w:r>
        <w:t>3. Proposed 2-month data strategy</w:t>
      </w:r>
    </w:p>
    <w:p>
      <w:r>
        <w:t>Since Antony asked to use two months of data, the experiment should be time-based, not random. This keeps the setup closer to real production behavior and prevents future leakage into the training set.</w:t>
      </w:r>
    </w:p>
    <w:p>
      <w:pPr>
        <w:pStyle w:val="Heading2Custom"/>
      </w:pPr>
      <w:r>
        <w:t>Recommended split</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center"/>
            <w:shd w:fill="2F5597"/>
          </w:tcPr>
          <w:p>
            <w:pPr>
              <w:spacing w:after="0"/>
              <w:jc w:val="left"/>
            </w:pPr>
            <w:r/>
            <w:r>
              <w:rPr>
                <w:rFonts w:ascii="Aptos" w:hAnsi="Aptos"/>
                <w:b/>
                <w:color w:val="FFFFFF"/>
                <w:sz w:val="19"/>
              </w:rPr>
              <w:t>Period</w:t>
            </w:r>
          </w:p>
        </w:tc>
        <w:tc>
          <w:tcPr>
            <w:tcW w:type="dxa" w:w="2578"/>
            <w:vAlign w:val="center"/>
            <w:shd w:fill="2F5597"/>
          </w:tcPr>
          <w:p>
            <w:pPr>
              <w:spacing w:after="0"/>
              <w:jc w:val="left"/>
            </w:pPr>
            <w:r/>
            <w:r>
              <w:rPr>
                <w:rFonts w:ascii="Aptos" w:hAnsi="Aptos"/>
                <w:b/>
                <w:color w:val="FFFFFF"/>
                <w:sz w:val="19"/>
              </w:rPr>
              <w:t>Suggested use</w:t>
            </w:r>
          </w:p>
        </w:tc>
        <w:tc>
          <w:tcPr>
            <w:tcW w:type="dxa" w:w="2578"/>
            <w:vAlign w:val="center"/>
            <w:shd w:fill="2F5597"/>
          </w:tcPr>
          <w:p>
            <w:pPr>
              <w:spacing w:after="0"/>
              <w:jc w:val="left"/>
            </w:pPr>
            <w:r/>
            <w:r>
              <w:rPr>
                <w:rFonts w:ascii="Aptos" w:hAnsi="Aptos"/>
                <w:b/>
                <w:color w:val="FFFFFF"/>
                <w:sz w:val="19"/>
              </w:rPr>
              <w:t>Example proportion</w:t>
            </w:r>
          </w:p>
        </w:tc>
        <w:tc>
          <w:tcPr>
            <w:tcW w:type="dxa" w:w="2578"/>
            <w:vAlign w:val="center"/>
            <w:shd w:fill="2F5597"/>
          </w:tcPr>
          <w:p>
            <w:pPr>
              <w:spacing w:after="0"/>
              <w:jc w:val="left"/>
            </w:pPr>
            <w:r/>
            <w:r>
              <w:rPr>
                <w:rFonts w:ascii="Aptos" w:hAnsi="Aptos"/>
                <w:b/>
                <w:color w:val="FFFFFF"/>
                <w:sz w:val="19"/>
              </w:rPr>
              <w:t>Notes</w:t>
            </w:r>
          </w:p>
        </w:tc>
      </w:tr>
      <w:tr>
        <w:tc>
          <w:tcPr>
            <w:tcW w:type="dxa" w:w="2578"/>
            <w:vAlign w:val="center"/>
          </w:tcPr>
          <w:p>
            <w:pPr>
              <w:spacing w:after="0"/>
              <w:jc w:val="left"/>
            </w:pPr>
            <w:r/>
            <w:r>
              <w:rPr>
                <w:rFonts w:ascii="Aptos" w:hAnsi="Aptos"/>
                <w:b w:val="0"/>
                <w:sz w:val="18"/>
              </w:rPr>
              <w:t>Month 1</w:t>
            </w:r>
          </w:p>
        </w:tc>
        <w:tc>
          <w:tcPr>
            <w:tcW w:type="dxa" w:w="2578"/>
            <w:vAlign w:val="center"/>
          </w:tcPr>
          <w:p>
            <w:pPr>
              <w:spacing w:after="0"/>
              <w:jc w:val="left"/>
            </w:pPr>
            <w:r/>
            <w:r>
              <w:rPr>
                <w:rFonts w:ascii="Aptos" w:hAnsi="Aptos"/>
                <w:b w:val="0"/>
                <w:sz w:val="18"/>
              </w:rPr>
              <w:t>Training</w:t>
            </w:r>
          </w:p>
        </w:tc>
        <w:tc>
          <w:tcPr>
            <w:tcW w:type="dxa" w:w="2578"/>
            <w:vAlign w:val="center"/>
          </w:tcPr>
          <w:p>
            <w:pPr>
              <w:spacing w:after="0"/>
              <w:jc w:val="left"/>
            </w:pPr>
            <w:r/>
            <w:r>
              <w:rPr>
                <w:rFonts w:ascii="Aptos" w:hAnsi="Aptos"/>
                <w:b w:val="0"/>
                <w:sz w:val="18"/>
              </w:rPr>
              <w:t>~50%</w:t>
            </w:r>
          </w:p>
        </w:tc>
        <w:tc>
          <w:tcPr>
            <w:tcW w:type="dxa" w:w="2578"/>
            <w:vAlign w:val="center"/>
          </w:tcPr>
          <w:p>
            <w:pPr>
              <w:spacing w:after="0"/>
              <w:jc w:val="left"/>
            </w:pPr>
            <w:r/>
            <w:r>
              <w:rPr>
                <w:rFonts w:ascii="Aptos" w:hAnsi="Aptos"/>
                <w:b w:val="0"/>
                <w:sz w:val="18"/>
              </w:rPr>
              <w:t>Train LightGBM and CNN</w:t>
            </w:r>
          </w:p>
        </w:tc>
      </w:tr>
      <w:tr>
        <w:tc>
          <w:tcPr>
            <w:tcW w:type="dxa" w:w="2578"/>
            <w:vAlign w:val="center"/>
          </w:tcPr>
          <w:p>
            <w:pPr>
              <w:spacing w:after="0"/>
              <w:jc w:val="left"/>
            </w:pPr>
            <w:r/>
            <w:r>
              <w:rPr>
                <w:rFonts w:ascii="Aptos" w:hAnsi="Aptos"/>
                <w:b w:val="0"/>
                <w:sz w:val="18"/>
              </w:rPr>
              <w:t>First half of Month 2</w:t>
            </w:r>
          </w:p>
        </w:tc>
        <w:tc>
          <w:tcPr>
            <w:tcW w:type="dxa" w:w="2578"/>
            <w:vAlign w:val="center"/>
          </w:tcPr>
          <w:p>
            <w:pPr>
              <w:spacing w:after="0"/>
              <w:jc w:val="left"/>
            </w:pPr>
            <w:r/>
            <w:r>
              <w:rPr>
                <w:rFonts w:ascii="Aptos" w:hAnsi="Aptos"/>
                <w:b w:val="0"/>
                <w:sz w:val="18"/>
              </w:rPr>
              <w:t>Validation / threshold tuning</w:t>
            </w:r>
          </w:p>
        </w:tc>
        <w:tc>
          <w:tcPr>
            <w:tcW w:type="dxa" w:w="2578"/>
            <w:vAlign w:val="center"/>
          </w:tcPr>
          <w:p>
            <w:pPr>
              <w:spacing w:after="0"/>
              <w:jc w:val="left"/>
            </w:pPr>
            <w:r/>
            <w:r>
              <w:rPr>
                <w:rFonts w:ascii="Aptos" w:hAnsi="Aptos"/>
                <w:b w:val="0"/>
                <w:sz w:val="18"/>
              </w:rPr>
              <w:t>~25%</w:t>
            </w:r>
          </w:p>
        </w:tc>
        <w:tc>
          <w:tcPr>
            <w:tcW w:type="dxa" w:w="2578"/>
            <w:vAlign w:val="center"/>
          </w:tcPr>
          <w:p>
            <w:pPr>
              <w:spacing w:after="0"/>
              <w:jc w:val="left"/>
            </w:pPr>
            <w:r/>
            <w:r>
              <w:rPr>
                <w:rFonts w:ascii="Aptos" w:hAnsi="Aptos"/>
                <w:b w:val="0"/>
                <w:sz w:val="18"/>
              </w:rPr>
              <w:t>Tune thresholds, weights, and score-as-feature design</w:t>
            </w:r>
          </w:p>
        </w:tc>
      </w:tr>
      <w:tr>
        <w:tc>
          <w:tcPr>
            <w:tcW w:type="dxa" w:w="2578"/>
            <w:vAlign w:val="center"/>
          </w:tcPr>
          <w:p>
            <w:pPr>
              <w:spacing w:after="0"/>
              <w:jc w:val="left"/>
            </w:pPr>
            <w:r/>
            <w:r>
              <w:rPr>
                <w:rFonts w:ascii="Aptos" w:hAnsi="Aptos"/>
                <w:b w:val="0"/>
                <w:sz w:val="18"/>
              </w:rPr>
              <w:t>Second half of Month 2</w:t>
            </w:r>
          </w:p>
        </w:tc>
        <w:tc>
          <w:tcPr>
            <w:tcW w:type="dxa" w:w="2578"/>
            <w:vAlign w:val="center"/>
          </w:tcPr>
          <w:p>
            <w:pPr>
              <w:spacing w:after="0"/>
              <w:jc w:val="left"/>
            </w:pPr>
            <w:r/>
            <w:r>
              <w:rPr>
                <w:rFonts w:ascii="Aptos" w:hAnsi="Aptos"/>
                <w:b w:val="0"/>
                <w:sz w:val="18"/>
              </w:rPr>
              <w:t>Final holdout test</w:t>
            </w:r>
          </w:p>
        </w:tc>
        <w:tc>
          <w:tcPr>
            <w:tcW w:type="dxa" w:w="2578"/>
            <w:vAlign w:val="center"/>
          </w:tcPr>
          <w:p>
            <w:pPr>
              <w:spacing w:after="0"/>
              <w:jc w:val="left"/>
            </w:pPr>
            <w:r/>
            <w:r>
              <w:rPr>
                <w:rFonts w:ascii="Aptos" w:hAnsi="Aptos"/>
                <w:b w:val="0"/>
                <w:sz w:val="18"/>
              </w:rPr>
              <w:t>~25%</w:t>
            </w:r>
          </w:p>
        </w:tc>
        <w:tc>
          <w:tcPr>
            <w:tcW w:type="dxa" w:w="2578"/>
            <w:vAlign w:val="center"/>
          </w:tcPr>
          <w:p>
            <w:pPr>
              <w:spacing w:after="0"/>
              <w:jc w:val="left"/>
            </w:pPr>
            <w:r/>
            <w:r>
              <w:rPr>
                <w:rFonts w:ascii="Aptos" w:hAnsi="Aptos"/>
                <w:b w:val="0"/>
                <w:sz w:val="18"/>
              </w:rPr>
              <w:t>Use once for final recommendation</w:t>
            </w:r>
          </w:p>
        </w:tc>
      </w:tr>
    </w:tbl>
    <w:p>
      <w:r>
        <w:t>If volume is lower, the same two-month period can be split weekly rather than monthly. The important rule is to preserve chronology: earlier data for training, later data for validation and final testing.</w:t>
      </w:r>
    </w:p>
    <w:p>
      <w:pPr>
        <w:pStyle w:val="Heading2Custom"/>
      </w:pPr>
      <w:r>
        <w:t>Sample example with weekly windows</w:t>
      </w:r>
    </w:p>
    <w:p>
      <w:r>
        <w:t>Rough example for a 2-month study:</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vAlign w:val="center"/>
            <w:shd w:fill="156082"/>
          </w:tcPr>
          <w:p>
            <w:pPr>
              <w:spacing w:after="0"/>
              <w:jc w:val="left"/>
            </w:pPr>
            <w:r/>
            <w:r>
              <w:rPr>
                <w:rFonts w:ascii="Aptos" w:hAnsi="Aptos"/>
                <w:b/>
                <w:color w:val="FFFFFF"/>
                <w:sz w:val="19"/>
              </w:rPr>
              <w:t>Week range</w:t>
            </w:r>
          </w:p>
        </w:tc>
        <w:tc>
          <w:tcPr>
            <w:tcW w:type="dxa" w:w="2062"/>
            <w:vAlign w:val="center"/>
            <w:shd w:fill="156082"/>
          </w:tcPr>
          <w:p>
            <w:pPr>
              <w:spacing w:after="0"/>
              <w:jc w:val="left"/>
            </w:pPr>
            <w:r/>
            <w:r>
              <w:rPr>
                <w:rFonts w:ascii="Aptos" w:hAnsi="Aptos"/>
                <w:b/>
                <w:color w:val="FFFFFF"/>
                <w:sz w:val="19"/>
              </w:rPr>
              <w:t>Use</w:t>
            </w:r>
          </w:p>
        </w:tc>
        <w:tc>
          <w:tcPr>
            <w:tcW w:type="dxa" w:w="2062"/>
            <w:vAlign w:val="center"/>
            <w:shd w:fill="156082"/>
          </w:tcPr>
          <w:p>
            <w:pPr>
              <w:spacing w:after="0"/>
              <w:jc w:val="left"/>
            </w:pPr>
            <w:r/>
            <w:r>
              <w:rPr>
                <w:rFonts w:ascii="Aptos" w:hAnsi="Aptos"/>
                <w:b/>
                <w:color w:val="FFFFFF"/>
                <w:sz w:val="19"/>
              </w:rPr>
              <w:t>Model activity</w:t>
            </w:r>
          </w:p>
        </w:tc>
        <w:tc>
          <w:tcPr>
            <w:tcW w:type="dxa" w:w="2062"/>
            <w:vAlign w:val="center"/>
            <w:shd w:fill="156082"/>
          </w:tcPr>
          <w:p>
            <w:pPr>
              <w:spacing w:after="0"/>
              <w:jc w:val="left"/>
            </w:pPr>
            <w:r/>
            <w:r>
              <w:rPr>
                <w:rFonts w:ascii="Aptos" w:hAnsi="Aptos"/>
                <w:b/>
                <w:color w:val="FFFFFF"/>
                <w:sz w:val="19"/>
              </w:rPr>
              <w:t>Output</w:t>
            </w:r>
          </w:p>
        </w:tc>
        <w:tc>
          <w:tcPr>
            <w:tcW w:type="dxa" w:w="2062"/>
            <w:vAlign w:val="center"/>
            <w:shd w:fill="156082"/>
          </w:tcPr>
          <w:p>
            <w:pPr>
              <w:spacing w:after="0"/>
              <w:jc w:val="left"/>
            </w:pPr>
            <w:r/>
            <w:r>
              <w:rPr>
                <w:rFonts w:ascii="Aptos" w:hAnsi="Aptos"/>
                <w:b/>
                <w:color w:val="FFFFFF"/>
                <w:sz w:val="19"/>
              </w:rPr>
              <w:t>Why it matters</w:t>
            </w:r>
          </w:p>
        </w:tc>
      </w:tr>
      <w:tr>
        <w:tc>
          <w:tcPr>
            <w:tcW w:type="dxa" w:w="2062"/>
            <w:vAlign w:val="center"/>
          </w:tcPr>
          <w:p>
            <w:pPr>
              <w:spacing w:after="0"/>
              <w:jc w:val="left"/>
            </w:pPr>
            <w:r/>
            <w:r>
              <w:rPr>
                <w:rFonts w:ascii="Aptos" w:hAnsi="Aptos"/>
                <w:b w:val="0"/>
                <w:sz w:val="17"/>
              </w:rPr>
              <w:t>Weeks 1–4</w:t>
            </w:r>
          </w:p>
        </w:tc>
        <w:tc>
          <w:tcPr>
            <w:tcW w:type="dxa" w:w="2062"/>
            <w:vAlign w:val="center"/>
          </w:tcPr>
          <w:p>
            <w:pPr>
              <w:spacing w:after="0"/>
              <w:jc w:val="left"/>
            </w:pPr>
            <w:r/>
            <w:r>
              <w:rPr>
                <w:rFonts w:ascii="Aptos" w:hAnsi="Aptos"/>
                <w:b w:val="0"/>
                <w:sz w:val="17"/>
              </w:rPr>
              <w:t>Training</w:t>
            </w:r>
          </w:p>
        </w:tc>
        <w:tc>
          <w:tcPr>
            <w:tcW w:type="dxa" w:w="2062"/>
            <w:vAlign w:val="center"/>
          </w:tcPr>
          <w:p>
            <w:pPr>
              <w:spacing w:after="0"/>
              <w:jc w:val="left"/>
            </w:pPr>
            <w:r/>
            <w:r>
              <w:rPr>
                <w:rFonts w:ascii="Aptos" w:hAnsi="Aptos"/>
                <w:b w:val="0"/>
                <w:sz w:val="17"/>
              </w:rPr>
              <w:t>Train baseline LightGBM and CNN</w:t>
            </w:r>
          </w:p>
        </w:tc>
        <w:tc>
          <w:tcPr>
            <w:tcW w:type="dxa" w:w="2062"/>
            <w:vAlign w:val="center"/>
          </w:tcPr>
          <w:p>
            <w:pPr>
              <w:spacing w:after="0"/>
              <w:jc w:val="left"/>
            </w:pPr>
            <w:r/>
            <w:r>
              <w:rPr>
                <w:rFonts w:ascii="Aptos" w:hAnsi="Aptos"/>
                <w:b w:val="0"/>
                <w:sz w:val="17"/>
              </w:rPr>
              <w:t>Model weights</w:t>
            </w:r>
          </w:p>
        </w:tc>
        <w:tc>
          <w:tcPr>
            <w:tcW w:type="dxa" w:w="2062"/>
            <w:vAlign w:val="center"/>
          </w:tcPr>
          <w:p>
            <w:pPr>
              <w:spacing w:after="0"/>
              <w:jc w:val="left"/>
            </w:pPr>
            <w:r/>
            <w:r>
              <w:rPr>
                <w:rFonts w:ascii="Aptos" w:hAnsi="Aptos"/>
                <w:b w:val="0"/>
                <w:sz w:val="17"/>
              </w:rPr>
              <w:t>Learn core patterns</w:t>
            </w:r>
          </w:p>
        </w:tc>
      </w:tr>
      <w:tr>
        <w:tc>
          <w:tcPr>
            <w:tcW w:type="dxa" w:w="2062"/>
            <w:vAlign w:val="center"/>
          </w:tcPr>
          <w:p>
            <w:pPr>
              <w:spacing w:after="0"/>
              <w:jc w:val="left"/>
            </w:pPr>
            <w:r/>
            <w:r>
              <w:rPr>
                <w:rFonts w:ascii="Aptos" w:hAnsi="Aptos"/>
                <w:b w:val="0"/>
                <w:sz w:val="17"/>
              </w:rPr>
              <w:t>Weeks 5–6</w:t>
            </w:r>
          </w:p>
        </w:tc>
        <w:tc>
          <w:tcPr>
            <w:tcW w:type="dxa" w:w="2062"/>
            <w:vAlign w:val="center"/>
          </w:tcPr>
          <w:p>
            <w:pPr>
              <w:spacing w:after="0"/>
              <w:jc w:val="left"/>
            </w:pPr>
            <w:r/>
            <w:r>
              <w:rPr>
                <w:rFonts w:ascii="Aptos" w:hAnsi="Aptos"/>
                <w:b w:val="0"/>
                <w:sz w:val="17"/>
              </w:rPr>
              <w:t>Validation</w:t>
            </w:r>
          </w:p>
        </w:tc>
        <w:tc>
          <w:tcPr>
            <w:tcW w:type="dxa" w:w="2062"/>
            <w:vAlign w:val="center"/>
          </w:tcPr>
          <w:p>
            <w:pPr>
              <w:spacing w:after="0"/>
              <w:jc w:val="left"/>
            </w:pPr>
            <w:r/>
            <w:r>
              <w:rPr>
                <w:rFonts w:ascii="Aptos" w:hAnsi="Aptos"/>
                <w:b w:val="0"/>
                <w:sz w:val="17"/>
              </w:rPr>
              <w:t>Tune thresholds, weights, and sequence score design</w:t>
            </w:r>
          </w:p>
        </w:tc>
        <w:tc>
          <w:tcPr>
            <w:tcW w:type="dxa" w:w="2062"/>
            <w:vAlign w:val="center"/>
          </w:tcPr>
          <w:p>
            <w:pPr>
              <w:spacing w:after="0"/>
              <w:jc w:val="left"/>
            </w:pPr>
            <w:r/>
            <w:r>
              <w:rPr>
                <w:rFonts w:ascii="Aptos" w:hAnsi="Aptos"/>
                <w:b w:val="0"/>
                <w:sz w:val="17"/>
              </w:rPr>
              <w:t>Best operating point</w:t>
            </w:r>
          </w:p>
        </w:tc>
        <w:tc>
          <w:tcPr>
            <w:tcW w:type="dxa" w:w="2062"/>
            <w:vAlign w:val="center"/>
          </w:tcPr>
          <w:p>
            <w:pPr>
              <w:spacing w:after="0"/>
              <w:jc w:val="left"/>
            </w:pPr>
            <w:r/>
            <w:r>
              <w:rPr>
                <w:rFonts w:ascii="Aptos" w:hAnsi="Aptos"/>
                <w:b w:val="0"/>
                <w:sz w:val="17"/>
              </w:rPr>
              <w:t>Avoid overfit</w:t>
            </w:r>
          </w:p>
        </w:tc>
      </w:tr>
      <w:tr>
        <w:tc>
          <w:tcPr>
            <w:tcW w:type="dxa" w:w="2062"/>
            <w:vAlign w:val="center"/>
          </w:tcPr>
          <w:p>
            <w:pPr>
              <w:spacing w:after="0"/>
              <w:jc w:val="left"/>
            </w:pPr>
            <w:r/>
            <w:r>
              <w:rPr>
                <w:rFonts w:ascii="Aptos" w:hAnsi="Aptos"/>
                <w:b w:val="0"/>
                <w:sz w:val="17"/>
              </w:rPr>
              <w:t>Weeks 7–8</w:t>
            </w:r>
          </w:p>
        </w:tc>
        <w:tc>
          <w:tcPr>
            <w:tcW w:type="dxa" w:w="2062"/>
            <w:vAlign w:val="center"/>
          </w:tcPr>
          <w:p>
            <w:pPr>
              <w:spacing w:after="0"/>
              <w:jc w:val="left"/>
            </w:pPr>
            <w:r/>
            <w:r>
              <w:rPr>
                <w:rFonts w:ascii="Aptos" w:hAnsi="Aptos"/>
                <w:b w:val="0"/>
                <w:sz w:val="17"/>
              </w:rPr>
              <w:t>Final holdout</w:t>
            </w:r>
          </w:p>
        </w:tc>
        <w:tc>
          <w:tcPr>
            <w:tcW w:type="dxa" w:w="2062"/>
            <w:vAlign w:val="center"/>
          </w:tcPr>
          <w:p>
            <w:pPr>
              <w:spacing w:after="0"/>
              <w:jc w:val="left"/>
            </w:pPr>
            <w:r/>
            <w:r>
              <w:rPr>
                <w:rFonts w:ascii="Aptos" w:hAnsi="Aptos"/>
                <w:b w:val="0"/>
                <w:sz w:val="17"/>
              </w:rPr>
              <w:t>Run all four setups once</w:t>
            </w:r>
          </w:p>
        </w:tc>
        <w:tc>
          <w:tcPr>
            <w:tcW w:type="dxa" w:w="2062"/>
            <w:vAlign w:val="center"/>
          </w:tcPr>
          <w:p>
            <w:pPr>
              <w:spacing w:after="0"/>
              <w:jc w:val="left"/>
            </w:pPr>
            <w:r/>
            <w:r>
              <w:rPr>
                <w:rFonts w:ascii="Aptos" w:hAnsi="Aptos"/>
                <w:b w:val="0"/>
                <w:sz w:val="17"/>
              </w:rPr>
              <w:t>Comparable business metrics</w:t>
            </w:r>
          </w:p>
        </w:tc>
        <w:tc>
          <w:tcPr>
            <w:tcW w:type="dxa" w:w="2062"/>
            <w:vAlign w:val="center"/>
          </w:tcPr>
          <w:p>
            <w:pPr>
              <w:spacing w:after="0"/>
              <w:jc w:val="left"/>
            </w:pPr>
            <w:r/>
            <w:r>
              <w:rPr>
                <w:rFonts w:ascii="Aptos" w:hAnsi="Aptos"/>
                <w:b w:val="0"/>
                <w:sz w:val="17"/>
              </w:rPr>
              <w:t>Supports recommendation</w:t>
            </w:r>
          </w:p>
        </w:tc>
      </w:tr>
    </w:tbl>
    <w:p>
      <w:pPr>
        <w:pStyle w:val="Heading1Custom"/>
      </w:pPr>
      <w:r>
        <w:t>4. Experiment hypotheses</w:t>
      </w:r>
    </w:p>
    <w:p>
      <w:pPr>
        <w:spacing w:after="40"/>
        <w:ind w:left="317"/>
      </w:pPr>
      <w:r>
        <w:rPr>
          <w:b/>
        </w:rPr>
        <w:t xml:space="preserve">• </w:t>
      </w:r>
      <w:r>
        <w:t>H1: The CNN sequence model captures behavioral fraud patterns that are not fully represented by the 17 structured features.</w:t>
      </w:r>
    </w:p>
    <w:p>
      <w:pPr>
        <w:spacing w:after="40"/>
        <w:ind w:left="317"/>
      </w:pPr>
      <w:r>
        <w:rPr>
          <w:b/>
        </w:rPr>
        <w:t xml:space="preserve">• </w:t>
      </w:r>
      <w:r>
        <w:t>H2: An ensemble of LightGBM and CNN will improve fraud capture if both models detect different fraud populations.</w:t>
      </w:r>
    </w:p>
    <w:p>
      <w:pPr>
        <w:spacing w:after="40"/>
        <w:ind w:left="317"/>
      </w:pPr>
      <w:r>
        <w:rPr>
          <w:b/>
        </w:rPr>
        <w:t xml:space="preserve">• </w:t>
      </w:r>
      <w:r>
        <w:t>H3: CNN score as a new feature in LightGBM will provide a simpler production design while preserving part of the performance lift.</w:t>
      </w:r>
    </w:p>
    <w:p>
      <w:pPr>
        <w:spacing w:after="40"/>
        <w:ind w:left="317"/>
      </w:pPr>
      <w:r>
        <w:rPr>
          <w:b/>
        </w:rPr>
        <w:t xml:space="preserve">• </w:t>
      </w:r>
      <w:r>
        <w:t>H4: The best production choice should be driven by false negative reduction, not by accuracy alone.</w:t>
      </w:r>
    </w:p>
    <w:p>
      <w:pPr>
        <w:pStyle w:val="Heading1Custom"/>
      </w:pPr>
      <w:r>
        <w:t>5. Detailed experiment design</w:t>
      </w:r>
    </w:p>
    <w:p>
      <w:pPr>
        <w:pStyle w:val="Heading2Custom"/>
      </w:pPr>
      <w:r>
        <w:t>Step 1 — Fix one common label and one common evaluation frame</w:t>
      </w:r>
    </w:p>
    <w:p>
      <w:r>
        <w:t>All four setups must use the same port-out fraud label, memo logic, feature extraction window, same eligibility rules, and same time-based holdout. This ensures that every metric is comparable.</w:t>
      </w:r>
    </w:p>
    <w:p>
      <w:pPr>
        <w:pStyle w:val="Heading2Custom"/>
      </w:pPr>
      <w:r>
        <w:t>Step 2 — Build and score the two base models independently</w:t>
      </w:r>
    </w:p>
    <w:p>
      <w:r>
        <w:t>Run LightGBM and the CNN sequence model separately on the same validation and test windows. Capture probability scores for every eligible record so downstream comparison, threshold analysis, ensemble testing, and overlap analysis are possible.</w:t>
      </w:r>
    </w:p>
    <w:p>
      <w:pPr>
        <w:pStyle w:val="Heading2Custom"/>
      </w:pPr>
      <w:r>
        <w:t>Step 3 — Build the ensemble variants</w:t>
      </w:r>
    </w:p>
    <w:p>
      <w:r>
        <w:t>Start with simple score combinations: average probability, weighted average, max score, and a rule-based OR strategy. Use the validation period to pick the best ensemble configuration before testing on the holdout period.</w:t>
      </w:r>
    </w:p>
    <w:p>
      <w:pPr>
        <w:pStyle w:val="Heading2Custom"/>
      </w:pPr>
      <w:r>
        <w:t>Step 4 — Use the CNN score as a feature</w:t>
      </w:r>
    </w:p>
    <w:p>
      <w:r>
        <w:t>Generate the CNN score for each record and append it as a new feature to the structured model dataset. Retrain LightGBM with the original 17 features plus the sequence score and compare the result against the other options.</w:t>
      </w:r>
    </w:p>
    <w:p>
      <w:pPr>
        <w:pStyle w:val="Heading2Custom"/>
      </w:pPr>
      <w:r>
        <w:t>Step 5 — Perform error overlap analysis</w:t>
      </w:r>
    </w:p>
    <w:p>
      <w:r>
        <w:t>Identify fraud cases caught only by LightGBM, only by CNN, by both, and by neither. This tells us whether the sequence model brings incremental signal or simply duplicates the baseline.</w:t>
      </w:r>
    </w:p>
    <w:p>
      <w:pPr>
        <w:pStyle w:val="Heading1Custom"/>
      </w:pPr>
      <w:r>
        <w:t>6. Metrics Antony is likely expecting</w:t>
      </w:r>
    </w:p>
    <w:p>
      <w:r>
        <w:t>Because this is a fraud detection use case, the presentation should highlight fraud-class performance more than generic accuracy. The most important measures are shown below.</w:t>
      </w:r>
    </w:p>
    <w:tbl>
      <w:tblPr>
        <w:tblStyle w:val="TableGrid"/>
        <w:tblW w:type="auto" w:w="0"/>
        <w:tblLook w:firstColumn="1" w:firstRow="1" w:lastColumn="0" w:lastRow="0" w:noHBand="0" w:noVBand="1" w:val="04A0"/>
      </w:tblPr>
      <w:tblGrid>
        <w:gridCol w:w="3437"/>
        <w:gridCol w:w="3437"/>
        <w:gridCol w:w="3437"/>
      </w:tblGrid>
      <w:tr>
        <w:tc>
          <w:tcPr>
            <w:tcW w:type="dxa" w:w="3437"/>
            <w:vAlign w:val="center"/>
            <w:shd w:fill="2F5597"/>
          </w:tcPr>
          <w:p>
            <w:pPr>
              <w:spacing w:after="0"/>
              <w:jc w:val="left"/>
            </w:pPr>
            <w:r/>
            <w:r>
              <w:rPr>
                <w:rFonts w:ascii="Aptos" w:hAnsi="Aptos"/>
                <w:b/>
                <w:color w:val="FFFFFF"/>
                <w:sz w:val="19"/>
              </w:rPr>
              <w:t>Metric</w:t>
            </w:r>
          </w:p>
        </w:tc>
        <w:tc>
          <w:tcPr>
            <w:tcW w:type="dxa" w:w="3437"/>
            <w:vAlign w:val="center"/>
            <w:shd w:fill="2F5597"/>
          </w:tcPr>
          <w:p>
            <w:pPr>
              <w:spacing w:after="0"/>
              <w:jc w:val="left"/>
            </w:pPr>
            <w:r/>
            <w:r>
              <w:rPr>
                <w:rFonts w:ascii="Aptos" w:hAnsi="Aptos"/>
                <w:b/>
                <w:color w:val="FFFFFF"/>
                <w:sz w:val="19"/>
              </w:rPr>
              <w:t>Why it matters</w:t>
            </w:r>
          </w:p>
        </w:tc>
        <w:tc>
          <w:tcPr>
            <w:tcW w:type="dxa" w:w="3437"/>
            <w:vAlign w:val="center"/>
            <w:shd w:fill="2F5597"/>
          </w:tcPr>
          <w:p>
            <w:pPr>
              <w:spacing w:after="0"/>
              <w:jc w:val="left"/>
            </w:pPr>
            <w:r/>
            <w:r>
              <w:rPr>
                <w:rFonts w:ascii="Aptos" w:hAnsi="Aptos"/>
                <w:b/>
                <w:color w:val="FFFFFF"/>
                <w:sz w:val="19"/>
              </w:rPr>
              <w:t>Business explanation</w:t>
            </w:r>
          </w:p>
        </w:tc>
      </w:tr>
      <w:tr>
        <w:tc>
          <w:tcPr>
            <w:tcW w:type="dxa" w:w="3437"/>
            <w:vAlign w:val="center"/>
          </w:tcPr>
          <w:p>
            <w:pPr>
              <w:spacing w:after="0"/>
              <w:jc w:val="left"/>
            </w:pPr>
            <w:r/>
            <w:r>
              <w:rPr>
                <w:rFonts w:ascii="Aptos" w:hAnsi="Aptos"/>
                <w:b w:val="0"/>
                <w:sz w:val="17"/>
              </w:rPr>
              <w:t>Recall (fraud class)</w:t>
            </w:r>
          </w:p>
        </w:tc>
        <w:tc>
          <w:tcPr>
            <w:tcW w:type="dxa" w:w="3437"/>
            <w:vAlign w:val="center"/>
          </w:tcPr>
          <w:p>
            <w:pPr>
              <w:spacing w:after="0"/>
              <w:jc w:val="left"/>
            </w:pPr>
            <w:r/>
            <w:r>
              <w:rPr>
                <w:rFonts w:ascii="Aptos" w:hAnsi="Aptos"/>
                <w:b w:val="0"/>
                <w:sz w:val="17"/>
              </w:rPr>
              <w:t>Directly measures how many actual frauds were caught</w:t>
            </w:r>
          </w:p>
        </w:tc>
        <w:tc>
          <w:tcPr>
            <w:tcW w:type="dxa" w:w="3437"/>
            <w:vAlign w:val="center"/>
          </w:tcPr>
          <w:p>
            <w:pPr>
              <w:spacing w:after="0"/>
              <w:jc w:val="left"/>
            </w:pPr>
            <w:r/>
            <w:r>
              <w:rPr>
                <w:rFonts w:ascii="Aptos" w:hAnsi="Aptos"/>
                <w:b w:val="0"/>
                <w:sz w:val="17"/>
              </w:rPr>
              <w:t>Higher recall means fewer frauds missed</w:t>
            </w:r>
          </w:p>
        </w:tc>
      </w:tr>
      <w:tr>
        <w:tc>
          <w:tcPr>
            <w:tcW w:type="dxa" w:w="3437"/>
            <w:vAlign w:val="center"/>
          </w:tcPr>
          <w:p>
            <w:pPr>
              <w:spacing w:after="0"/>
              <w:jc w:val="left"/>
            </w:pPr>
            <w:r/>
            <w:r>
              <w:rPr>
                <w:rFonts w:ascii="Aptos" w:hAnsi="Aptos"/>
                <w:b w:val="0"/>
                <w:sz w:val="17"/>
              </w:rPr>
              <w:t>False Negatives</w:t>
            </w:r>
          </w:p>
        </w:tc>
        <w:tc>
          <w:tcPr>
            <w:tcW w:type="dxa" w:w="3437"/>
            <w:vAlign w:val="center"/>
          </w:tcPr>
          <w:p>
            <w:pPr>
              <w:spacing w:after="0"/>
              <w:jc w:val="left"/>
            </w:pPr>
            <w:r/>
            <w:r>
              <w:rPr>
                <w:rFonts w:ascii="Aptos" w:hAnsi="Aptos"/>
                <w:b w:val="0"/>
                <w:sz w:val="17"/>
              </w:rPr>
              <w:t>Most important missed-fraud indicator</w:t>
            </w:r>
          </w:p>
        </w:tc>
        <w:tc>
          <w:tcPr>
            <w:tcW w:type="dxa" w:w="3437"/>
            <w:vAlign w:val="center"/>
          </w:tcPr>
          <w:p>
            <w:pPr>
              <w:spacing w:after="0"/>
              <w:jc w:val="left"/>
            </w:pPr>
            <w:r/>
            <w:r>
              <w:rPr>
                <w:rFonts w:ascii="Aptos" w:hAnsi="Aptos"/>
                <w:b w:val="0"/>
                <w:sz w:val="17"/>
              </w:rPr>
              <w:t>How many fraud cases escaped detection</w:t>
            </w:r>
          </w:p>
        </w:tc>
      </w:tr>
      <w:tr>
        <w:tc>
          <w:tcPr>
            <w:tcW w:type="dxa" w:w="3437"/>
            <w:vAlign w:val="center"/>
          </w:tcPr>
          <w:p>
            <w:pPr>
              <w:spacing w:after="0"/>
              <w:jc w:val="left"/>
            </w:pPr>
            <w:r/>
            <w:r>
              <w:rPr>
                <w:rFonts w:ascii="Aptos" w:hAnsi="Aptos"/>
                <w:b w:val="0"/>
                <w:sz w:val="17"/>
              </w:rPr>
              <w:t>True Positives</w:t>
            </w:r>
          </w:p>
        </w:tc>
        <w:tc>
          <w:tcPr>
            <w:tcW w:type="dxa" w:w="3437"/>
            <w:vAlign w:val="center"/>
          </w:tcPr>
          <w:p>
            <w:pPr>
              <w:spacing w:after="0"/>
              <w:jc w:val="left"/>
            </w:pPr>
            <w:r/>
            <w:r>
              <w:rPr>
                <w:rFonts w:ascii="Aptos" w:hAnsi="Aptos"/>
                <w:b w:val="0"/>
                <w:sz w:val="17"/>
              </w:rPr>
              <w:t>Shows actual frauds successfully captured</w:t>
            </w:r>
          </w:p>
        </w:tc>
        <w:tc>
          <w:tcPr>
            <w:tcW w:type="dxa" w:w="3437"/>
            <w:vAlign w:val="center"/>
          </w:tcPr>
          <w:p>
            <w:pPr>
              <w:spacing w:after="0"/>
              <w:jc w:val="left"/>
            </w:pPr>
            <w:r/>
            <w:r>
              <w:rPr>
                <w:rFonts w:ascii="Aptos" w:hAnsi="Aptos"/>
                <w:b w:val="0"/>
                <w:sz w:val="17"/>
              </w:rPr>
              <w:t>How many risky cases we intercepted</w:t>
            </w:r>
          </w:p>
        </w:tc>
      </w:tr>
      <w:tr>
        <w:tc>
          <w:tcPr>
            <w:tcW w:type="dxa" w:w="3437"/>
            <w:vAlign w:val="center"/>
          </w:tcPr>
          <w:p>
            <w:pPr>
              <w:spacing w:after="0"/>
              <w:jc w:val="left"/>
            </w:pPr>
            <w:r/>
            <w:r>
              <w:rPr>
                <w:rFonts w:ascii="Aptos" w:hAnsi="Aptos"/>
                <w:b w:val="0"/>
                <w:sz w:val="17"/>
              </w:rPr>
              <w:t>Precision</w:t>
            </w:r>
          </w:p>
        </w:tc>
        <w:tc>
          <w:tcPr>
            <w:tcW w:type="dxa" w:w="3437"/>
            <w:vAlign w:val="center"/>
          </w:tcPr>
          <w:p>
            <w:pPr>
              <w:spacing w:after="0"/>
              <w:jc w:val="left"/>
            </w:pPr>
            <w:r/>
            <w:r>
              <w:rPr>
                <w:rFonts w:ascii="Aptos" w:hAnsi="Aptos"/>
                <w:b w:val="0"/>
                <w:sz w:val="17"/>
              </w:rPr>
              <w:t>Controls alert quality and operational burden</w:t>
            </w:r>
          </w:p>
        </w:tc>
        <w:tc>
          <w:tcPr>
            <w:tcW w:type="dxa" w:w="3437"/>
            <w:vAlign w:val="center"/>
          </w:tcPr>
          <w:p>
            <w:pPr>
              <w:spacing w:after="0"/>
              <w:jc w:val="left"/>
            </w:pPr>
            <w:r/>
            <w:r>
              <w:rPr>
                <w:rFonts w:ascii="Aptos" w:hAnsi="Aptos"/>
                <w:b w:val="0"/>
                <w:sz w:val="17"/>
              </w:rPr>
              <w:t>Of the cases flagged, how many were really fraud</w:t>
            </w:r>
          </w:p>
        </w:tc>
      </w:tr>
      <w:tr>
        <w:tc>
          <w:tcPr>
            <w:tcW w:type="dxa" w:w="3437"/>
            <w:vAlign w:val="center"/>
          </w:tcPr>
          <w:p>
            <w:pPr>
              <w:spacing w:after="0"/>
              <w:jc w:val="left"/>
            </w:pPr>
            <w:r/>
            <w:r>
              <w:rPr>
                <w:rFonts w:ascii="Aptos" w:hAnsi="Aptos"/>
                <w:b w:val="0"/>
                <w:sz w:val="17"/>
              </w:rPr>
              <w:t>PR-AUC</w:t>
            </w:r>
          </w:p>
        </w:tc>
        <w:tc>
          <w:tcPr>
            <w:tcW w:type="dxa" w:w="3437"/>
            <w:vAlign w:val="center"/>
          </w:tcPr>
          <w:p>
            <w:pPr>
              <w:spacing w:after="0"/>
              <w:jc w:val="left"/>
            </w:pPr>
            <w:r/>
            <w:r>
              <w:rPr>
                <w:rFonts w:ascii="Aptos" w:hAnsi="Aptos"/>
                <w:b w:val="0"/>
                <w:sz w:val="17"/>
              </w:rPr>
              <w:t>Useful for imbalanced fraud datasets</w:t>
            </w:r>
          </w:p>
        </w:tc>
        <w:tc>
          <w:tcPr>
            <w:tcW w:type="dxa" w:w="3437"/>
            <w:vAlign w:val="center"/>
          </w:tcPr>
          <w:p>
            <w:pPr>
              <w:spacing w:after="0"/>
              <w:jc w:val="left"/>
            </w:pPr>
            <w:r/>
            <w:r>
              <w:rPr>
                <w:rFonts w:ascii="Aptos" w:hAnsi="Aptos"/>
                <w:b w:val="0"/>
                <w:sz w:val="17"/>
              </w:rPr>
              <w:t>Better than accuracy for minority class</w:t>
            </w:r>
          </w:p>
        </w:tc>
      </w:tr>
      <w:tr>
        <w:tc>
          <w:tcPr>
            <w:tcW w:type="dxa" w:w="3437"/>
            <w:vAlign w:val="center"/>
          </w:tcPr>
          <w:p>
            <w:pPr>
              <w:spacing w:after="0"/>
              <w:jc w:val="left"/>
            </w:pPr>
            <w:r/>
            <w:r>
              <w:rPr>
                <w:rFonts w:ascii="Aptos" w:hAnsi="Aptos"/>
                <w:b w:val="0"/>
                <w:sz w:val="17"/>
              </w:rPr>
              <w:t>Confusion Matrix</w:t>
            </w:r>
          </w:p>
        </w:tc>
        <w:tc>
          <w:tcPr>
            <w:tcW w:type="dxa" w:w="3437"/>
            <w:vAlign w:val="center"/>
          </w:tcPr>
          <w:p>
            <w:pPr>
              <w:spacing w:after="0"/>
              <w:jc w:val="left"/>
            </w:pPr>
            <w:r/>
            <w:r>
              <w:rPr>
                <w:rFonts w:ascii="Aptos" w:hAnsi="Aptos"/>
                <w:b w:val="0"/>
                <w:sz w:val="17"/>
              </w:rPr>
              <w:t>Gives TP / FP / TN / FN in one view</w:t>
            </w:r>
          </w:p>
        </w:tc>
        <w:tc>
          <w:tcPr>
            <w:tcW w:type="dxa" w:w="3437"/>
            <w:vAlign w:val="center"/>
          </w:tcPr>
          <w:p>
            <w:pPr>
              <w:spacing w:after="0"/>
              <w:jc w:val="left"/>
            </w:pPr>
            <w:r/>
            <w:r>
              <w:rPr>
                <w:rFonts w:ascii="Aptos" w:hAnsi="Aptos"/>
                <w:b w:val="0"/>
                <w:sz w:val="17"/>
              </w:rPr>
              <w:t>Shows business trade-offs clearly</w:t>
            </w:r>
          </w:p>
        </w:tc>
      </w:tr>
    </w:tbl>
    <w:p>
      <w:pPr>
        <w:pStyle w:val="Heading2Custom"/>
      </w:pPr>
      <w:r>
        <w:t>Threshold analysis</w:t>
      </w:r>
    </w:p>
    <w:p>
      <w:r>
        <w:t>Do not compare only at the default threshold of 0.50. Use the validation period to create three operating points for each model: a high-recall setting, a balanced setting, and a high-precision setting. This makes the production recommendation more credible.</w:t>
      </w:r>
    </w:p>
    <w:p>
      <w:r>
        <w:t>Example threshold reporting table for the final presentation:</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1289"/>
            <w:vAlign w:val="center"/>
            <w:shd w:fill="156082"/>
          </w:tcPr>
          <w:p>
            <w:pPr>
              <w:spacing w:after="0"/>
              <w:jc w:val="left"/>
            </w:pPr>
            <w:r/>
            <w:r>
              <w:rPr>
                <w:rFonts w:ascii="Aptos" w:hAnsi="Aptos"/>
                <w:b/>
                <w:color w:val="FFFFFF"/>
                <w:sz w:val="18"/>
              </w:rPr>
              <w:t>Model</w:t>
            </w:r>
          </w:p>
        </w:tc>
        <w:tc>
          <w:tcPr>
            <w:tcW w:type="dxa" w:w="1289"/>
            <w:vAlign w:val="center"/>
            <w:shd w:fill="156082"/>
          </w:tcPr>
          <w:p>
            <w:pPr>
              <w:spacing w:after="0"/>
              <w:jc w:val="left"/>
            </w:pPr>
            <w:r/>
            <w:r>
              <w:rPr>
                <w:rFonts w:ascii="Aptos" w:hAnsi="Aptos"/>
                <w:b/>
                <w:color w:val="FFFFFF"/>
                <w:sz w:val="18"/>
              </w:rPr>
              <w:t>Threshold</w:t>
            </w:r>
          </w:p>
        </w:tc>
        <w:tc>
          <w:tcPr>
            <w:tcW w:type="dxa" w:w="1289"/>
            <w:vAlign w:val="center"/>
            <w:shd w:fill="156082"/>
          </w:tcPr>
          <w:p>
            <w:pPr>
              <w:spacing w:after="0"/>
              <w:jc w:val="left"/>
            </w:pPr>
            <w:r/>
            <w:r>
              <w:rPr>
                <w:rFonts w:ascii="Aptos" w:hAnsi="Aptos"/>
                <w:b/>
                <w:color w:val="FFFFFF"/>
                <w:sz w:val="18"/>
              </w:rPr>
              <w:t>TP</w:t>
            </w:r>
          </w:p>
        </w:tc>
        <w:tc>
          <w:tcPr>
            <w:tcW w:type="dxa" w:w="1289"/>
            <w:vAlign w:val="center"/>
            <w:shd w:fill="156082"/>
          </w:tcPr>
          <w:p>
            <w:pPr>
              <w:spacing w:after="0"/>
              <w:jc w:val="left"/>
            </w:pPr>
            <w:r/>
            <w:r>
              <w:rPr>
                <w:rFonts w:ascii="Aptos" w:hAnsi="Aptos"/>
                <w:b/>
                <w:color w:val="FFFFFF"/>
                <w:sz w:val="18"/>
              </w:rPr>
              <w:t>FN</w:t>
            </w:r>
          </w:p>
        </w:tc>
        <w:tc>
          <w:tcPr>
            <w:tcW w:type="dxa" w:w="1289"/>
            <w:vAlign w:val="center"/>
            <w:shd w:fill="156082"/>
          </w:tcPr>
          <w:p>
            <w:pPr>
              <w:spacing w:after="0"/>
              <w:jc w:val="left"/>
            </w:pPr>
            <w:r/>
            <w:r>
              <w:rPr>
                <w:rFonts w:ascii="Aptos" w:hAnsi="Aptos"/>
                <w:b/>
                <w:color w:val="FFFFFF"/>
                <w:sz w:val="18"/>
              </w:rPr>
              <w:t>FP</w:t>
            </w:r>
          </w:p>
        </w:tc>
        <w:tc>
          <w:tcPr>
            <w:tcW w:type="dxa" w:w="1289"/>
            <w:vAlign w:val="center"/>
            <w:shd w:fill="156082"/>
          </w:tcPr>
          <w:p>
            <w:pPr>
              <w:spacing w:after="0"/>
              <w:jc w:val="left"/>
            </w:pPr>
            <w:r/>
            <w:r>
              <w:rPr>
                <w:rFonts w:ascii="Aptos" w:hAnsi="Aptos"/>
                <w:b/>
                <w:color w:val="FFFFFF"/>
                <w:sz w:val="18"/>
              </w:rPr>
              <w:t>Recall</w:t>
            </w:r>
          </w:p>
        </w:tc>
        <w:tc>
          <w:tcPr>
            <w:tcW w:type="dxa" w:w="1289"/>
            <w:vAlign w:val="center"/>
            <w:shd w:fill="156082"/>
          </w:tcPr>
          <w:p>
            <w:pPr>
              <w:spacing w:after="0"/>
              <w:jc w:val="left"/>
            </w:pPr>
            <w:r/>
            <w:r>
              <w:rPr>
                <w:rFonts w:ascii="Aptos" w:hAnsi="Aptos"/>
                <w:b/>
                <w:color w:val="FFFFFF"/>
                <w:sz w:val="18"/>
              </w:rPr>
              <w:t>Precision</w:t>
            </w:r>
          </w:p>
        </w:tc>
        <w:tc>
          <w:tcPr>
            <w:tcW w:type="dxa" w:w="1289"/>
            <w:vAlign w:val="center"/>
            <w:shd w:fill="156082"/>
          </w:tcPr>
          <w:p>
            <w:pPr>
              <w:spacing w:after="0"/>
              <w:jc w:val="left"/>
            </w:pPr>
            <w:r/>
            <w:r>
              <w:rPr>
                <w:rFonts w:ascii="Aptos" w:hAnsi="Aptos"/>
                <w:b/>
                <w:color w:val="FFFFFF"/>
                <w:sz w:val="18"/>
              </w:rPr>
              <w:t>Comment</w:t>
            </w:r>
          </w:p>
        </w:tc>
      </w:tr>
      <w:tr>
        <w:tc>
          <w:tcPr>
            <w:tcW w:type="dxa" w:w="1289"/>
            <w:vAlign w:val="center"/>
          </w:tcPr>
          <w:p>
            <w:pPr>
              <w:spacing w:after="0"/>
              <w:jc w:val="left"/>
            </w:pPr>
            <w:r/>
            <w:r>
              <w:rPr>
                <w:rFonts w:ascii="Aptos" w:hAnsi="Aptos"/>
                <w:b w:val="0"/>
                <w:sz w:val="16"/>
              </w:rPr>
              <w:t>LightGBM baseline</w:t>
            </w:r>
          </w:p>
        </w:tc>
        <w:tc>
          <w:tcPr>
            <w:tcW w:type="dxa" w:w="1289"/>
            <w:vAlign w:val="center"/>
          </w:tcPr>
          <w:p>
            <w:pPr>
              <w:spacing w:after="0"/>
              <w:jc w:val="left"/>
            </w:pPr>
            <w:r/>
            <w:r>
              <w:rPr>
                <w:rFonts w:ascii="Aptos" w:hAnsi="Aptos"/>
                <w:b w:val="0"/>
                <w:sz w:val="16"/>
              </w:rPr>
              <w:t>0.50</w:t>
            </w:r>
          </w:p>
        </w:tc>
        <w:tc>
          <w:tcPr>
            <w:tcW w:type="dxa" w:w="1289"/>
            <w:vAlign w:val="center"/>
          </w:tcPr>
          <w:p>
            <w:pPr>
              <w:spacing w:after="0"/>
              <w:jc w:val="left"/>
            </w:pPr>
            <w:r/>
            <w:r>
              <w:rPr>
                <w:rFonts w:ascii="Aptos" w:hAnsi="Aptos"/>
                <w:b w:val="0"/>
                <w:sz w:val="16"/>
              </w:rPr>
              <w:t>74</w:t>
            </w:r>
          </w:p>
        </w:tc>
        <w:tc>
          <w:tcPr>
            <w:tcW w:type="dxa" w:w="1289"/>
            <w:vAlign w:val="center"/>
          </w:tcPr>
          <w:p>
            <w:pPr>
              <w:spacing w:after="0"/>
              <w:jc w:val="left"/>
            </w:pPr>
            <w:r/>
            <w:r>
              <w:rPr>
                <w:rFonts w:ascii="Aptos" w:hAnsi="Aptos"/>
                <w:b w:val="0"/>
                <w:sz w:val="16"/>
              </w:rPr>
              <w:t>26</w:t>
            </w:r>
          </w:p>
        </w:tc>
        <w:tc>
          <w:tcPr>
            <w:tcW w:type="dxa" w:w="1289"/>
            <w:vAlign w:val="center"/>
          </w:tcPr>
          <w:p>
            <w:pPr>
              <w:spacing w:after="0"/>
              <w:jc w:val="left"/>
            </w:pPr>
            <w:r/>
            <w:r>
              <w:rPr>
                <w:rFonts w:ascii="Aptos" w:hAnsi="Aptos"/>
                <w:b w:val="0"/>
                <w:sz w:val="16"/>
              </w:rPr>
              <w:t>30</w:t>
            </w:r>
          </w:p>
        </w:tc>
        <w:tc>
          <w:tcPr>
            <w:tcW w:type="dxa" w:w="1289"/>
            <w:vAlign w:val="center"/>
          </w:tcPr>
          <w:p>
            <w:pPr>
              <w:spacing w:after="0"/>
              <w:jc w:val="left"/>
            </w:pPr>
            <w:r/>
            <w:r>
              <w:rPr>
                <w:rFonts w:ascii="Aptos" w:hAnsi="Aptos"/>
                <w:b w:val="0"/>
                <w:sz w:val="16"/>
              </w:rPr>
              <w:t>74%</w:t>
            </w:r>
          </w:p>
        </w:tc>
        <w:tc>
          <w:tcPr>
            <w:tcW w:type="dxa" w:w="1289"/>
            <w:vAlign w:val="center"/>
          </w:tcPr>
          <w:p>
            <w:pPr>
              <w:spacing w:after="0"/>
              <w:jc w:val="left"/>
            </w:pPr>
            <w:r/>
            <w:r>
              <w:rPr>
                <w:rFonts w:ascii="Aptos" w:hAnsi="Aptos"/>
                <w:b w:val="0"/>
                <w:sz w:val="16"/>
              </w:rPr>
              <w:t>71%</w:t>
            </w:r>
          </w:p>
        </w:tc>
        <w:tc>
          <w:tcPr>
            <w:tcW w:type="dxa" w:w="1289"/>
            <w:vAlign w:val="center"/>
          </w:tcPr>
          <w:p>
            <w:pPr>
              <w:spacing w:after="0"/>
              <w:jc w:val="left"/>
            </w:pPr>
            <w:r/>
            <w:r>
              <w:rPr>
                <w:rFonts w:ascii="Aptos" w:hAnsi="Aptos"/>
                <w:b w:val="0"/>
                <w:sz w:val="16"/>
              </w:rPr>
              <w:t>Reference point</w:t>
            </w:r>
          </w:p>
        </w:tc>
      </w:tr>
      <w:tr>
        <w:tc>
          <w:tcPr>
            <w:tcW w:type="dxa" w:w="1289"/>
            <w:vAlign w:val="center"/>
          </w:tcPr>
          <w:p>
            <w:pPr>
              <w:spacing w:after="0"/>
              <w:jc w:val="left"/>
            </w:pPr>
            <w:r/>
            <w:r>
              <w:rPr>
                <w:rFonts w:ascii="Aptos" w:hAnsi="Aptos"/>
                <w:b w:val="0"/>
                <w:sz w:val="16"/>
              </w:rPr>
              <w:t>CNN sequence</w:t>
            </w:r>
          </w:p>
        </w:tc>
        <w:tc>
          <w:tcPr>
            <w:tcW w:type="dxa" w:w="1289"/>
            <w:vAlign w:val="center"/>
          </w:tcPr>
          <w:p>
            <w:pPr>
              <w:spacing w:after="0"/>
              <w:jc w:val="left"/>
            </w:pPr>
            <w:r/>
            <w:r>
              <w:rPr>
                <w:rFonts w:ascii="Aptos" w:hAnsi="Aptos"/>
                <w:b w:val="0"/>
                <w:sz w:val="16"/>
              </w:rPr>
              <w:t>0.50</w:t>
            </w:r>
          </w:p>
        </w:tc>
        <w:tc>
          <w:tcPr>
            <w:tcW w:type="dxa" w:w="1289"/>
            <w:vAlign w:val="center"/>
          </w:tcPr>
          <w:p>
            <w:pPr>
              <w:spacing w:after="0"/>
              <w:jc w:val="left"/>
            </w:pPr>
            <w:r/>
            <w:r>
              <w:rPr>
                <w:rFonts w:ascii="Aptos" w:hAnsi="Aptos"/>
                <w:b w:val="0"/>
                <w:sz w:val="16"/>
              </w:rPr>
              <w:t>69</w:t>
            </w:r>
          </w:p>
        </w:tc>
        <w:tc>
          <w:tcPr>
            <w:tcW w:type="dxa" w:w="1289"/>
            <w:vAlign w:val="center"/>
          </w:tcPr>
          <w:p>
            <w:pPr>
              <w:spacing w:after="0"/>
              <w:jc w:val="left"/>
            </w:pPr>
            <w:r/>
            <w:r>
              <w:rPr>
                <w:rFonts w:ascii="Aptos" w:hAnsi="Aptos"/>
                <w:b w:val="0"/>
                <w:sz w:val="16"/>
              </w:rPr>
              <w:t>31</w:t>
            </w:r>
          </w:p>
        </w:tc>
        <w:tc>
          <w:tcPr>
            <w:tcW w:type="dxa" w:w="1289"/>
            <w:vAlign w:val="center"/>
          </w:tcPr>
          <w:p>
            <w:pPr>
              <w:spacing w:after="0"/>
              <w:jc w:val="left"/>
            </w:pPr>
            <w:r/>
            <w:r>
              <w:rPr>
                <w:rFonts w:ascii="Aptos" w:hAnsi="Aptos"/>
                <w:b w:val="0"/>
                <w:sz w:val="16"/>
              </w:rPr>
              <w:t>22</w:t>
            </w:r>
          </w:p>
        </w:tc>
        <w:tc>
          <w:tcPr>
            <w:tcW w:type="dxa" w:w="1289"/>
            <w:vAlign w:val="center"/>
          </w:tcPr>
          <w:p>
            <w:pPr>
              <w:spacing w:after="0"/>
              <w:jc w:val="left"/>
            </w:pPr>
            <w:r/>
            <w:r>
              <w:rPr>
                <w:rFonts w:ascii="Aptos" w:hAnsi="Aptos"/>
                <w:b w:val="0"/>
                <w:sz w:val="16"/>
              </w:rPr>
              <w:t>69%</w:t>
            </w:r>
          </w:p>
        </w:tc>
        <w:tc>
          <w:tcPr>
            <w:tcW w:type="dxa" w:w="1289"/>
            <w:vAlign w:val="center"/>
          </w:tcPr>
          <w:p>
            <w:pPr>
              <w:spacing w:after="0"/>
              <w:jc w:val="left"/>
            </w:pPr>
            <w:r/>
            <w:r>
              <w:rPr>
                <w:rFonts w:ascii="Aptos" w:hAnsi="Aptos"/>
                <w:b w:val="0"/>
                <w:sz w:val="16"/>
              </w:rPr>
              <w:t>76%</w:t>
            </w:r>
          </w:p>
        </w:tc>
        <w:tc>
          <w:tcPr>
            <w:tcW w:type="dxa" w:w="1289"/>
            <w:vAlign w:val="center"/>
          </w:tcPr>
          <w:p>
            <w:pPr>
              <w:spacing w:after="0"/>
              <w:jc w:val="left"/>
            </w:pPr>
            <w:r/>
            <w:r>
              <w:rPr>
                <w:rFonts w:ascii="Aptos" w:hAnsi="Aptos"/>
                <w:b w:val="0"/>
                <w:sz w:val="16"/>
              </w:rPr>
              <w:t>Lower recall, cleaner alerts</w:t>
            </w:r>
          </w:p>
        </w:tc>
      </w:tr>
      <w:tr>
        <w:tc>
          <w:tcPr>
            <w:tcW w:type="dxa" w:w="1289"/>
            <w:vAlign w:val="center"/>
          </w:tcPr>
          <w:p>
            <w:pPr>
              <w:spacing w:after="0"/>
              <w:jc w:val="left"/>
            </w:pPr>
            <w:r/>
            <w:r>
              <w:rPr>
                <w:rFonts w:ascii="Aptos" w:hAnsi="Aptos"/>
                <w:b w:val="0"/>
                <w:sz w:val="16"/>
              </w:rPr>
              <w:t>Ensemble</w:t>
            </w:r>
          </w:p>
        </w:tc>
        <w:tc>
          <w:tcPr>
            <w:tcW w:type="dxa" w:w="1289"/>
            <w:vAlign w:val="center"/>
          </w:tcPr>
          <w:p>
            <w:pPr>
              <w:spacing w:after="0"/>
              <w:jc w:val="left"/>
            </w:pPr>
            <w:r/>
            <w:r>
              <w:rPr>
                <w:rFonts w:ascii="Aptos" w:hAnsi="Aptos"/>
                <w:b w:val="0"/>
                <w:sz w:val="16"/>
              </w:rPr>
              <w:t>0.47</w:t>
            </w:r>
          </w:p>
        </w:tc>
        <w:tc>
          <w:tcPr>
            <w:tcW w:type="dxa" w:w="1289"/>
            <w:vAlign w:val="center"/>
          </w:tcPr>
          <w:p>
            <w:pPr>
              <w:spacing w:after="0"/>
              <w:jc w:val="left"/>
            </w:pPr>
            <w:r/>
            <w:r>
              <w:rPr>
                <w:rFonts w:ascii="Aptos" w:hAnsi="Aptos"/>
                <w:b w:val="0"/>
                <w:sz w:val="16"/>
              </w:rPr>
              <w:t>82</w:t>
            </w:r>
          </w:p>
        </w:tc>
        <w:tc>
          <w:tcPr>
            <w:tcW w:type="dxa" w:w="1289"/>
            <w:vAlign w:val="center"/>
          </w:tcPr>
          <w:p>
            <w:pPr>
              <w:spacing w:after="0"/>
              <w:jc w:val="left"/>
            </w:pPr>
            <w:r/>
            <w:r>
              <w:rPr>
                <w:rFonts w:ascii="Aptos" w:hAnsi="Aptos"/>
                <w:b w:val="0"/>
                <w:sz w:val="16"/>
              </w:rPr>
              <w:t>18</w:t>
            </w:r>
          </w:p>
        </w:tc>
        <w:tc>
          <w:tcPr>
            <w:tcW w:type="dxa" w:w="1289"/>
            <w:vAlign w:val="center"/>
          </w:tcPr>
          <w:p>
            <w:pPr>
              <w:spacing w:after="0"/>
              <w:jc w:val="left"/>
            </w:pPr>
            <w:r/>
            <w:r>
              <w:rPr>
                <w:rFonts w:ascii="Aptos" w:hAnsi="Aptos"/>
                <w:b w:val="0"/>
                <w:sz w:val="16"/>
              </w:rPr>
              <w:t>38</w:t>
            </w:r>
          </w:p>
        </w:tc>
        <w:tc>
          <w:tcPr>
            <w:tcW w:type="dxa" w:w="1289"/>
            <w:vAlign w:val="center"/>
          </w:tcPr>
          <w:p>
            <w:pPr>
              <w:spacing w:after="0"/>
              <w:jc w:val="left"/>
            </w:pPr>
            <w:r/>
            <w:r>
              <w:rPr>
                <w:rFonts w:ascii="Aptos" w:hAnsi="Aptos"/>
                <w:b w:val="0"/>
                <w:sz w:val="16"/>
              </w:rPr>
              <w:t>82%</w:t>
            </w:r>
          </w:p>
        </w:tc>
        <w:tc>
          <w:tcPr>
            <w:tcW w:type="dxa" w:w="1289"/>
            <w:vAlign w:val="center"/>
          </w:tcPr>
          <w:p>
            <w:pPr>
              <w:spacing w:after="0"/>
              <w:jc w:val="left"/>
            </w:pPr>
            <w:r/>
            <w:r>
              <w:rPr>
                <w:rFonts w:ascii="Aptos" w:hAnsi="Aptos"/>
                <w:b w:val="0"/>
                <w:sz w:val="16"/>
              </w:rPr>
              <w:t>68%</w:t>
            </w:r>
          </w:p>
        </w:tc>
        <w:tc>
          <w:tcPr>
            <w:tcW w:type="dxa" w:w="1289"/>
            <w:vAlign w:val="center"/>
          </w:tcPr>
          <w:p>
            <w:pPr>
              <w:spacing w:after="0"/>
              <w:jc w:val="left"/>
            </w:pPr>
            <w:r/>
            <w:r>
              <w:rPr>
                <w:rFonts w:ascii="Aptos" w:hAnsi="Aptos"/>
                <w:b w:val="0"/>
                <w:sz w:val="16"/>
              </w:rPr>
              <w:t>Best fraud capture</w:t>
            </w:r>
          </w:p>
        </w:tc>
      </w:tr>
      <w:tr>
        <w:tc>
          <w:tcPr>
            <w:tcW w:type="dxa" w:w="1289"/>
            <w:vAlign w:val="center"/>
          </w:tcPr>
          <w:p>
            <w:pPr>
              <w:spacing w:after="0"/>
              <w:jc w:val="left"/>
            </w:pPr>
            <w:r/>
            <w:r>
              <w:rPr>
                <w:rFonts w:ascii="Aptos" w:hAnsi="Aptos"/>
                <w:b w:val="0"/>
                <w:sz w:val="16"/>
              </w:rPr>
              <w:t>LGBM + CNN score</w:t>
            </w:r>
          </w:p>
        </w:tc>
        <w:tc>
          <w:tcPr>
            <w:tcW w:type="dxa" w:w="1289"/>
            <w:vAlign w:val="center"/>
          </w:tcPr>
          <w:p>
            <w:pPr>
              <w:spacing w:after="0"/>
              <w:jc w:val="left"/>
            </w:pPr>
            <w:r/>
            <w:r>
              <w:rPr>
                <w:rFonts w:ascii="Aptos" w:hAnsi="Aptos"/>
                <w:b w:val="0"/>
                <w:sz w:val="16"/>
              </w:rPr>
              <w:t>0.50</w:t>
            </w:r>
          </w:p>
        </w:tc>
        <w:tc>
          <w:tcPr>
            <w:tcW w:type="dxa" w:w="1289"/>
            <w:vAlign w:val="center"/>
          </w:tcPr>
          <w:p>
            <w:pPr>
              <w:spacing w:after="0"/>
              <w:jc w:val="left"/>
            </w:pPr>
            <w:r/>
            <w:r>
              <w:rPr>
                <w:rFonts w:ascii="Aptos" w:hAnsi="Aptos"/>
                <w:b w:val="0"/>
                <w:sz w:val="16"/>
              </w:rPr>
              <w:t>79</w:t>
            </w:r>
          </w:p>
        </w:tc>
        <w:tc>
          <w:tcPr>
            <w:tcW w:type="dxa" w:w="1289"/>
            <w:vAlign w:val="center"/>
          </w:tcPr>
          <w:p>
            <w:pPr>
              <w:spacing w:after="0"/>
              <w:jc w:val="left"/>
            </w:pPr>
            <w:r/>
            <w:r>
              <w:rPr>
                <w:rFonts w:ascii="Aptos" w:hAnsi="Aptos"/>
                <w:b w:val="0"/>
                <w:sz w:val="16"/>
              </w:rPr>
              <w:t>21</w:t>
            </w:r>
          </w:p>
        </w:tc>
        <w:tc>
          <w:tcPr>
            <w:tcW w:type="dxa" w:w="1289"/>
            <w:vAlign w:val="center"/>
          </w:tcPr>
          <w:p>
            <w:pPr>
              <w:spacing w:after="0"/>
              <w:jc w:val="left"/>
            </w:pPr>
            <w:r/>
            <w:r>
              <w:rPr>
                <w:rFonts w:ascii="Aptos" w:hAnsi="Aptos"/>
                <w:b w:val="0"/>
                <w:sz w:val="16"/>
              </w:rPr>
              <w:t>29</w:t>
            </w:r>
          </w:p>
        </w:tc>
        <w:tc>
          <w:tcPr>
            <w:tcW w:type="dxa" w:w="1289"/>
            <w:vAlign w:val="center"/>
          </w:tcPr>
          <w:p>
            <w:pPr>
              <w:spacing w:after="0"/>
              <w:jc w:val="left"/>
            </w:pPr>
            <w:r/>
            <w:r>
              <w:rPr>
                <w:rFonts w:ascii="Aptos" w:hAnsi="Aptos"/>
                <w:b w:val="0"/>
                <w:sz w:val="16"/>
              </w:rPr>
              <w:t>79%</w:t>
            </w:r>
          </w:p>
        </w:tc>
        <w:tc>
          <w:tcPr>
            <w:tcW w:type="dxa" w:w="1289"/>
            <w:vAlign w:val="center"/>
          </w:tcPr>
          <w:p>
            <w:pPr>
              <w:spacing w:after="0"/>
              <w:jc w:val="left"/>
            </w:pPr>
            <w:r/>
            <w:r>
              <w:rPr>
                <w:rFonts w:ascii="Aptos" w:hAnsi="Aptos"/>
                <w:b w:val="0"/>
                <w:sz w:val="16"/>
              </w:rPr>
              <w:t>73%</w:t>
            </w:r>
          </w:p>
        </w:tc>
        <w:tc>
          <w:tcPr>
            <w:tcW w:type="dxa" w:w="1289"/>
            <w:vAlign w:val="center"/>
          </w:tcPr>
          <w:p>
            <w:pPr>
              <w:spacing w:after="0"/>
              <w:jc w:val="left"/>
            </w:pPr>
            <w:r/>
            <w:r>
              <w:rPr>
                <w:rFonts w:ascii="Aptos" w:hAnsi="Aptos"/>
                <w:b w:val="0"/>
                <w:sz w:val="16"/>
              </w:rPr>
              <w:t>Good balance, simpler deployment</w:t>
            </w:r>
          </w:p>
        </w:tc>
      </w:tr>
    </w:tbl>
    <w:p>
      <w:r>
        <w:t>The numbers above are rough placeholders only. Replace them with actual results from the two-month test.</w:t>
      </w:r>
    </w:p>
    <w:p>
      <w:pPr>
        <w:pStyle w:val="Heading1Custom"/>
      </w:pPr>
      <w:r>
        <w:t>7. Error overlap analysis — the most important insight</w:t>
      </w:r>
    </w:p>
    <w:p>
      <w:r>
        <w:t>AUC alone cannot show whether the CNN is truly adding incremental value. The strongest evidence for using the sequence model in production will be one of the following:</w:t>
      </w:r>
    </w:p>
    <w:p>
      <w:pPr>
        <w:spacing w:after="40"/>
        <w:ind w:left="317"/>
      </w:pPr>
      <w:r>
        <w:rPr>
          <w:b/>
        </w:rPr>
        <w:t xml:space="preserve">• </w:t>
      </w:r>
      <w:r>
        <w:t>The CNN catches fraud accounts that the LightGBM baseline misses.</w:t>
      </w:r>
    </w:p>
    <w:p>
      <w:pPr>
        <w:spacing w:after="40"/>
        <w:ind w:left="317"/>
      </w:pPr>
      <w:r>
        <w:rPr>
          <w:b/>
        </w:rPr>
        <w:t xml:space="preserve">• </w:t>
      </w:r>
      <w:r>
        <w:t>The ensemble materially reduces false negatives versus the baseline.</w:t>
      </w:r>
    </w:p>
    <w:p>
      <w:pPr>
        <w:spacing w:after="40"/>
        <w:ind w:left="317"/>
      </w:pPr>
      <w:r>
        <w:rPr>
          <w:b/>
        </w:rPr>
        <w:t xml:space="preserve">• </w:t>
      </w:r>
      <w:r>
        <w:t>The CNN score improves LightGBM without creating a large false-positive jump.</w:t>
      </w:r>
    </w:p>
    <w:p>
      <w:r>
        <w:t>For tomorrow’s discussion, propose a four-way overlap table: fraud caught by both, fraud caught only by LightGBM, fraud caught only by CNN, and fraud missed by both.</w:t>
      </w:r>
    </w:p>
    <w:p>
      <w:pPr>
        <w:pStyle w:val="Heading1Custom"/>
      </w:pPr>
      <w:r>
        <w:t>8. Production decision framework</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center"/>
            <w:shd w:fill="2F5597"/>
          </w:tcPr>
          <w:p>
            <w:pPr>
              <w:spacing w:after="0"/>
              <w:jc w:val="left"/>
            </w:pPr>
            <w:r/>
            <w:r>
              <w:rPr>
                <w:rFonts w:ascii="Aptos" w:hAnsi="Aptos"/>
                <w:b/>
                <w:color w:val="FFFFFF"/>
                <w:sz w:val="19"/>
              </w:rPr>
              <w:t>If result looks like this...</w:t>
            </w:r>
          </w:p>
        </w:tc>
        <w:tc>
          <w:tcPr>
            <w:tcW w:type="dxa" w:w="2578"/>
            <w:vAlign w:val="center"/>
            <w:shd w:fill="2F5597"/>
          </w:tcPr>
          <w:p>
            <w:pPr>
              <w:spacing w:after="0"/>
              <w:jc w:val="left"/>
            </w:pPr>
            <w:r/>
            <w:r>
              <w:rPr>
                <w:rFonts w:ascii="Aptos" w:hAnsi="Aptos"/>
                <w:b/>
                <w:color w:val="FFFFFF"/>
                <w:sz w:val="19"/>
              </w:rPr>
              <w:t>Likely recommendation</w:t>
            </w:r>
          </w:p>
        </w:tc>
        <w:tc>
          <w:tcPr>
            <w:tcW w:type="dxa" w:w="2578"/>
            <w:vAlign w:val="center"/>
            <w:shd w:fill="2F5597"/>
          </w:tcPr>
          <w:p>
            <w:pPr>
              <w:spacing w:after="0"/>
              <w:jc w:val="left"/>
            </w:pPr>
            <w:r/>
            <w:r>
              <w:rPr>
                <w:rFonts w:ascii="Aptos" w:hAnsi="Aptos"/>
                <w:b/>
                <w:color w:val="FFFFFF"/>
                <w:sz w:val="19"/>
              </w:rPr>
              <w:t>Reason</w:t>
            </w:r>
          </w:p>
        </w:tc>
        <w:tc>
          <w:tcPr>
            <w:tcW w:type="dxa" w:w="2578"/>
            <w:vAlign w:val="center"/>
            <w:shd w:fill="2F5597"/>
          </w:tcPr>
          <w:p>
            <w:pPr>
              <w:spacing w:after="0"/>
              <w:jc w:val="left"/>
            </w:pPr>
            <w:r/>
            <w:r>
              <w:rPr>
                <w:rFonts w:ascii="Aptos" w:hAnsi="Aptos"/>
                <w:b/>
                <w:color w:val="FFFFFF"/>
                <w:sz w:val="19"/>
              </w:rPr>
              <w:t>Production implication</w:t>
            </w:r>
          </w:p>
        </w:tc>
      </w:tr>
      <w:tr>
        <w:tc>
          <w:tcPr>
            <w:tcW w:type="dxa" w:w="2578"/>
            <w:vAlign w:val="center"/>
          </w:tcPr>
          <w:p>
            <w:pPr>
              <w:spacing w:after="0"/>
              <w:jc w:val="left"/>
            </w:pPr>
            <w:r/>
            <w:r>
              <w:rPr>
                <w:rFonts w:ascii="Aptos" w:hAnsi="Aptos"/>
                <w:b w:val="0"/>
                <w:sz w:val="17"/>
              </w:rPr>
              <w:t>CNN alone beats baseline clearly</w:t>
            </w:r>
          </w:p>
        </w:tc>
        <w:tc>
          <w:tcPr>
            <w:tcW w:type="dxa" w:w="2578"/>
            <w:vAlign w:val="center"/>
          </w:tcPr>
          <w:p>
            <w:pPr>
              <w:spacing w:after="0"/>
              <w:jc w:val="left"/>
            </w:pPr>
            <w:r/>
            <w:r>
              <w:rPr>
                <w:rFonts w:ascii="Aptos" w:hAnsi="Aptos"/>
                <w:b w:val="0"/>
                <w:sz w:val="17"/>
              </w:rPr>
              <w:t>Consider standalone sequence path</w:t>
            </w:r>
          </w:p>
        </w:tc>
        <w:tc>
          <w:tcPr>
            <w:tcW w:type="dxa" w:w="2578"/>
            <w:vAlign w:val="center"/>
          </w:tcPr>
          <w:p>
            <w:pPr>
              <w:spacing w:after="0"/>
              <w:jc w:val="left"/>
            </w:pPr>
            <w:r/>
            <w:r>
              <w:rPr>
                <w:rFonts w:ascii="Aptos" w:hAnsi="Aptos"/>
                <w:b w:val="0"/>
                <w:sz w:val="17"/>
              </w:rPr>
              <w:t>Sequence behavior dominates</w:t>
            </w:r>
          </w:p>
        </w:tc>
        <w:tc>
          <w:tcPr>
            <w:tcW w:type="dxa" w:w="2578"/>
            <w:vAlign w:val="center"/>
          </w:tcPr>
          <w:p>
            <w:pPr>
              <w:spacing w:after="0"/>
              <w:jc w:val="left"/>
            </w:pPr>
            <w:r/>
            <w:r>
              <w:rPr>
                <w:rFonts w:ascii="Aptos" w:hAnsi="Aptos"/>
                <w:b w:val="0"/>
                <w:sz w:val="17"/>
              </w:rPr>
              <w:t>Separate sequence inference</w:t>
            </w:r>
          </w:p>
        </w:tc>
      </w:tr>
      <w:tr>
        <w:tc>
          <w:tcPr>
            <w:tcW w:type="dxa" w:w="2578"/>
            <w:vAlign w:val="center"/>
          </w:tcPr>
          <w:p>
            <w:pPr>
              <w:spacing w:after="0"/>
              <w:jc w:val="left"/>
            </w:pPr>
            <w:r/>
            <w:r>
              <w:rPr>
                <w:rFonts w:ascii="Aptos" w:hAnsi="Aptos"/>
                <w:b w:val="0"/>
                <w:sz w:val="17"/>
              </w:rPr>
              <w:t>Ensemble has best recall and lowest FN</w:t>
            </w:r>
          </w:p>
        </w:tc>
        <w:tc>
          <w:tcPr>
            <w:tcW w:type="dxa" w:w="2578"/>
            <w:vAlign w:val="center"/>
          </w:tcPr>
          <w:p>
            <w:pPr>
              <w:spacing w:after="0"/>
              <w:jc w:val="left"/>
            </w:pPr>
            <w:r/>
            <w:r>
              <w:rPr>
                <w:rFonts w:ascii="Aptos" w:hAnsi="Aptos"/>
                <w:b w:val="0"/>
                <w:sz w:val="17"/>
              </w:rPr>
              <w:t>Recommend ensemble</w:t>
            </w:r>
          </w:p>
        </w:tc>
        <w:tc>
          <w:tcPr>
            <w:tcW w:type="dxa" w:w="2578"/>
            <w:vAlign w:val="center"/>
          </w:tcPr>
          <w:p>
            <w:pPr>
              <w:spacing w:after="0"/>
              <w:jc w:val="left"/>
            </w:pPr>
            <w:r/>
            <w:r>
              <w:rPr>
                <w:rFonts w:ascii="Aptos" w:hAnsi="Aptos"/>
                <w:b w:val="0"/>
                <w:sz w:val="17"/>
              </w:rPr>
              <w:t>Both models add different signal</w:t>
            </w:r>
          </w:p>
        </w:tc>
        <w:tc>
          <w:tcPr>
            <w:tcW w:type="dxa" w:w="2578"/>
            <w:vAlign w:val="center"/>
          </w:tcPr>
          <w:p>
            <w:pPr>
              <w:spacing w:after="0"/>
              <w:jc w:val="left"/>
            </w:pPr>
            <w:r/>
            <w:r>
              <w:rPr>
                <w:rFonts w:ascii="Aptos" w:hAnsi="Aptos"/>
                <w:b w:val="0"/>
                <w:sz w:val="17"/>
              </w:rPr>
              <w:t>Two-model serving</w:t>
            </w:r>
          </w:p>
        </w:tc>
      </w:tr>
      <w:tr>
        <w:tc>
          <w:tcPr>
            <w:tcW w:type="dxa" w:w="2578"/>
            <w:vAlign w:val="center"/>
          </w:tcPr>
          <w:p>
            <w:pPr>
              <w:spacing w:after="0"/>
              <w:jc w:val="left"/>
            </w:pPr>
            <w:r/>
            <w:r>
              <w:rPr>
                <w:rFonts w:ascii="Aptos" w:hAnsi="Aptos"/>
                <w:b w:val="0"/>
                <w:sz w:val="17"/>
              </w:rPr>
              <w:t>LGBM + CNN score is near-ensemble performance</w:t>
            </w:r>
          </w:p>
        </w:tc>
        <w:tc>
          <w:tcPr>
            <w:tcW w:type="dxa" w:w="2578"/>
            <w:vAlign w:val="center"/>
          </w:tcPr>
          <w:p>
            <w:pPr>
              <w:spacing w:after="0"/>
              <w:jc w:val="left"/>
            </w:pPr>
            <w:r/>
            <w:r>
              <w:rPr>
                <w:rFonts w:ascii="Aptos" w:hAnsi="Aptos"/>
                <w:b w:val="0"/>
                <w:sz w:val="17"/>
              </w:rPr>
              <w:t>Recommend score-as-feature</w:t>
            </w:r>
          </w:p>
        </w:tc>
        <w:tc>
          <w:tcPr>
            <w:tcW w:type="dxa" w:w="2578"/>
            <w:vAlign w:val="center"/>
          </w:tcPr>
          <w:p>
            <w:pPr>
              <w:spacing w:after="0"/>
              <w:jc w:val="left"/>
            </w:pPr>
            <w:r/>
            <w:r>
              <w:rPr>
                <w:rFonts w:ascii="Aptos" w:hAnsi="Aptos"/>
                <w:b w:val="0"/>
                <w:sz w:val="17"/>
              </w:rPr>
              <w:t>Good performance with simpler design</w:t>
            </w:r>
          </w:p>
        </w:tc>
        <w:tc>
          <w:tcPr>
            <w:tcW w:type="dxa" w:w="2578"/>
            <w:vAlign w:val="center"/>
          </w:tcPr>
          <w:p>
            <w:pPr>
              <w:spacing w:after="0"/>
              <w:jc w:val="left"/>
            </w:pPr>
            <w:r/>
            <w:r>
              <w:rPr>
                <w:rFonts w:ascii="Aptos" w:hAnsi="Aptos"/>
                <w:b w:val="0"/>
                <w:sz w:val="17"/>
              </w:rPr>
              <w:t>One final scoring model</w:t>
            </w:r>
          </w:p>
        </w:tc>
      </w:tr>
      <w:tr>
        <w:tc>
          <w:tcPr>
            <w:tcW w:type="dxa" w:w="2578"/>
            <w:vAlign w:val="center"/>
          </w:tcPr>
          <w:p>
            <w:pPr>
              <w:spacing w:after="0"/>
              <w:jc w:val="left"/>
            </w:pPr>
            <w:r/>
            <w:r>
              <w:rPr>
                <w:rFonts w:ascii="Aptos" w:hAnsi="Aptos"/>
                <w:b w:val="0"/>
                <w:sz w:val="17"/>
              </w:rPr>
              <w:t>CNN gives little lift</w:t>
            </w:r>
          </w:p>
        </w:tc>
        <w:tc>
          <w:tcPr>
            <w:tcW w:type="dxa" w:w="2578"/>
            <w:vAlign w:val="center"/>
          </w:tcPr>
          <w:p>
            <w:pPr>
              <w:spacing w:after="0"/>
              <w:jc w:val="left"/>
            </w:pPr>
            <w:r/>
            <w:r>
              <w:rPr>
                <w:rFonts w:ascii="Aptos" w:hAnsi="Aptos"/>
                <w:b w:val="0"/>
                <w:sz w:val="17"/>
              </w:rPr>
              <w:t>Do not productionize sequence path yet</w:t>
            </w:r>
          </w:p>
        </w:tc>
        <w:tc>
          <w:tcPr>
            <w:tcW w:type="dxa" w:w="2578"/>
            <w:vAlign w:val="center"/>
          </w:tcPr>
          <w:p>
            <w:pPr>
              <w:spacing w:after="0"/>
              <w:jc w:val="left"/>
            </w:pPr>
            <w:r/>
            <w:r>
              <w:rPr>
                <w:rFonts w:ascii="Aptos" w:hAnsi="Aptos"/>
                <w:b w:val="0"/>
                <w:sz w:val="17"/>
              </w:rPr>
              <w:t>No strong added value</w:t>
            </w:r>
          </w:p>
        </w:tc>
        <w:tc>
          <w:tcPr>
            <w:tcW w:type="dxa" w:w="2578"/>
            <w:vAlign w:val="center"/>
          </w:tcPr>
          <w:p>
            <w:pPr>
              <w:spacing w:after="0"/>
              <w:jc w:val="left"/>
            </w:pPr>
            <w:r/>
            <w:r>
              <w:rPr>
                <w:rFonts w:ascii="Aptos" w:hAnsi="Aptos"/>
                <w:b w:val="0"/>
                <w:sz w:val="17"/>
              </w:rPr>
              <w:t>Keep as research monitor</w:t>
            </w:r>
          </w:p>
        </w:tc>
      </w:tr>
    </w:tbl>
    <w:p>
      <w:pPr>
        <w:pStyle w:val="Heading1Custom"/>
      </w:pPr>
      <w:r>
        <w:t>9. Rough implementation plan</w:t>
      </w:r>
    </w:p>
    <w:p>
      <w:r>
        <w:t>1) Prepare two months of labeled records with aligned feature windows.</w:t>
      </w:r>
    </w:p>
    <w:p>
      <w:r>
        <w:t>2) Generate memo type sequences and time-gap bins for the CNN sequence model.</w:t>
      </w:r>
    </w:p>
    <w:p>
      <w:r>
        <w:t>3) Train the 17-feature LightGBM baseline on the training window.</w:t>
      </w:r>
    </w:p>
    <w:p>
      <w:r>
        <w:t>4) Train the CNN sequence model on the same training window.</w:t>
      </w:r>
    </w:p>
    <w:p>
      <w:r>
        <w:t>5) Score both models on validation and holdout.</w:t>
      </w:r>
    </w:p>
    <w:p>
      <w:r>
        <w:t>6) Build ensemble combinations on the validation window only.</w:t>
      </w:r>
    </w:p>
    <w:p>
      <w:r>
        <w:t>7) Create the CNN score feature and retrain LightGBM.</w:t>
      </w:r>
    </w:p>
    <w:p>
      <w:r>
        <w:t>8) Compare all four setups on the final holdout using the same metrics and thresholds.</w:t>
      </w:r>
    </w:p>
    <w:p>
      <w:pPr>
        <w:pStyle w:val="Heading2Custom"/>
      </w:pPr>
      <w:r>
        <w:t>Suggested output charts/tables for the meeting</w:t>
      </w:r>
    </w:p>
    <w:p>
      <w:pPr>
        <w:spacing w:after="40"/>
        <w:ind w:left="317"/>
      </w:pPr>
      <w:r>
        <w:rPr>
          <w:b/>
        </w:rPr>
        <w:t xml:space="preserve">• </w:t>
      </w:r>
      <w:r>
        <w:t>Single comparison table for the four model setups</w:t>
      </w:r>
    </w:p>
    <w:p>
      <w:pPr>
        <w:spacing w:after="40"/>
        <w:ind w:left="317"/>
      </w:pPr>
      <w:r>
        <w:rPr>
          <w:b/>
        </w:rPr>
        <w:t xml:space="preserve">• </w:t>
      </w:r>
      <w:r>
        <w:t>Threshold analysis table</w:t>
      </w:r>
    </w:p>
    <w:p>
      <w:pPr>
        <w:spacing w:after="40"/>
        <w:ind w:left="317"/>
      </w:pPr>
      <w:r>
        <w:rPr>
          <w:b/>
        </w:rPr>
        <w:t xml:space="preserve">• </w:t>
      </w:r>
      <w:r>
        <w:t>Confusion matrix summary for each model</w:t>
      </w:r>
    </w:p>
    <w:p>
      <w:pPr>
        <w:spacing w:after="40"/>
        <w:ind w:left="317"/>
      </w:pPr>
      <w:r>
        <w:rPr>
          <w:b/>
        </w:rPr>
        <w:t xml:space="preserve">• </w:t>
      </w:r>
      <w:r>
        <w:t>Fraud overlap analysis table</w:t>
      </w:r>
    </w:p>
    <w:p>
      <w:pPr>
        <w:spacing w:after="40"/>
        <w:ind w:left="317"/>
      </w:pPr>
      <w:r>
        <w:rPr>
          <w:b/>
        </w:rPr>
        <w:t xml:space="preserve">• </w:t>
      </w:r>
      <w:r>
        <w:t>Production recommendation matrix: performance vs complexity</w:t>
      </w:r>
    </w:p>
    <w:p>
      <w:pPr>
        <w:pStyle w:val="Heading1Custom"/>
      </w:pPr>
      <w:r>
        <w:t>10. Recommended talk track for tomorrow</w:t>
      </w:r>
    </w:p>
    <w:p>
      <w:pPr>
        <w:spacing w:after="40"/>
        <w:ind w:left="317"/>
      </w:pPr>
      <w:r>
        <w:rPr>
          <w:b/>
        </w:rPr>
        <w:t xml:space="preserve">• </w:t>
      </w:r>
      <w:r>
        <w:t>We are not evaluating the CNN only as a standalone model; we are evaluating the best way to use it in production.</w:t>
      </w:r>
    </w:p>
    <w:p>
      <w:pPr>
        <w:spacing w:after="40"/>
        <w:ind w:left="317"/>
      </w:pPr>
      <w:r>
        <w:rPr>
          <w:b/>
        </w:rPr>
        <w:t xml:space="preserve">• </w:t>
      </w:r>
      <w:r>
        <w:t>I propose a two-month, time-based experiment with one common label and one common holdout period.</w:t>
      </w:r>
    </w:p>
    <w:p>
      <w:pPr>
        <w:spacing w:after="40"/>
        <w:ind w:left="317"/>
      </w:pPr>
      <w:r>
        <w:rPr>
          <w:b/>
        </w:rPr>
        <w:t xml:space="preserve">• </w:t>
      </w:r>
      <w:r>
        <w:t>I will compare four setups: baseline LightGBM, standalone CNN, ensemble, and CNN score as a new feature in LightGBM.</w:t>
      </w:r>
    </w:p>
    <w:p>
      <w:pPr>
        <w:spacing w:after="40"/>
        <w:ind w:left="317"/>
      </w:pPr>
      <w:r>
        <w:rPr>
          <w:b/>
        </w:rPr>
        <w:t xml:space="preserve">• </w:t>
      </w:r>
      <w:r>
        <w:t>The key business metrics will be fraud recall, true positives, false negatives, precision, and PR-AUC.</w:t>
      </w:r>
    </w:p>
    <w:p>
      <w:pPr>
        <w:spacing w:after="40"/>
        <w:ind w:left="317"/>
      </w:pPr>
      <w:r>
        <w:rPr>
          <w:b/>
        </w:rPr>
        <w:t xml:space="preserve">• </w:t>
      </w:r>
      <w:r>
        <w:t>I also want to perform overlap analysis to understand whether the sequence model is catching fraud cases the baseline misses.</w:t>
      </w:r>
    </w:p>
    <w:p>
      <w:pPr>
        <w:spacing w:after="40"/>
        <w:ind w:left="317"/>
      </w:pPr>
      <w:r>
        <w:rPr>
          <w:b/>
        </w:rPr>
        <w:t xml:space="preserve">• </w:t>
      </w:r>
      <w:r>
        <w:t>Based on performance and production complexity, we can then decide whether to deploy the CNN as a separate scorer, as part of an ensemble, or as a feature generator.</w:t>
      </w:r>
    </w:p>
    <w:p>
      <w:pPr>
        <w:pStyle w:val="Heading1Custom"/>
      </w:pPr>
      <w:r>
        <w:t>11. Final recommendation direction</w:t>
      </w:r>
    </w:p>
    <w:p>
      <w:r>
        <w:t>Before seeing actual numbers, the most practical expectation is that one of two paths will win:</w:t>
      </w:r>
    </w:p>
    <w:p>
      <w:pPr>
        <w:spacing w:after="40"/>
        <w:ind w:left="317"/>
      </w:pPr>
      <w:r>
        <w:rPr>
          <w:b/>
        </w:rPr>
        <w:t xml:space="preserve">• </w:t>
      </w:r>
      <w:r>
        <w:t>Ensemble, if the sequence model catches additional fraud cases and materially reduces false negatives.</w:t>
      </w:r>
    </w:p>
    <w:p>
      <w:pPr>
        <w:spacing w:after="40"/>
        <w:ind w:left="317"/>
      </w:pPr>
      <w:r>
        <w:rPr>
          <w:b/>
        </w:rPr>
        <w:t xml:space="preserve">• </w:t>
      </w:r>
      <w:r>
        <w:t>CNN score as a feature, if performance is close to the ensemble but the team wants a simpler production design.</w:t>
      </w:r>
    </w:p>
    <w:p>
      <w:r>
        <w:t>This framing is important because it shows that the experiment is about business value and production design, not just about developing another research model.</w:t>
      </w:r>
    </w:p>
    <w:p>
      <w:pPr>
        <w:pStyle w:val="Heading1Custom"/>
      </w:pPr>
      <w:r>
        <w:t>Appendix A — Example result summary sheet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1289"/>
            <w:vAlign w:val="center"/>
            <w:shd w:fill="156082"/>
          </w:tcPr>
          <w:p>
            <w:pPr>
              <w:spacing w:after="0"/>
              <w:jc w:val="left"/>
            </w:pPr>
            <w:r/>
            <w:r>
              <w:rPr>
                <w:rFonts w:ascii="Aptos" w:hAnsi="Aptos"/>
                <w:b/>
                <w:color w:val="FFFFFF"/>
                <w:sz w:val="17"/>
              </w:rPr>
              <w:t>Setup</w:t>
            </w:r>
          </w:p>
        </w:tc>
        <w:tc>
          <w:tcPr>
            <w:tcW w:type="dxa" w:w="1289"/>
            <w:vAlign w:val="center"/>
            <w:shd w:fill="156082"/>
          </w:tcPr>
          <w:p>
            <w:pPr>
              <w:spacing w:after="0"/>
              <w:jc w:val="left"/>
            </w:pPr>
            <w:r/>
            <w:r>
              <w:rPr>
                <w:rFonts w:ascii="Aptos" w:hAnsi="Aptos"/>
                <w:b/>
                <w:color w:val="FFFFFF"/>
                <w:sz w:val="17"/>
              </w:rPr>
              <w:t>Features used</w:t>
            </w:r>
          </w:p>
        </w:tc>
        <w:tc>
          <w:tcPr>
            <w:tcW w:type="dxa" w:w="1289"/>
            <w:vAlign w:val="center"/>
            <w:shd w:fill="156082"/>
          </w:tcPr>
          <w:p>
            <w:pPr>
              <w:spacing w:after="0"/>
              <w:jc w:val="left"/>
            </w:pPr>
            <w:r/>
            <w:r>
              <w:rPr>
                <w:rFonts w:ascii="Aptos" w:hAnsi="Aptos"/>
                <w:b/>
                <w:color w:val="FFFFFF"/>
                <w:sz w:val="17"/>
              </w:rPr>
              <w:t>Scoring output</w:t>
            </w:r>
          </w:p>
        </w:tc>
        <w:tc>
          <w:tcPr>
            <w:tcW w:type="dxa" w:w="1289"/>
            <w:vAlign w:val="center"/>
            <w:shd w:fill="156082"/>
          </w:tcPr>
          <w:p>
            <w:pPr>
              <w:spacing w:after="0"/>
              <w:jc w:val="left"/>
            </w:pPr>
            <w:r/>
            <w:r>
              <w:rPr>
                <w:rFonts w:ascii="Aptos" w:hAnsi="Aptos"/>
                <w:b/>
                <w:color w:val="FFFFFF"/>
                <w:sz w:val="17"/>
              </w:rPr>
              <w:t>Best threshold</w:t>
            </w:r>
          </w:p>
        </w:tc>
        <w:tc>
          <w:tcPr>
            <w:tcW w:type="dxa" w:w="1289"/>
            <w:vAlign w:val="center"/>
            <w:shd w:fill="156082"/>
          </w:tcPr>
          <w:p>
            <w:pPr>
              <w:spacing w:after="0"/>
              <w:jc w:val="left"/>
            </w:pPr>
            <w:r/>
            <w:r>
              <w:rPr>
                <w:rFonts w:ascii="Aptos" w:hAnsi="Aptos"/>
                <w:b/>
                <w:color w:val="FFFFFF"/>
                <w:sz w:val="17"/>
              </w:rPr>
              <w:t>Recall</w:t>
            </w:r>
          </w:p>
        </w:tc>
        <w:tc>
          <w:tcPr>
            <w:tcW w:type="dxa" w:w="1289"/>
            <w:vAlign w:val="center"/>
            <w:shd w:fill="156082"/>
          </w:tcPr>
          <w:p>
            <w:pPr>
              <w:spacing w:after="0"/>
              <w:jc w:val="left"/>
            </w:pPr>
            <w:r/>
            <w:r>
              <w:rPr>
                <w:rFonts w:ascii="Aptos" w:hAnsi="Aptos"/>
                <w:b/>
                <w:color w:val="FFFFFF"/>
                <w:sz w:val="17"/>
              </w:rPr>
              <w:t>Precision</w:t>
            </w:r>
          </w:p>
        </w:tc>
        <w:tc>
          <w:tcPr>
            <w:tcW w:type="dxa" w:w="1289"/>
            <w:vAlign w:val="center"/>
            <w:shd w:fill="156082"/>
          </w:tcPr>
          <w:p>
            <w:pPr>
              <w:spacing w:after="0"/>
              <w:jc w:val="left"/>
            </w:pPr>
            <w:r/>
            <w:r>
              <w:rPr>
                <w:rFonts w:ascii="Aptos" w:hAnsi="Aptos"/>
                <w:b/>
                <w:color w:val="FFFFFF"/>
                <w:sz w:val="17"/>
              </w:rPr>
              <w:t>FN</w:t>
            </w:r>
          </w:p>
        </w:tc>
        <w:tc>
          <w:tcPr>
            <w:tcW w:type="dxa" w:w="1289"/>
            <w:vAlign w:val="center"/>
            <w:shd w:fill="156082"/>
          </w:tcPr>
          <w:p>
            <w:pPr>
              <w:spacing w:after="0"/>
              <w:jc w:val="left"/>
            </w:pPr>
            <w:r/>
            <w:r>
              <w:rPr>
                <w:rFonts w:ascii="Aptos" w:hAnsi="Aptos"/>
                <w:b/>
                <w:color w:val="FFFFFF"/>
                <w:sz w:val="17"/>
              </w:rPr>
              <w:t>Deploy note</w:t>
            </w:r>
          </w:p>
        </w:tc>
      </w:tr>
      <w:tr>
        <w:tc>
          <w:tcPr>
            <w:tcW w:type="dxa" w:w="1289"/>
            <w:vAlign w:val="center"/>
          </w:tcPr>
          <w:p>
            <w:pPr>
              <w:spacing w:after="0"/>
              <w:jc w:val="left"/>
            </w:pPr>
            <w:r/>
            <w:r>
              <w:rPr>
                <w:rFonts w:ascii="Aptos" w:hAnsi="Aptos"/>
                <w:b w:val="0"/>
                <w:sz w:val="16"/>
              </w:rPr>
              <w:t>LightGBM</w:t>
            </w:r>
          </w:p>
        </w:tc>
        <w:tc>
          <w:tcPr>
            <w:tcW w:type="dxa" w:w="1289"/>
            <w:vAlign w:val="center"/>
          </w:tcPr>
          <w:p>
            <w:pPr>
              <w:spacing w:after="0"/>
              <w:jc w:val="left"/>
            </w:pPr>
            <w:r/>
            <w:r>
              <w:rPr>
                <w:rFonts w:ascii="Aptos" w:hAnsi="Aptos"/>
                <w:b w:val="0"/>
                <w:sz w:val="16"/>
              </w:rPr>
              <w:t>17 structured</w:t>
            </w:r>
          </w:p>
        </w:tc>
        <w:tc>
          <w:tcPr>
            <w:tcW w:type="dxa" w:w="1289"/>
            <w:vAlign w:val="center"/>
          </w:tcPr>
          <w:p>
            <w:pPr>
              <w:spacing w:after="0"/>
              <w:jc w:val="left"/>
            </w:pPr>
            <w:r/>
            <w:r>
              <w:rPr>
                <w:rFonts w:ascii="Aptos" w:hAnsi="Aptos"/>
                <w:b w:val="0"/>
                <w:sz w:val="16"/>
              </w:rPr>
              <w:t>Probability</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Benchmark</w:t>
            </w:r>
          </w:p>
        </w:tc>
      </w:tr>
      <w:tr>
        <w:tc>
          <w:tcPr>
            <w:tcW w:type="dxa" w:w="1289"/>
            <w:vAlign w:val="center"/>
          </w:tcPr>
          <w:p>
            <w:pPr>
              <w:spacing w:after="0"/>
              <w:jc w:val="left"/>
            </w:pPr>
            <w:r/>
            <w:r>
              <w:rPr>
                <w:rFonts w:ascii="Aptos" w:hAnsi="Aptos"/>
                <w:b w:val="0"/>
                <w:sz w:val="16"/>
              </w:rPr>
              <w:t>CNN</w:t>
            </w:r>
          </w:p>
        </w:tc>
        <w:tc>
          <w:tcPr>
            <w:tcW w:type="dxa" w:w="1289"/>
            <w:vAlign w:val="center"/>
          </w:tcPr>
          <w:p>
            <w:pPr>
              <w:spacing w:after="0"/>
              <w:jc w:val="left"/>
            </w:pPr>
            <w:r/>
            <w:r>
              <w:rPr>
                <w:rFonts w:ascii="Aptos" w:hAnsi="Aptos"/>
                <w:b w:val="0"/>
                <w:sz w:val="16"/>
              </w:rPr>
              <w:t>Memo sequence</w:t>
            </w:r>
          </w:p>
        </w:tc>
        <w:tc>
          <w:tcPr>
            <w:tcW w:type="dxa" w:w="1289"/>
            <w:vAlign w:val="center"/>
          </w:tcPr>
          <w:p>
            <w:pPr>
              <w:spacing w:after="0"/>
              <w:jc w:val="left"/>
            </w:pPr>
            <w:r/>
            <w:r>
              <w:rPr>
                <w:rFonts w:ascii="Aptos" w:hAnsi="Aptos"/>
                <w:b w:val="0"/>
                <w:sz w:val="16"/>
              </w:rPr>
              <w:t>Probability</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Seq scorer</w:t>
            </w:r>
          </w:p>
        </w:tc>
      </w:tr>
      <w:tr>
        <w:tc>
          <w:tcPr>
            <w:tcW w:type="dxa" w:w="1289"/>
            <w:vAlign w:val="center"/>
          </w:tcPr>
          <w:p>
            <w:pPr>
              <w:spacing w:after="0"/>
              <w:jc w:val="left"/>
            </w:pPr>
            <w:r/>
            <w:r>
              <w:rPr>
                <w:rFonts w:ascii="Aptos" w:hAnsi="Aptos"/>
                <w:b w:val="0"/>
                <w:sz w:val="16"/>
              </w:rPr>
              <w:t>Ensemble</w:t>
            </w:r>
          </w:p>
        </w:tc>
        <w:tc>
          <w:tcPr>
            <w:tcW w:type="dxa" w:w="1289"/>
            <w:vAlign w:val="center"/>
          </w:tcPr>
          <w:p>
            <w:pPr>
              <w:spacing w:after="0"/>
              <w:jc w:val="left"/>
            </w:pPr>
            <w:r/>
            <w:r>
              <w:rPr>
                <w:rFonts w:ascii="Aptos" w:hAnsi="Aptos"/>
                <w:b w:val="0"/>
                <w:sz w:val="16"/>
              </w:rPr>
              <w:t>LGBM + CNN</w:t>
            </w:r>
          </w:p>
        </w:tc>
        <w:tc>
          <w:tcPr>
            <w:tcW w:type="dxa" w:w="1289"/>
            <w:vAlign w:val="center"/>
          </w:tcPr>
          <w:p>
            <w:pPr>
              <w:spacing w:after="0"/>
              <w:jc w:val="left"/>
            </w:pPr>
            <w:r/>
            <w:r>
              <w:rPr>
                <w:rFonts w:ascii="Aptos" w:hAnsi="Aptos"/>
                <w:b w:val="0"/>
                <w:sz w:val="16"/>
              </w:rPr>
              <w:t>Combined score</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Best if higher catch</w:t>
            </w:r>
          </w:p>
        </w:tc>
      </w:tr>
      <w:tr>
        <w:tc>
          <w:tcPr>
            <w:tcW w:type="dxa" w:w="1289"/>
            <w:vAlign w:val="center"/>
          </w:tcPr>
          <w:p>
            <w:pPr>
              <w:spacing w:after="0"/>
              <w:jc w:val="left"/>
            </w:pPr>
            <w:r/>
            <w:r>
              <w:rPr>
                <w:rFonts w:ascii="Aptos" w:hAnsi="Aptos"/>
                <w:b w:val="0"/>
                <w:sz w:val="16"/>
              </w:rPr>
              <w:t>LGBM + CNN</w:t>
            </w:r>
          </w:p>
        </w:tc>
        <w:tc>
          <w:tcPr>
            <w:tcW w:type="dxa" w:w="1289"/>
            <w:vAlign w:val="center"/>
          </w:tcPr>
          <w:p>
            <w:pPr>
              <w:spacing w:after="0"/>
              <w:jc w:val="left"/>
            </w:pPr>
            <w:r/>
            <w:r>
              <w:rPr>
                <w:rFonts w:ascii="Aptos" w:hAnsi="Aptos"/>
                <w:b w:val="0"/>
                <w:sz w:val="16"/>
              </w:rPr>
              <w:t>17 features + score</w:t>
            </w:r>
          </w:p>
        </w:tc>
        <w:tc>
          <w:tcPr>
            <w:tcW w:type="dxa" w:w="1289"/>
            <w:vAlign w:val="center"/>
          </w:tcPr>
          <w:p>
            <w:pPr>
              <w:spacing w:after="0"/>
              <w:jc w:val="left"/>
            </w:pPr>
            <w:r/>
            <w:r>
              <w:rPr>
                <w:rFonts w:ascii="Aptos" w:hAnsi="Aptos"/>
                <w:b w:val="0"/>
                <w:sz w:val="16"/>
              </w:rPr>
              <w:t>Probability</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TBD</w:t>
            </w:r>
          </w:p>
        </w:tc>
        <w:tc>
          <w:tcPr>
            <w:tcW w:type="dxa" w:w="1289"/>
            <w:vAlign w:val="center"/>
          </w:tcPr>
          <w:p>
            <w:pPr>
              <w:spacing w:after="0"/>
              <w:jc w:val="left"/>
            </w:pPr>
            <w:r/>
            <w:r>
              <w:rPr>
                <w:rFonts w:ascii="Aptos" w:hAnsi="Aptos"/>
                <w:b w:val="0"/>
                <w:sz w:val="16"/>
              </w:rPr>
              <w:t>Best if close to ensemble</w:t>
            </w:r>
          </w:p>
        </w:tc>
      </w:tr>
    </w:tbl>
    <w:sectPr w:rsidR="00FC693F" w:rsidRPr="0006063C" w:rsidSect="00034616">
      <w:footerReference w:type="default" r:id="rId10"/>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Port-Out Fraud Experimental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before="100" w:after="60"/>
    </w:pPr>
    <w:rPr>
      <w:rFonts w:ascii="Aptos" w:hAnsi="Aptos"/>
      <w:b/>
      <w:color w:val="156082"/>
      <w:sz w:val="42"/>
    </w:rPr>
  </w:style>
  <w:style w:type="paragraph" w:customStyle="1" w:styleId="SubTitleStyle">
    <w:name w:val="SubTitleStyle"/>
    <w:basedOn w:val="Normal"/>
    <w:pPr>
      <w:spacing w:before="100" w:after="60"/>
    </w:pPr>
    <w:rPr>
      <w:rFonts w:ascii="Aptos" w:hAnsi="Aptos"/>
      <w:b w:val="0"/>
      <w:color w:val="606060"/>
      <w:sz w:val="21"/>
    </w:rPr>
  </w:style>
  <w:style w:type="paragraph" w:customStyle="1" w:styleId="Heading1Custom">
    <w:name w:val="Heading1Custom"/>
    <w:basedOn w:val="Normal"/>
    <w:pPr>
      <w:spacing w:before="160" w:after="60"/>
    </w:pPr>
    <w:rPr>
      <w:rFonts w:ascii="Aptos" w:hAnsi="Aptos"/>
      <w:b/>
      <w:color w:val="156082"/>
      <w:sz w:val="28"/>
    </w:rPr>
  </w:style>
  <w:style w:type="paragraph" w:customStyle="1" w:styleId="Heading2Custom">
    <w:name w:val="Heading2Custom"/>
    <w:basedOn w:val="Normal"/>
    <w:pPr>
      <w:spacing w:before="100" w:after="60"/>
    </w:pPr>
    <w:rPr>
      <w:rFonts w:ascii="Aptos" w:hAnsi="Aptos"/>
      <w:b/>
      <w:color w:val="2F549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