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10-slide professional PowerPoint presentation titled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Detecting Fraud in Real Time: Sequence-Based Feature Engineering and Modeling in Telecom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presentation is for a Data Science Summit (15-minute talk).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Keep the title exactly the same (it is already submitted in the abstract).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deck should visually explain how I enhanced an existing 15-feature tabular fraud detection model by adding sequence-based features generated from Intelligence (MemoNodes) data, where each record represents a Band Number joined with the Billing Account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Structure and Content (Slide by Slide)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Slide 1 – Title and Objective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Title exactly as above.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Goal: Integrate new sequence features on top of existing 15 tabular features to improve real-time fraud detection.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Mention that the data comes from the Intelligence data source and contains per-Band Number MemoNodes logs.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Slide 2 – Problem Context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Telecom fraud happens as short, rapid sequences of memo-type activities within 48 hours.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Static or tabular models miss temporal dependencies.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Objective: detect evolving behavior patterns across time windows.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Slide 3 – Data Overview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Item | Detail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Source | Intelligence (MemoNodes)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Primary Entity | Band Number (merged via Billing Account Number)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Scale | Around 2.5 lakh records, 850 frauds (0.3 percent)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Split | 200 K train / 50 K test (250 frauds in test)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Weight | 1 : 500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Windowing | Rolling 48-hour event sequences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Slide 4 – Data Preparation Workflow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logs from Intelligence → MemoNodes.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Band Number.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Remove duplicate memos at identical timestamps.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 chronologically.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Apply chi-square significance test to reduce 458 memo types to 15 key memo types.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Merge with Billing Account Number attributes.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Slide 5 – Base vs Enhanced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Comparison Table: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Base Model | Enhanced Model (Our Approach)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15 tabular features | 15 + sequence-based features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GBM (class-weighted 1:500) | GBM (same algorithm)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Point-in-time analysis | 48-hour temporal sequence analysis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Goal: Fraud classification | Goal: Temporal behavioral fraud detection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Slide 6 – Sequence Feature Set Overview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Grouped feature categories: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Statistical Time: sequence length, min/max/median gap, standard deviation of time gaps.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Rarity: Average Rarity (IDF) per sequence.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Transition: bigram probabilities, sequence probability (product of conditional probabilities), entropy.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Stickiness/Streak: maximum consecutive same-type runs, repeat ratio.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Density and Entropy: events per hour, unique memo ratio.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Deep Encoding: Autoencoder (Bi-LSTM) reconstruction error score.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Slide 7 – Feature Transformation Logic (How Each Feature Was Generated)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Table format with three columns: Step, Transformation Logic, Example or Formula.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Form bigram tokens using underscores, e.g., ELG_1100, 1100_CER.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Compute time gaps between current and previous memo times (within 48 hours).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 Δt = current_memo_time − previous_memo_time.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Derive statistical time features such as min, median, max, and standard deviation of time gaps.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 Build a transition matrix and normalize rows. Formula: P(j|i) = freq(i,j) / Σfreq(i,*).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 Compute sequence probability as the product of all transition probabilities P(next|current).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 Compute stickiness or streak features such as maximum repeated memo length and repetition ratio.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7. Pass sequence to Bi-LSTM Autoencoder and use reconstruction error as an additional anomaly score feature.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Slide 8 – Average Rarity (IDF-Based Feature)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Step-by-step table: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Collect all sequences per Band Number (examples: “A,B,C”, “B,D”, “A,C,D,E”).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Count how many sequences each memo token appears in.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Compute rarity using the formula rarity(t) = log₂(N / (1 + df(t))).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 Broadcast the rarity map across Spark nodes.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5. Compute average token rarity per sequence as the mean of all token rarities.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6. Add this numeric feature as avg_token_rarity.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Example: If N = 4 and token A appears in 3, log₂(4/3) = 0.415; token B appears in 4, log₂(4/4) = 0.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Average rarity = mean of those values.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Slide 9 – Model Performance and Results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Comparison table with metrics: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Metric | Base Model (15) | Enhanced Model (15 + Sequence) | Gain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AUC | 0.80 | 0.90 | +12 percent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AUC-PR | 0.005 | 0.010 | 2x improvement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F1 | 0.67 | 0.78 | +16 percent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Detection latency reduced, with fraud flagged several hours earlier.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Slide 10 – Summary and Future Scope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Combined base tabular signals with sequence intelligence from Intelligence (MemoNodes).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Key new features: Average Rarity, Sequence Probability, Stickiness, Standard Deviation of Time Gap, Autoencoder Error, Density, and Entropy.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Significant improvements in AUC, AUC-PR, and F1.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PySpark pipeline supports real-time scoring and feature refresh.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Next steps: deploy streaming alerts and extend framework to finance and cybersecurity use cases.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Design Guidance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 a professional blue-white theme similar to AT&amp;T branding.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Include one architecture workflow diagram showing the flow: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Intelligence → 48-hour window and deduplication → underscore bigrams and time gaps → feature extraction → union with base 15 → weighted GBM → fraud probability score.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Highlight key new features: Average Rarity, Sequence Probability, Stickiness, Standard Deviation of Time Gaps, and Autoencoder Score.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 light animations or arrows to show feature transformation flow.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