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Slide 0 – Title (≈ 30 sec)</w:t>
        <w:br w:type="textWrapping"/>
        <w:br w:type="textWrapping"/>
        <w:t xml:space="preserve">“Good morning everyone, I’m…, and I’m happy to present our work — </w:t>
        <w:br w:type="textWrapping"/>
        <w:t xml:space="preserve">Detecting Fraud in Real Time using Sequence-Based Feature Engineering and Modeling in Telecom.</w:t>
        <w:br w:type="textWrapping"/>
        <w:t xml:space="preserve">This focuses on transforming raw customer activity logs into structured, sequence-based features that help identify behavior patterns leading up to a decision event — whether that event turns out to be fraud or non-fraud.”</w:t>
        <w:br w:type="textWrapping"/>
        <w:br w:type="textWrapping"/>
        <w:t xml:space="preserve">Slide 1 – Title (≈ 30 sec)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Slide 2 – Business Motivation &amp; Challenge</w:t>
        <w:br w:type="textWrapping"/>
        <w:br w:type="textWrapping"/>
        <w:t xml:space="preserve">In telecom, fraud is not a single action — it’s a series of activities over time.</w:t>
        <w:br w:type="textWrapping"/>
        <w:t xml:space="preserve">Traditional static models cannot capture this evolving behavior.</w:t>
        <w:br w:type="textWrapping"/>
        <w:t xml:space="preserve">We face three major challenges:</w:t>
        <w:br w:type="textWrapping"/>
        <w:t xml:space="preserve">1️⃣ High-volume data with millions of logs,</w:t>
        <w:br w:type="textWrapping"/>
        <w:t xml:space="preserve">2️⃣ Rare-event ratio — only 0.33% labeled as fraud,</w:t>
        <w:br w:type="textWrapping"/>
        <w:t xml:space="preserve">3️⃣ Noisy and overlapping activities between normal and suspicious behavior.</w:t>
        <w:br w:type="textWrapping"/>
        <w:br w:type="textWrapping"/>
        <w:t xml:space="preserve">The objective was to uncover meaningful patterns from these activity sequences and build explainable, real-time features that strengthen detection accuracy.”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Slide 3 – Data Source Summary (≈ 45 sec)</w:t>
        <w:br w:type="textWrapping"/>
        <w:br w:type="textWrapping"/>
        <w:t xml:space="preserve">Our data comes from the Telegence Channel, which logs every activity linked to a Billing Account Number (BAN).</w:t>
        <w:br w:type="textWrapping"/>
        <w:t xml:space="preserve">Each entry has a timestamp and a memo type that describes what action occurred.</w:t>
        <w:br w:type="textWrapping"/>
        <w:br w:type="textWrapping"/>
        <w:t xml:space="preserve">We began with nearly 250 memo types.</w:t>
        <w:br w:type="textWrapping"/>
        <w:t xml:space="preserve">Using a chi-square test with fraud and non-fraud labels, we identified the 13 most significant memo types — usually these are depicted in these forms ESCC, 1100, EQUIP, and CPCS.</w:t>
        <w:br w:type="textWrapping"/>
        <w:t xml:space="preserve">These memo types carried the strongest signals for differentiating normal versus anomalous behavior.”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Slide 4 – Pre-Processing Pipeline (48-Hour Window) (≈ 1 min 30 sec)</w:t>
        <w:br w:type="textWrapping"/>
        <w:br w:type="textWrapping"/>
        <w:t xml:space="preserve">The first step was to prepare structured input from unstructured logs.</w:t>
        <w:br w:type="textWrapping"/>
        <w:t xml:space="preserve">For every decision event, we used its unique Application ID and mapped all corresponding BAN activities that occurred within 48 hours before that event.</w:t>
        <w:br w:type="textWrapping"/>
        <w:br w:type="textWrapping"/>
        <w:t xml:space="preserve">The steps followed are:</w:t>
        <w:br w:type="textWrapping"/>
        <w:t xml:space="preserve">1️⃣ Filter all event logs for that BAN within the 48-hour window before the decision time,</w:t>
        <w:br w:type="textWrapping"/>
        <w:t xml:space="preserve">2️⃣ Retain only the top 13 memo types,</w:t>
        <w:br w:type="textWrapping"/>
        <w:t xml:space="preserve">3️⃣ Sort events chronologically,</w:t>
        <w:br w:type="textWrapping"/>
        <w:t xml:space="preserve">4️⃣ Compute the time gap between each event and the decision event in seconds.</w:t>
        <w:br w:type="textWrapping"/>
        <w:br w:type="textWrapping"/>
        <w:t xml:space="preserve">Now look at the slide:</w:t>
        <w:br w:type="textWrapping"/>
        <w:br w:type="textWrapping"/>
        <w:t xml:space="preserve">The top table shows decision event time @10 ‘0’ clock and the raw sequence— ESCC → NOTE → 1100 → CPCS with event times like 05:00, 07:00, 08:00, and 09:30.</w:t>
        <w:br w:type="textWrapping"/>
        <w:t xml:space="preserve">The bottom table shows the transformed version: sequence [ESCC, 1100, CPCS] with corresponding time gaps [10800, 5400, 1800] seconds.</w:t>
        <w:br w:type="textWrapping"/>
        <w:br w:type="textWrapping"/>
        <w:t xml:space="preserve">By pairing each event with its time gap, we capture not only what actions occurred but also when and how closely they happened — creating a clear behavioral timeline for every customer.”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Slide 5 – Statistical Time-Gap &amp; Sequence Features (≈ 1 min 40 sec)</w:t>
      </w:r>
      <w:r w:rsidDel="00000000" w:rsidR="00000000" w:rsidRPr="00000000">
        <w:rPr>
          <w:rtl w:val="0"/>
        </w:rPr>
        <w:br w:type="textWrapping"/>
        <w:t xml:space="preserve">From the</w:t>
      </w:r>
      <w:r w:rsidDel="00000000" w:rsidR="00000000" w:rsidRPr="00000000">
        <w:rPr>
          <w:b w:val="1"/>
          <w:rtl w:val="0"/>
        </w:rPr>
        <w:t xml:space="preserve"> processed sequences</w:t>
      </w:r>
      <w:r w:rsidDel="00000000" w:rsidR="00000000" w:rsidRPr="00000000">
        <w:rPr>
          <w:rtl w:val="0"/>
        </w:rPr>
        <w:t xml:space="preserve"> and their time gaps, we derived 5 key  statistical features that summarize how active or</w:t>
      </w:r>
      <w:r w:rsidDel="00000000" w:rsidR="00000000" w:rsidRPr="00000000">
        <w:rPr>
          <w:b w:val="1"/>
          <w:rtl w:val="0"/>
        </w:rPr>
        <w:t xml:space="preserve"> consistent</w:t>
      </w:r>
      <w:r w:rsidDel="00000000" w:rsidR="00000000" w:rsidRPr="00000000">
        <w:rPr>
          <w:rtl w:val="0"/>
        </w:rPr>
        <w:t xml:space="preserve"> a customer’s recent behavior is.</w:t>
        <w:br w:type="textWrapping"/>
        <w:t xml:space="preserve">Each BAN We calculated:</w:t>
        <w:br w:type="textWrapping"/>
        <w:t xml:space="preserve">• Minimum gap – it is shortest interval between two events,</w:t>
        <w:br w:type="textWrapping"/>
        <w:t xml:space="preserve">• Maximum gap – longest pause,</w:t>
        <w:br w:type="textWrapping"/>
        <w:t xml:space="preserve">• Median gap – typical spacing,</w:t>
        <w:br w:type="textWrapping"/>
        <w:t xml:space="preserve">• Standard deviation gap – overall variability across actions,</w:t>
        <w:br w:type="textWrapping"/>
        <w:t xml:space="preserve">• Order length – number of events in the sequence.</w:t>
        <w:br w:type="textWrapping"/>
        <w:t xml:space="preserve">For the table, each BAN has its sequence and corresponding time gaps.</w:t>
        <w:br w:type="textWrapping"/>
        <w:br w:type="textWrapping"/>
        <w:t xml:space="preserve">For example:</w:t>
        <w:br w:type="textWrapping"/>
        <w:t xml:space="preserve">BAN_101 </w:t>
        <w:br w:type="textWrapping"/>
        <w:t xml:space="preserve">The median gap is 5400 seconds, and the standard deviation is 3699.</w:t>
        <w:br w:type="textWrapping"/>
        <w:t xml:space="preserve">For the BAN_202, with standard deviation 2196.</w:t>
        <w:br w:type="textWrapping"/>
        <w:t xml:space="preserve">These statistics </w:t>
      </w:r>
      <w:r w:rsidDel="00000000" w:rsidR="00000000" w:rsidRPr="00000000">
        <w:rPr>
          <w:b w:val="1"/>
          <w:rtl w:val="0"/>
        </w:rPr>
        <w:t xml:space="preserve">reveal the tempo of user behavior.</w:t>
      </w:r>
      <w:r w:rsidDel="00000000" w:rsidR="00000000" w:rsidRPr="00000000">
        <w:rPr>
          <w:rtl w:val="0"/>
        </w:rPr>
        <w:br w:type="textWrapping"/>
        <w:t xml:space="preserve">When time gaps fluctuate heavily, the standard deviation gap increases — signaling irregular activity.</w:t>
        <w:br w:type="textWrapping"/>
        <w:t xml:space="preserve">When actions are evenly spaced or minimal, the variation remains small.</w:t>
        <w:br w:type="textWrapping"/>
        <w:t xml:space="preserve">This variability acts as a behavioral indicator that helps the model differentiate between steady and high-frequency activity patterns.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Slide 6 – Token Rarity (IDF-Style Feature) (≈ 1 min 40 sec)</w:t>
      </w:r>
      <w:r w:rsidDel="00000000" w:rsidR="00000000" w:rsidRPr="00000000">
        <w:rPr>
          <w:rtl w:val="0"/>
        </w:rPr>
        <w:br w:type="textWrapping"/>
        <w:t xml:space="preserve">Next, we quantify how uncommon certain events are using token rarity — a concept similar to IDF in text analytics.</w:t>
        <w:br w:type="textWrapping"/>
        <w:t xml:space="preserve">The formula is:</w:t>
        <w:br w:type="textWrapping"/>
        <w:t xml:space="preserve">Rarity = log2(N/(1 + df))</w:t>
        <w:br w:type="textWrapping"/>
        <w:t xml:space="preserve">The upper table shows rarity scores for each memo:</w:t>
        <w:br w:type="textWrapping"/>
        <w:t xml:space="preserve">ESCC appears in 3 BANs – rarity 0.32,</w:t>
        <w:br w:type="textWrapping"/>
        <w:t xml:space="preserve">1100 appears in 3 BANs – rarity 0.32,</w:t>
        <w:br w:type="textWrapping"/>
        <w:t xml:space="preserve">CPCS appears in 1 BAN – rarity 1.00.</w:t>
        <w:br w:type="textWrapping"/>
        <w:t xml:space="preserve">CPCS is rarity event, so it gains high probability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The lower table combines these values for each sequence.</w:t>
        <w:br w:type="textWrapping"/>
        <w:t xml:space="preserve">For BAN_101 → [ESCC, 1100, CPCS], the average token rarity = 0.55.</w:t>
        <w:br w:type="textWrapping"/>
        <w:t xml:space="preserve">This means the sequence includes both common and rare activities — a balanced but unique pattern.</w:t>
        <w:br w:type="textWrapping"/>
      </w:r>
      <w:r w:rsidDel="00000000" w:rsidR="00000000" w:rsidRPr="00000000">
        <w:rPr>
          <w:b w:val="1"/>
          <w:rtl w:val="0"/>
        </w:rPr>
        <w:t xml:space="preserve">Rarer activities</w:t>
      </w:r>
      <w:r w:rsidDel="00000000" w:rsidR="00000000" w:rsidRPr="00000000">
        <w:rPr>
          <w:rtl w:val="0"/>
        </w:rPr>
        <w:t xml:space="preserve"> often stand out as </w:t>
      </w:r>
      <w:r w:rsidDel="00000000" w:rsidR="00000000" w:rsidRPr="00000000">
        <w:rPr>
          <w:b w:val="1"/>
          <w:rtl w:val="0"/>
        </w:rPr>
        <w:t xml:space="preserve">unusual </w:t>
      </w:r>
      <w:r w:rsidDel="00000000" w:rsidR="00000000" w:rsidRPr="00000000">
        <w:rPr>
          <w:rtl w:val="0"/>
        </w:rPr>
        <w:t xml:space="preserve">behaviors, and the model learns to treat them as signals that may indicate deviation from normal operational flow.”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Slide 7 – Transition Probabilities &amp; Sequence Likelihood (≈ 1 min 50 sec)</w:t>
      </w:r>
      <w:r w:rsidDel="00000000" w:rsidR="00000000" w:rsidRPr="00000000">
        <w:rPr>
          <w:rtl w:val="0"/>
        </w:rPr>
        <w:br w:type="textWrapping"/>
        <w:br w:type="textWrapping"/>
        <w:t xml:space="preserve">We also analyzed the transition flow between events — how one memo type moves to the next — to understand the behavioral order.</w:t>
        <w:br w:type="textWrapping"/>
        <w:t xml:space="preserve">Step 1: The top table lists raw transition counts.</w:t>
        <w:br w:type="textWrapping"/>
        <w:t xml:space="preserve">For example, ESCC → 1100 occurs 20 times, 1100 → CNTA 15 times.</w:t>
        <w:br w:type="textWrapping"/>
        <w:t xml:space="preserve">Step 2: The middle table shows the normalized conditional probabilities, such as:</w:t>
        <w:br w:type="textWrapping"/>
        <w:t xml:space="preserve">ESCC → 1100 = 0.44,</w:t>
        <w:br w:type="textWrapping"/>
        <w:t xml:space="preserve">ESCC → CNTA = 0.22.</w:t>
        <w:br w:type="textWrapping"/>
        <w:t xml:space="preserve">Step 3: The bottom table summarizes key sequence-level metrics:</w:t>
        <w:br w:type="textWrapping"/>
        <w:t xml:space="preserve">Probability Product = 0.044 (product of all the probabilities applied here conditional probability technique) i.e. next event given current event.</w:t>
        <w:br w:type="textWrapping"/>
        <w:t xml:space="preserve">Geometric Mean = 0.21,</w:t>
        <w:br w:type="textWrapping"/>
        <w:t xml:space="preserve">Entropy = 1.22.</w:t>
        <w:br w:type="textWrapping"/>
        <w:br w:type="textWrapping"/>
        <w:t xml:space="preserve">Entropy captures how</w:t>
      </w:r>
      <w:r w:rsidDel="00000000" w:rsidR="00000000" w:rsidRPr="00000000">
        <w:rPr>
          <w:b w:val="1"/>
          <w:rtl w:val="0"/>
        </w:rPr>
        <w:t xml:space="preserve"> unpredictable the event order is.</w:t>
      </w:r>
      <w:r w:rsidDel="00000000" w:rsidR="00000000" w:rsidRPr="00000000">
        <w:rPr>
          <w:rtl w:val="0"/>
        </w:rPr>
        <w:br w:type="textWrapping"/>
        <w:t xml:space="preserve">A low entropy means stable and repetitive behavior; higher entropy</w:t>
      </w:r>
      <w:r w:rsidDel="00000000" w:rsidR="00000000" w:rsidRPr="00000000">
        <w:rPr>
          <w:b w:val="1"/>
          <w:rtl w:val="0"/>
        </w:rPr>
        <w:t xml:space="preserve"> implies disorganized </w:t>
      </w:r>
      <w:r w:rsidDel="00000000" w:rsidR="00000000" w:rsidRPr="00000000">
        <w:rPr>
          <w:rtl w:val="0"/>
        </w:rPr>
        <w:t xml:space="preserve">and uncertain flow.</w:t>
        <w:br w:type="textWrapping"/>
        <w:t xml:space="preserve">This feature helps quantify the structure and consistency of user activity before the decision event.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Slide 8 – Bi-LSTM Autoencoder (≈ 1 min 50 sec)</w:t>
      </w:r>
      <w:r w:rsidDel="00000000" w:rsidR="00000000" w:rsidRPr="00000000">
        <w:rPr>
          <w:rtl w:val="0"/>
        </w:rPr>
        <w:br w:type="textWrapping"/>
        <w:br w:type="textWrapping"/>
        <w:t xml:space="preserve">To go beyond frequency and timing, we used an unsupervised Bi-LSTM Autoencoder to detect unseen patterns.</w:t>
        <w:br w:type="textWrapping"/>
        <w:t xml:space="preserve">This model learns the structure of normal sequences by </w:t>
      </w:r>
      <w:r w:rsidDel="00000000" w:rsidR="00000000" w:rsidRPr="00000000">
        <w:rPr>
          <w:b w:val="1"/>
          <w:rtl w:val="0"/>
        </w:rPr>
        <w:t xml:space="preserve">reading event orders both forward and backward.</w:t>
        <w:br w:type="textWrapping"/>
      </w:r>
      <w:r w:rsidDel="00000000" w:rsidR="00000000" w:rsidRPr="00000000">
        <w:rPr>
          <w:rtl w:val="0"/>
        </w:rPr>
        <w:t xml:space="preserve">It’s trained only on non-fraud sequences to establish what ‘normal’ looks like.</w:t>
        <w:br w:type="textWrapping"/>
        <w:br w:type="textWrapping"/>
        <w:t xml:space="preserve">During inference, a new sequence is </w:t>
      </w:r>
      <w:r w:rsidDel="00000000" w:rsidR="00000000" w:rsidRPr="00000000">
        <w:rPr>
          <w:b w:val="1"/>
          <w:rtl w:val="0"/>
        </w:rPr>
        <w:t xml:space="preserve">encoded and then reconstructed.</w:t>
      </w:r>
      <w:r w:rsidDel="00000000" w:rsidR="00000000" w:rsidRPr="00000000">
        <w:rPr>
          <w:rtl w:val="0"/>
        </w:rPr>
        <w:br w:type="textWrapping"/>
        <w:t xml:space="preserve">If reconstruction is good → low error (normal).</w:t>
        <w:br w:type="textWrapping"/>
        <w:t xml:space="preserve">If reconstruction fails → high error (abnormal).</w:t>
        <w:br w:type="textWrapping"/>
        <w:t xml:space="preserve"> </w:t>
        <w:br w:type="textWrapping"/>
        <w:t xml:space="preserve">In the table:</w:t>
        <w:br w:type="textWrapping"/>
        <w:t xml:space="preserve">BAN_101 → input and reconstructed match → error 0.00,</w:t>
        <w:br w:type="textWrapping"/>
        <w:t xml:space="preserve">BAN_202 → slight deviation → 0.52,</w:t>
        <w:br w:type="textWrapping"/>
        <w:t xml:space="preserve">BAN_303 → large mismatch → 0.71.</w:t>
        <w:br w:type="textWrapping"/>
        <w:t xml:space="preserve">The higher the error, the more the pattern diverges from learned normal behavior.</w:t>
        <w:br w:type="textWrapping"/>
        <w:t xml:space="preserve">This becomes a strong additional feature — an unsupervised anomaly score highlighting unusual activity even before the model labels it as fraud.”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Slide 9 – Model Performance and Impact</w:t>
      </w:r>
      <w:r w:rsidDel="00000000" w:rsidR="00000000" w:rsidRPr="00000000">
        <w:rPr>
          <w:rtl w:val="0"/>
        </w:rPr>
        <w:br w:type="textWrapping"/>
        <w:br w:type="textWrapping"/>
        <w:t xml:space="preserve">After integrating these sequence-based features, we compared results against the baseline model.</w:t>
        <w:br w:type="textWrapping"/>
        <w:br w:type="textWrapping"/>
        <w:t xml:space="preserve">Baseline LightGBM (15 tabular features):</w:t>
        <w:br w:type="textWrapping"/>
        <w:t xml:space="preserve">Precision = 0.019, Recall = 52.6%, AUC = 0.896, AUC-PR = 0.048.</w:t>
        <w:br w:type="textWrapping"/>
        <w:br w:type="textWrapping"/>
        <w:t xml:space="preserve">Enhanced LightGBM (tabular + sequence features):</w:t>
        <w:br w:type="textWrapping"/>
        <w:t xml:space="preserve">After adding sequence-based features:</w:t>
        <w:br w:type="textWrapping"/>
        <w:t xml:space="preserve">Precision improved by 24 % (to 0.0235)</w:t>
        <w:br w:type="textWrapping"/>
        <w:t xml:space="preserve">Recall jumped by 37 % (to 72.3 %)</w:t>
        <w:br w:type="textWrapping"/>
        <w:t xml:space="preserve">AUC rose to 0.935 (+4.4 %)</w:t>
        <w:br w:type="textWrapping"/>
        <w:t xml:space="preserve">AUC-PR doubled to 0.096 , Earlier it was 0.048</w:t>
        <w:br w:type="textWrapping"/>
        <w:t xml:space="preserve">We also experimented with a Bi-LSTM + Conv1D hybrid model (ROC AUC 0.701, PR AUC 0.030), but the enhanced LightGBM offered a better trade-off between accuracy and speed.</w:t>
        <w:br w:type="textWrapping"/>
        <w:t xml:space="preserve">Overall, the addition of time-gap variability, rarity, transition flow, and anomaly-based features produced significant gains in recall and AUC for rare-event detection.</w:t>
        <w:br w:type="textWrapping"/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“To conclude — </w:t>
      </w:r>
      <w:r w:rsidDel="00000000" w:rsidR="00000000" w:rsidRPr="00000000">
        <w:rPr>
          <w:rtl w:val="0"/>
        </w:rPr>
        <w:br w:type="textWrapping"/>
        <w:t xml:space="preserve">We transformed high-volume logs into structured 48-hour activity sequences for each BAN.</w:t>
        <w:br w:type="textWrapping"/>
        <w:t xml:space="preserve">We extracted timing, rarity, transition, and anomaly-based features — each giving a different behavioral view.</w:t>
        <w:br w:type="textWrapping"/>
        <w:br w:type="textWrapping"/>
        <w:t xml:space="preserve">Together, these sequence features improved interpretability and boosted model precision, recall, and overall AUC.</w:t>
        <w:br w:type="textWrapping"/>
        <w:t xml:space="preserve">This framework is now ready to scale into a real-time fraud detection pipeline.</w:t>
        <w:br w:type="textWrapping"/>
        <w:br w:type="textWrapping"/>
        <w:t xml:space="preserve">Thank you for listening — I’ll be happy to take your questions.”</w:t>
        <w:br w:type="textWrapping"/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On9L1FpZrtcTQxCd8oN4YQmfA==">CgMxLjA4AHIhMTRjejJCQjloYTBnWTQ3V25DM002aXQ4dkdXQmdIZDZE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