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jt85mt5dy3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Correlation Heatmap – Operational Metrics vs CSAT / ASAT / FCR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Insights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 productivity metrics are highly interrelated: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Occupancy ↔ Utilization = 0.99</w:t>
      </w:r>
      <w:r w:rsidDel="00000000" w:rsidR="00000000" w:rsidRPr="00000000">
        <w:rPr>
          <w:rtl w:val="0"/>
        </w:rPr>
        <w:t xml:space="preserve"> (almost perfect).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Hold Time ↔ Occupancy = 0.85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Hold Time ↔ Utilization = 0.90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long holds happen when agents are heavily loaded.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SLA ↔ ACW Time = 0.92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SLA ↔ Hold Time = 0.43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service level performance depends on wrap-up and hold durations.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experience linkage: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CSAT ↔ ASAT = 0.77 (strong positive).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CSAT ↔ FCR = 0.73 (strong).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ASAT ↔ FCR = 0.70 (strong).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Satisfied, well-supported agents and higher first-call resolution strongly lift customer satisfaction.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AHT (Average Handle Time):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</w:t>
      </w:r>
      <w:r w:rsidDel="00000000" w:rsidR="00000000" w:rsidRPr="00000000">
        <w:rPr>
          <w:b w:val="1"/>
          <w:rtl w:val="0"/>
        </w:rPr>
        <w:t xml:space="preserve">little to negative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correlation with CSAT (≈ –0.15) and ASAT (≈ –0.23).</w:t>
        <w:br w:type="textWrapping"/>
        <w:t xml:space="preserve"> → Longer calls don’t automatically drive satisfaction; efficient resolution matters more.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load vs satisfaction: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Occupancy/Utilization show near-zero correlation with CSAT/ASAT/FCR.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High workload alone doesn’t predict satisfaction — quality of resolution is the key driver.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on FCR and agent enablement</w:t>
      </w:r>
      <w:r w:rsidDel="00000000" w:rsidR="00000000" w:rsidRPr="00000000">
        <w:rPr>
          <w:rtl w:val="0"/>
        </w:rPr>
        <w:t xml:space="preserve"> rather than just reducing AHT — resolving on first call is a stronger lever for CSAT/ASAT.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wrap-up &amp; hold times</w:t>
      </w:r>
      <w:r w:rsidDel="00000000" w:rsidR="00000000" w:rsidRPr="00000000">
        <w:rPr>
          <w:rtl w:val="0"/>
        </w:rPr>
        <w:t xml:space="preserve"> to improve SLA without harming satisfaction.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high ASAT performers as role models:</w:t>
      </w:r>
      <w:r w:rsidDel="00000000" w:rsidR="00000000" w:rsidRPr="00000000">
        <w:rPr>
          <w:rtl w:val="0"/>
        </w:rPr>
        <w:t xml:space="preserve"> strong link between ASAT and both CSAT/FCR suggests coaching &amp; engagement drive better outcomes.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 workload but don’t equate high utilization with quality</w:t>
      </w:r>
      <w:r w:rsidDel="00000000" w:rsidR="00000000" w:rsidRPr="00000000">
        <w:rPr>
          <w:rtl w:val="0"/>
        </w:rPr>
        <w:t xml:space="preserve"> — invest in knowledge tools &amp; better processes rather than simply pushing productivity.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Talking point for the client:</w:t>
      </w:r>
    </w:p>
    <w:p w:rsidR="00000000" w:rsidDel="00000000" w:rsidP="00000000" w:rsidRDefault="00000000" w:rsidRPr="00000000" w14:paraId="0000001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“This heat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