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Excellent, Bhadra Rao 👌 — understood perfectly.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want the final improved version of your presentation script — one that: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Combines the clarity of your earlier two scripts + the flow of the PPT you shared.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Mentions both sequence and corresponding time gaps clearly in data preparation and feature extraction (so that the audience sees how the two are connected).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Aligns with the purpose of each slide (without explicitly saying “purpose” — it should come naturally).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Keeps the explanation simple, smooth, and professional for an online Teams Summit presentation.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Highlights the standard deviation gap as one of the critical behavioral indicators — but briefly and clearly.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🎤 Final 12-Minute Presentation Script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Detecting Fraud in Real Time — Sequence-Based Feature Engineering and Modeling in Telecom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(Final Refined Version — for Online Summit Delivery)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Slide 1 – Title (≈ 30 sec)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 “Good morning everyone, I’m Bhadra Rao, and I’m happy to present our work —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Detecting Fraud in Real Time using Sequence-Based Feature Engineering and Modeling in Telecom.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project focuses on transforming raw customer activity logs into structured, sequence-based features that help identify behavior patterns leading up to a decision event — whether that event turns out to be fraud or non-fraud.”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Slide 2 – Business Motivation &amp; Challenge (≈ 1 min)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&gt; “In telecom, fraud is not a single action — it’s a series of activities over time.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Traditional static models cannot capture this evolving behavior.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 face three major challenges: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High-volume data with millions of logs,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Rare-event ratio — only 0.33% labeled as fraud,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Noisy and overlapping activities between normal and suspicious behavior.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objective was to uncover meaningful patterns from these activity sequences and build explainable, real-time features that strengthen detection accuracy.”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Slide 3 – Data Source Summary (≈ 45 sec)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&gt; “Our data comes from the Telegence Channel, which logs every activity linked to a Billing Account Number (BAN).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Each entry has a timestamp and a memo type that describes what action occurred.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We began with nearly 250 memo types.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Using a chi-square test with fraud and non-fraud labels, we identified the 13 most significant memo types — such as ESCC, 1100, EQUIP, and CPCS.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These memo types carried the strongest signals for differentiating normal versus anomalous behavior.”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Slide 4 – Pre-Processing Pipeline (48-Hour Window) (≈ 1 min 30 sec)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&gt; “The first step was to prepare structured input from unstructured logs.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 every decision event, we used its unique Application ID and mapped all corresponding BAN activities that occurred within 48 hours before that event.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steps followed are: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Filter all event logs for that BAN within the 48-hour window before the decision time,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Retain only the top 13 memo types,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Sort events chronologically,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Compute the time gap between each event and the decision event in seconds.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Now look at the slide: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top table shows the raw sequence — ESCC → NOTE → 1100 → CPCS with event times like 05:00, 07:00, 08:00, and 09:30.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bottom table shows the transformed version: sequence [ESCC, 1100, CPCS] with corresponding time gaps [10800, 5400, 1800] seconds.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By pairing each event with its time gap, we capture not only what actions occurred but also when and how closely they happened — creating a clear behavioral timeline for every customer.”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Slide 5 – Statistical Time-Gap &amp; Sequence Features (≈ 1 min 40 sec)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&gt; “From the processed sequences and their time gaps, we derived statistical features that summarize how active or consistent a customer’s recent behavior is.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We calculated: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• Minimum gap – shortest interval between two events,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• Maximum gap – longest pause,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Median gap – typical spacing,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Standard deviation gap – overall variability across actions,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• Order length – number of unique events in the sequence.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 the table, each BAN has its sequence and corresponding time gaps displayed side-by-side.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BAN_101 → [ESCC, 1100, CPCS] → [10800, 5400, 1800].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median gap is 5400 seconds, and the standard deviation is 3699.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BAN_202 → [CNTA, ELG, EQUIP, CPCS, NOTE] → [3600, 1800, 720, 6400, 501], with standard deviation 2196.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These statistics reveal the tempo of user behavior.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When time gaps fluctuate heavily, the standard deviation gap increases — signaling irregular activity.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When actions are evenly spaced or minimal, the variation remains small.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This variability acts as a behavioral indicator that helps the model differentiate between steady and high-frequency activity patterns.”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Slide 6 – Token Rarity (IDF-Style Feature) (≈ 1 min 40 sec)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 “Next, we quantify how uncommon certain events are using token rarity — a concept similar to IDF in text analytics.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formula is: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\text{Rarity} = \log_2\!\left(\frac{N}{1 + df}\right)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upper table shows rarity scores for each memo: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ESCC appears in 3 BANs → rarity 0.32,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1100 appears in 3 BANs → 0.32,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CPCS appears in 1 BAN → 1.00.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 lower table combines these values for each sequence.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BAN_101 → [ESCC, 1100, CPCS], the average token rarity = 0.55.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This means the sequence includes both common and rare activities — a balanced but unique pattern.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Rarer activities often stand out as unusual behaviors, and the model learns to treat them as signals that may indicate deviation from normal operational flow.”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Slide 7 – Transition Probabilities &amp; Sequence Likelihood (≈ 1 min 50 sec)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&gt; “We also analyzed the transition flow between events — how one memo type moves to the next — to understand the behavioral order.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Step 1: The top table lists raw transition counts.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example, ESCC → 1100 occurs 20 times, 1100 → CNTA 15 times.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Step 2: The middle table shows the normalized conditional probabilities, such as: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ESCC → 1100 = 0.44,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ESCC → CNTA = 0.22,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ESCC → ELG = 0.22.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Step 3: The bottom table summarizes key sequence-level metrics: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Probability Product = 0.044,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Geometric Mean = 0.21,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Entropy = 1.22.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Entropy captures how unpredictable the event order is.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 low entropy means stable and repetitive behavior; higher entropy implies disorganized and uncertain flow.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This feature helps quantify the structure and consistency of user activity before the decision event.”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Slide 8 – Bi-LSTM Autoencoder (≈ 1 min 50 sec)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&gt; “To go beyond frequency and timing, we used an unsupervised Bi-LSTM Autoencoder to detect unseen patterns.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This model learns the structure of normal sequences by reading event orders both forward and backward.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It’s trained only on non-fraud sequences to establish what ‘normal’ looks like.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During inference, a new sequence is encoded and then reconstructed.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reconstruction is good → low error (normal).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reconstruction fails → high error (abnormal).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 the table: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BAN_101 → input and reconstructed match → error 0.00,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BAN_202 → slight deviation → 0.52,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BAN_303 → large mismatch → 0.71.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The higher the error, the more the pattern diverges from learned normal behavior.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This becomes a strong additional feature — an unsupervised anomaly score highlighting unusual activity even before the model labels it as fraud.”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Slide 9 – Model Performance and Impact (≈ 1 min 40 sec)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&gt; “After integrating these sequence-based features, we compared results against the baseline model.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Baseline LightGBM (15 tabular features):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Precision = 0.019, Recall = 52.6%, AUC = 0.896, AUC-PR = 0.048.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Enhanced LightGBM (tabular + sequence features):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Precision = 0.0235 (+24%), Recall = 72.3% (+37%), AUC = 0.935 (+4.4%), AUC-PR = 0.096 (double improvement).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We also experimented with a Bi-LSTM + Conv1D hybrid (ROC AUC 0.701, PR AUC 0.030), but the enhanced LightGBM offered a better trade-off between accuracy and speed.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Overall, the addition of time-gap variability, rarity, transition flow, and anomaly-based features produced significant gains in recall and AUC for rare-event detection.”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Slide 10 – Key Insights &amp; Closing (≈ 1 min 15 sec)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&gt; “To conclude —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We transformed high-volume logs into structured 48-hour activity sequences for each BAN.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We extracted timing, rarity, transition, and anomaly-based features — each giving a different behavioral view.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Together, these sequence features improved interpretability and boosted model precision, recall, and overall AUC.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This framework is now ready to scale into a real-time fraud detection pipeline.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Thank you for listening — I’ll be happy to take your questions.”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⏱ Timing Summary – ≈ 12 Minutes Total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Section</w:t>
        <w:tab/>
        <w:t xml:space="preserve">Duration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Title + Motivation</w:t>
        <w:tab/>
        <w:t xml:space="preserve">1:30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Data Source</w:t>
        <w:tab/>
        <w:t xml:space="preserve">0:45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Pre-Processing</w:t>
        <w:tab/>
        <w:t xml:space="preserve">1:30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Time-Gap &amp; Sequence Features</w:t>
        <w:tab/>
        <w:t xml:space="preserve">1:40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Token Rarity</w:t>
        <w:tab/>
        <w:t xml:space="preserve">1:40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Transition Probabilities</w:t>
        <w:tab/>
        <w:t xml:space="preserve">1:50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Bi-LSTM Autoencoder</w:t>
        <w:tab/>
        <w:t xml:space="preserve">1:50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Model Performance</w:t>
        <w:tab/>
        <w:t xml:space="preserve">1:40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Closing</w:t>
        <w:tab/>
        <w:t xml:space="preserve">1:15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</w:t>
        <w:tab/>
        <w:t xml:space="preserve">≈ 12 min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Would you like me to now prepare the speaker rehearsal version of this final script — with short pacing cues like pause, slow tone here, and highlight sequence–gap pair on slide — so you can practice it naturally for the Summit presentation?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