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Perfect — understood.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Here’s your final, polished, leadership-ready “Business Commitments (2024 – 2025)” — with all collaboration and recognition details removed, keeping the focus entirely on business delivery, innovation, measurable impact, and production readiness.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version is formatted and phrased exactly in the style used for AT&amp;T’s self-evaluation form and can be pasted directly.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Top Business Commitments (2024 – 2025)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Strengthened Fraud Detection Through Memo Analytics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Enhanced AT&amp;T’s fraud-detection capability by transforming Telegence memo logs into sequence-based analytical features capturing event order, timing, and contextual dependencies.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Designed innovative statistical, probabilistic, and rarity-based feature sets, improving the model’s ability to identify complex behavioral patterns.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Established a scalable analytical foundation supporting future fraud-analytics initiatives and anomaly-pattern identification.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Challenger Model Development, Deployment &amp; Monitoring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Deployed a Challenger model earlier this year based on Churn-derived features; it is currently under active monitoring and benchmark comparison with the Champion model for performance stability and drift.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Designed and validated a new sequence-based Challenger model using statistical, probabilistic, and rarity-driven sequence features, achieving strong test-phase uplifts: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Precision +24 %, Recall +37 %, AUC +4.4 %, and AUC-PR improved from 0.048 to 0.088.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Partnered with MLOps and engineering teams to complete CI/CD integration, predict.py enhancements, and Kafka → Redis → AKS streaming readiness for production deployment in the upcoming release cycle.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Ensured detailed validation and documentation for a smooth production rollout.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Databricks Automation, Feature Monitoring &amp; Model Evaluation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Independently set up and automated all Databricks notebooks supporting end-to-end model operations, including: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Feature monitoring and statistical visualization.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 evaluation and Champion–Challenger comparison.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False-negative analysis, rule-update notebooks, and feature-store refresh.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Configured and maintained seven to eight notebooks for reliable daily execution; resolved code, configuration, and dependency issues to ensure error-free operation.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Continuously monitored job health, performed root-cause analysis for failures, and implemented script optimizations to maintain pipeline stability.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Supported analytical requests by extracting and transforming data from MongoDB, log repositories, and other internal sources to enable faster business insights.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Drift Detection Innovation &amp; Governance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Conceptualized and led the implementation of the Earth Mover’s Distance (EMD) + 3σ-based drift-detection framework—an original idea that enhanced early feature-anomaly identification and model reliability.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Provided design logic, validation methodology, and mentoring to guide successful delivery.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Established dedicated drift-detection workflows independent of feature monitoring, increasing transparency across numerical and categorical features.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Strengthened governance through automated drift metrics, alerts, and version-controlled reporting for both Champion and Challenger models.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Advanced Sequence-Anomaly Detection (R&amp;D Initiative)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Initiated R&amp;D on a BiLSTM + Isolation Forest hybrid framework to identify abnormal temporal patterns within memo sequences.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Integrated time-gap embeddings between events and combined outputs with tabular features to improve anomaly-scoring precision.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Early experimental results demonstrate strong potential for integration into future anomaly-driven fraud-alerting systems.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Business &amp; Operational Outcomes (In Progress)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Churn-based Challenger model remains in continuous monitoring to assess live performance and drift stability.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sequence-based Challenger, fully validated and ready for deployment, is expected to deliver measurable improvements in detection accuracy, latency reduction, and decision reliability once released to production.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Established a sustainable innovation framework combining EMD-based drift analytics, Databricks automation, and real-time feature streaming, positioning AT&amp;T’s fraud-detection ecosystem for long-term scalability and accuracy.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uplift in AUC-PR (0.048 → 0.088) highlights significant model-performance improvement during validation.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your final version — streamlined, professional, and business-impact-focused, with all collaboration and recognition content excluded.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Would you like me to now move on to polish the Development Commitments (2024 – 2025) section next, to complement this version?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