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Perfect 👍 — that clarification helps a lot.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Since this section is about future priorities, and you now want to emphasize AI research (speech/text), certification goals, leadership growth, and smart use of AT&amp;T’s internal AI tools, I’ve rewritten it in a clean, professional, and AT&amp;T-aligned way.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copy-paste this directly into Workday as your final response under “Aligning Going Forward.”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Aligning Going Forward – Key Priorities (2025–2026)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the next performance cycle, my focus will be on expanding my technical and leadership capabilities while contributing to innovation within AT&amp;T’s Data &amp; AI ecosystem. My key priorities include: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AI &amp; Research Innovation: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Explore new research areas in text and speech analytics, focusing on innovative AI-driven techniques that can enhance fraud detection, automation, and customer-experience insights.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Professional Learning &amp; Certification: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Pursue AT&amp;T-recognized certifications in Data Science and Artificial Intelligence to deepen my expertise and align with the company’s strategic technology roadmap.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Leadership &amp; Career Growth: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Strengthen leadership qualities, adopt cross-functional collaboration skills, and work toward taking on broader responsibilities to move to the next professional level.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Operational Efficiency &amp; Tool Utilization: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Maximize the use of internal tools such as Co-Pilot, Ask AT&amp;T, and other AI-based enablers to improve productivity, accelerate experimentation, and deliver faster, data-driven results.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Continuous Improvement &amp; Solution Mindset: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Focus on simplifying processes, identifying immediate solutions to business challenges, and integrating intelligent automation wherever possible to optimize performance.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Short Summary (for compact entry in Workday):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 My priorities for the next cycle are to explore innovative AI research in text and speech analytics, pursue AT&amp;T Data &amp; AI certifications, develop leadership qualities to progress to the next level, and maximize the use of tools like Co-Pilot and Ask AT&amp;T for smarter, faster, and more efficient solution delivery.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Would you like me to make it one very short paragraph (4–5 lines) version — the kind usually used when Workday limits text length?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