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jc w:val="center"/>
        <w:rPr/>
      </w:pPr>
      <w:r>
        <w:t>Sequence-Based Behavioral Risk Intelligence Model</w:t>
      </w:r>
    </w:p>
    <w:p>
      <w:pPr>
        <w:pStyle w:val="style0"/>
        <w:rPr/>
      </w:pPr>
      <w:r>
        <w:rPr>
          <w:b/>
        </w:rPr>
        <w:t>Memo Event Sequence + Time Gap Deep Learning Framework</w:t>
      </w:r>
    </w:p>
    <w:p>
      <w:pPr>
        <w:pStyle w:val="style1"/>
        <w:rPr/>
      </w:pPr>
      <w:r>
        <w:t>1. Executive Summary</w:t>
      </w:r>
    </w:p>
    <w:p>
      <w:pPr>
        <w:pStyle w:val="style0"/>
        <w:rPr/>
      </w:pPr>
      <w:r>
        <w:t>This document summarizes the Sequence-Based Behavioral Risk Intelligence framework developed for enhancing Port-Out Fraud Detection using memo-event sequences and temporal transition behavior.</w:t>
      </w:r>
    </w:p>
    <w:p>
      <w:pPr>
        <w:pStyle w:val="style0"/>
        <w:rPr/>
      </w:pPr>
      <w:r>
        <w:t>The solution generates behavioral probability scores from raw memo-event timelines and integrates the generated probability score into the downstream Port-Out Fraud API model as an additional behavioral intelligence feature.</w:t>
      </w:r>
    </w:p>
    <w:p>
      <w:pPr>
        <w:pStyle w:val="style1"/>
        <w:rPr/>
      </w:pPr>
      <w:r>
        <w:t>2. Business Objective</w:t>
      </w:r>
    </w:p>
    <w:p>
      <w:pPr>
        <w:pStyle w:val="style48"/>
        <w:rPr/>
      </w:pPr>
      <w:r>
        <w:t>Analyze complete memo-event behavioral sequences.</w:t>
      </w:r>
    </w:p>
    <w:p>
      <w:pPr>
        <w:pStyle w:val="style48"/>
        <w:rPr/>
      </w:pPr>
      <w:r>
        <w:t>Capture suspicious temporal transitions using time-gap intelligence.</w:t>
      </w:r>
    </w:p>
    <w:p>
      <w:pPr>
        <w:pStyle w:val="style48"/>
        <w:rPr/>
      </w:pPr>
      <w:r>
        <w:t>Generate behavioral probability scores using sequence learning.</w:t>
      </w:r>
    </w:p>
    <w:p>
      <w:pPr>
        <w:pStyle w:val="style48"/>
        <w:rPr/>
      </w:pPr>
      <w:r>
        <w:t>Enhance downstream Port-Out Fraud prediction using sequence intelligence.</w:t>
      </w:r>
    </w:p>
    <w:p>
      <w:pPr>
        <w:pStyle w:val="style48"/>
        <w:rPr/>
      </w:pPr>
      <w:r>
        <w:t>Support abnormal BAN-level behavior identification independently.</w:t>
      </w:r>
    </w:p>
    <w:p>
      <w:pPr>
        <w:pStyle w:val="style1"/>
        <w:rPr/>
      </w:pPr>
      <w:r>
        <w:t>3. Raw Input Memo Dataset</w:t>
      </w:r>
    </w:p>
    <w:p>
      <w:pPr>
        <w:pStyle w:val="style0"/>
        <w:rPr/>
      </w:pPr>
      <w:r>
        <w:t>The raw dataset was prepared using the last four months of memo-event activity data.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Column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Description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BAN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Billing Account Number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CTN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Customer Telephone Number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memo_type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Memo event/activity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ggs_commit_ts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Memo event timestamp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applicationId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Application identifier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fraud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Fraud label</w:t>
            </w:r>
          </w:p>
        </w:tc>
      </w:tr>
    </w:tbl>
    <w:p>
      <w:pPr>
        <w:pStyle w:val="style1"/>
        <w:rPr/>
      </w:pPr>
      <w:r>
        <w:t>4. Sequence Generation Logic</w:t>
      </w:r>
    </w:p>
    <w:p>
      <w:pPr>
        <w:pStyle w:val="style0"/>
        <w:rPr/>
      </w:pPr>
      <w:r>
        <w:t>For each BAN/application, the latest 60-hour memo activity window was selected. All memo events inside the window were ordered chronologically to generate complete behavioral memo sequences.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645"/>
        <w:gridCol w:w="3527"/>
        <w:gridCol w:w="2685"/>
      </w:tblGrid>
      <w:tr>
        <w:trPr/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Raw Memo Events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Generated Sequence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Purpose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ELG, ELG, 1019, 1100, CER, NCCH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ELG_ELG_1019_1100_CER_NCCH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Capture complete behavioral activity flow</w:t>
            </w:r>
          </w:p>
        </w:tc>
      </w:tr>
    </w:tbl>
    <w:p>
      <w:pPr>
        <w:pStyle w:val="style1"/>
        <w:rPr/>
      </w:pPr>
      <w:r>
        <w:t>5. Time Gap Engineering</w:t>
      </w:r>
    </w:p>
    <w:p>
      <w:pPr>
        <w:pStyle w:val="style0"/>
        <w:rPr/>
      </w:pPr>
      <w:r>
        <w:t>Time gaps were calculated between memo events to capture temporal movement behavior.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Previous Event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Current Event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Gap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Behavior</w:t>
            </w:r>
          </w:p>
        </w:tc>
      </w:tr>
      <w:tr>
        <w:tblPrEx/>
        <w:trPr/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ELG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ELG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711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Repeated activity pattern</w:t>
            </w:r>
          </w:p>
        </w:tc>
      </w:tr>
      <w:tr>
        <w:tblPrEx/>
        <w:trPr/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ELG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0005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174856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Long transition behavior</w:t>
            </w:r>
          </w:p>
        </w:tc>
      </w:tr>
      <w:tr>
        <w:tblPrEx/>
        <w:trPr/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0005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CANI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89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Rapid operational movement</w:t>
            </w:r>
          </w:p>
        </w:tc>
      </w:tr>
    </w:tbl>
    <w:p>
      <w:pPr>
        <w:pStyle w:val="style1"/>
        <w:rPr/>
      </w:pPr>
      <w:r>
        <w:t>6. LightGBM Supervised Gap Binning Strategy</w:t>
      </w:r>
    </w:p>
    <w:p>
      <w:pPr>
        <w:pStyle w:val="style0"/>
        <w:rPr/>
      </w:pPr>
      <w:r>
        <w:t>Raw time-gap values were transformed into fraud-sensitive temporal bins using supervised LightGBM learning.</w:t>
      </w:r>
    </w:p>
    <w:p>
      <w:pPr>
        <w:pStyle w:val="style0"/>
        <w:rPr/>
      </w:pPr>
      <w:r>
        <w:t>The LightGBM model was trained using transformed time-gap values and fraud/non-fraud labels to identify temporal regions where suspicious behavior differs.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Step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Input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Processing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Output</w:t>
            </w:r>
          </w:p>
        </w:tc>
      </w:tr>
      <w:tr>
        <w:tblPrEx/>
        <w:trPr/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Gap Calculation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Memo timestamps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Calculate time differences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Raw gaps</w:t>
            </w:r>
          </w:p>
        </w:tc>
      </w:tr>
      <w:tr>
        <w:tblPrEx/>
        <w:trPr/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Log Transformation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Raw gaps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Normalize skewed distribution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Log gaps</w:t>
            </w:r>
          </w:p>
        </w:tc>
      </w:tr>
      <w:tr>
        <w:tblPrEx/>
        <w:trPr/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LightGBM Training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Log gaps + fraud labels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Learn fraud-sensitive regions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Split thresholds</w:t>
            </w:r>
          </w:p>
        </w:tc>
      </w:tr>
      <w:tr>
        <w:tblPrEx/>
        <w:trPr/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Gap Binning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Split thresholds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Generate supervised bins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150 gap bins</w:t>
            </w:r>
          </w:p>
        </w:tc>
      </w:tr>
    </w:tbl>
    <w:p>
      <w:pPr>
        <w:pStyle w:val="style1"/>
        <w:rPr/>
      </w:pPr>
      <w:r>
        <w:t>7. Fraud vs Non-Fraud Time Gap Transformation Example</w:t>
      </w:r>
    </w:p>
    <w:p>
      <w:pPr>
        <w:pStyle w:val="style0"/>
        <w:rPr/>
      </w:pPr>
      <w:r>
        <w:t>The following examples illustrate how raw sequence gaps were transformed and used as input into the LightGBM supervised binning process.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435"/>
        <w:gridCol w:w="1433"/>
        <w:gridCol w:w="1437"/>
        <w:gridCol w:w="1436"/>
        <w:gridCol w:w="1679"/>
        <w:gridCol w:w="1438"/>
      </w:tblGrid>
      <w:tr>
        <w:trPr/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orig_idx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fraud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time_gap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log_gap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LightGBM Input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Generated Bin</w:t>
            </w:r>
          </w:p>
        </w:tc>
      </w:tr>
      <w:tr>
        <w:tblPrEx/>
        <w:trPr/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0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0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711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6.57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[orig_idx=0, fraud=0, log_gap=6.57]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bin96</w:t>
            </w:r>
          </w:p>
        </w:tc>
      </w:tr>
      <w:tr>
        <w:tblPrEx/>
        <w:trPr/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1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1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89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4.49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[orig_idx=1, fraud=1, log_gap=4.49]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/>
            </w:pPr>
            <w:r>
              <w:t>bin15</w:t>
            </w:r>
          </w:p>
        </w:tc>
      </w:tr>
    </w:tbl>
    <w:p>
      <w:pPr>
        <w:pStyle w:val="style0"/>
        <w:rPr/>
      </w:pPr>
      <w:r>
        <w:t>The LightGBM model learns fraud-sensitive split points from the transformed time-gap values and assigns corresponding supervised bins.</w:t>
      </w:r>
    </w:p>
    <w:p>
      <w:pPr>
        <w:pStyle w:val="style1"/>
        <w:rPr/>
      </w:pPr>
      <w:r>
        <w:t>8. Final Transition Sequence Construction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Memo Sequence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Gap Bin Sequence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Final Transition Tokens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ELG_ELG_1019_1100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bin96_bin87_bin15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ELG | bin96 | ELG | bin87 | 1019 | bin15 | 1100</w:t>
            </w:r>
          </w:p>
        </w:tc>
      </w:tr>
    </w:tbl>
    <w:p>
      <w:pPr>
        <w:pStyle w:val="style1"/>
        <w:rPr/>
      </w:pPr>
      <w:r>
        <w:t>9. Tokenization and Integer Encoding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Token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Encoded Value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ELG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12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1019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45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bin15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104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bin96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178</w:t>
            </w:r>
          </w:p>
        </w:tc>
      </w:tr>
    </w:tbl>
    <w:p>
      <w:pPr>
        <w:pStyle w:val="style0"/>
        <w:rPr/>
      </w:pPr>
      <w:r>
        <w:t>All memo events and generated bins were converted into integer tokens before feeding them into the Conv1D model.</w:t>
      </w:r>
    </w:p>
    <w:p>
      <w:pPr>
        <w:pStyle w:val="style1"/>
        <w:rPr/>
      </w:pPr>
      <w:r>
        <w:t>10. Conv1D Sequence Intelligence Model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Layer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Purpose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Embedding Layer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Generate dense sequence representations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Conv1D Layer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Learn local behavioral sequence patterns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Global Max Pooling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Capture strongest sequence signals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Dense Layer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Behavioral classification learning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Sigmoid Output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Generate behavioral probability score</w:t>
            </w:r>
          </w:p>
        </w:tc>
      </w:tr>
    </w:tbl>
    <w:p>
      <w:pPr>
        <w:pStyle w:val="style1"/>
        <w:rPr/>
      </w:pPr>
      <w:r>
        <w:t>11. Train / Validation / Test Split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Dataset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Rows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Fraud Rows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Percentage</w:t>
            </w:r>
          </w:p>
        </w:tc>
      </w:tr>
      <w:tr>
        <w:tblPrEx/>
        <w:trPr/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Train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206,472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823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60%</w:t>
            </w:r>
          </w:p>
        </w:tc>
      </w:tr>
      <w:tr>
        <w:tblPrEx/>
        <w:trPr/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Validation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68,824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274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20%</w:t>
            </w:r>
          </w:p>
        </w:tc>
      </w:tr>
      <w:tr>
        <w:tblPrEx/>
        <w:trPr/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Test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68,825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274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20%</w:t>
            </w:r>
          </w:p>
        </w:tc>
      </w:tr>
    </w:tbl>
    <w:p>
      <w:pPr>
        <w:pStyle w:val="style1"/>
        <w:rPr/>
      </w:pPr>
      <w:r>
        <w:t>12. Dataset Summary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Parameter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Value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Fraud Rows Used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1,371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Non-Fraud Rows Used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342,750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Vocabulary Size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367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Maximum Sequence Length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845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Supervised Gap Bins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150</w:t>
            </w:r>
          </w:p>
        </w:tc>
      </w:tr>
    </w:tbl>
    <w:p>
      <w:pPr>
        <w:pStyle w:val="style1"/>
        <w:rPr/>
      </w:pPr>
      <w:r>
        <w:t>13. Model Evaluation Results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Metric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Result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Validation ROC-AUC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0.6514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Validation PR-AUC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0.0154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Test ROC-AUC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0.6313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Test PR-AUC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0.0188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Recall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31.75%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Accuracy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0.8461</w:t>
            </w:r>
          </w:p>
        </w:tc>
      </w:tr>
    </w:tbl>
    <w:p>
      <w:pPr>
        <w:pStyle w:val="style1"/>
        <w:rPr/>
      </w:pPr>
      <w:r>
        <w:t>14. Final Integration Strategy</w:t>
      </w:r>
    </w:p>
    <w:p>
      <w:pPr>
        <w:pStyle w:val="style48"/>
        <w:rPr/>
      </w:pPr>
      <w:r>
        <w:t>Memo Event Timelines</w:t>
      </w:r>
    </w:p>
    <w:p>
      <w:pPr>
        <w:pStyle w:val="style48"/>
        <w:rPr/>
      </w:pPr>
      <w:r>
        <w:t>Sequence Intelligence Model</w:t>
      </w:r>
    </w:p>
    <w:p>
      <w:pPr>
        <w:pStyle w:val="style48"/>
        <w:rPr/>
      </w:pPr>
      <w:r>
        <w:t>Behavioral Probability Score</w:t>
      </w:r>
    </w:p>
    <w:p>
      <w:pPr>
        <w:pStyle w:val="style48"/>
        <w:rPr/>
      </w:pPr>
      <w:r>
        <w:t>Port-Out Fraud API Endpoint</w:t>
      </w:r>
    </w:p>
    <w:p>
      <w:pPr>
        <w:pStyle w:val="style48"/>
        <w:rPr/>
      </w:pPr>
      <w:r>
        <w:t>Final Fraud Prediction</w:t>
      </w:r>
    </w:p>
    <w:p>
      <w:pPr>
        <w:pStyle w:val="style0"/>
        <w:rPr/>
      </w:pPr>
      <w:r>
        <w:t>The generated probability score acts as an additional behavioral intelligence feature before final fraud prediction.</w:t>
      </w:r>
    </w:p>
    <w:p>
      <w:pPr>
        <w:pStyle w:val="style1"/>
        <w:rPr/>
      </w:pPr>
      <w:r>
        <w:t>15. Conclusion</w:t>
      </w:r>
    </w:p>
    <w:p>
      <w:pPr>
        <w:pStyle w:val="style0"/>
        <w:rPr/>
      </w:pPr>
      <w:r>
        <w:t>The Sequence-Based Behavioral Risk Intelligence framework introduces a behavioral sequence intelligence layer capable of learning suspicious memo-event transitions, abnormal temporal behavior, and high-risk BAN activity patterns. The generated probability score enhances downstream Port-Out Fraud prediction by introducing sequence-aware behavioral intelligence beyond traditional features.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c4681a6c-a40b-48c6-b2e3-c4ad2d49138d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1af97d17-c98c-42e2-869a-0c5e1750feb4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25cc0483-9856-40a6-a47f-4dc158374bed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8f242726-0fb3-4315-b336-949e0e3e81c5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0769cf37-1ec0-45d1-a173-b5f5489e8790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e2e9376e-d7d1-4ad9-91bf-f5219f04116b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98548f81-41bc-4f33-b4d4-9b92bc0c7830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e8a35833-a17f-4b8c-aadf-42d3911612c0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38e62f61-5e56-4a8e-8d57-b17a52526ef0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bd10587a-3827-4ffb-b15f-036fdadc8e3d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340cc925-ae76-435b-9b4a-8484634dd3cf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3e1fc615-99d4-4789-ad34-172f22d2cd7a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b31a4ab9-a82e-4e1d-b911-17ee3c0aa55d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23654897-d32a-4748-bf68-2a7372b9dba8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636</Words>
  <Pages>1</Pages>
  <Characters>4164</Characters>
  <Application>WPS Office</Application>
  <DocSecurity>0</DocSecurity>
  <Paragraphs>234</Paragraphs>
  <ScaleCrop>false</ScaleCrop>
  <LinksUpToDate>false</LinksUpToDate>
  <CharactersWithSpaces>4617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2026-05-14T16:48:49Z</dcterms:created>
  <dc:creator>python-docx</dc:creator>
  <dc:description>generated by python-docx</dc:description>
  <lastModifiedBy>CPH2689</lastModifiedBy>
  <dcterms:modified xsi:type="dcterms:W3CDTF">2026-05-14T16:48:49Z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b8e2b38e982f4e8fbc85d35bd80efa8e</vt:lpwstr>
  </property>
</Properties>
</file>