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009" w:rsidRDefault="00307009" w:rsidP="00307009">
      <w:pPr>
        <w:pStyle w:val="Heading2"/>
        <w:rPr>
          <w:sz w:val="28"/>
          <w:szCs w:val="28"/>
        </w:rPr>
      </w:pPr>
      <w:bookmarkStart w:id="0" w:name="_Toc484708021"/>
      <w:r>
        <w:rPr>
          <w:sz w:val="28"/>
          <w:szCs w:val="28"/>
        </w:rPr>
        <w:t>AMS Scope</w:t>
      </w:r>
      <w:bookmarkEnd w:id="0"/>
    </w:p>
    <w:p w:rsidR="00307009" w:rsidRDefault="00307009" w:rsidP="00307009">
      <w:pPr>
        <w:pStyle w:val="BodyText"/>
      </w:pPr>
    </w:p>
    <w:p w:rsidR="00307009" w:rsidRPr="00307009" w:rsidRDefault="00307009" w:rsidP="00307009">
      <w:pPr>
        <w:pStyle w:val="BodyText"/>
      </w:pPr>
    </w:p>
    <w:p w:rsidR="00307009" w:rsidRDefault="00307009" w:rsidP="00307009">
      <w:pPr>
        <w:pStyle w:val="BodyText"/>
        <w:jc w:val="both"/>
        <w:rPr>
          <w:color w:val="000000"/>
          <w:lang w:val="en-GB"/>
        </w:rPr>
      </w:pPr>
      <w:r>
        <w:rPr>
          <w:lang w:val="en-GB"/>
        </w:rPr>
        <w:t xml:space="preserve">IBM teams will be covering various modules under the AMS umbrella. Our breadth of applications will be encompassing Oracle Fusion Cloud modules across the functional domain HR, Procurement, Finance, Inventory Management, Order Management, Manufacturing. Technical scope will encompass Oracle Fusion cloud ERP, Eloqua, Oracle Fusion cloud HCM, Oracle CX cloud. </w:t>
      </w:r>
      <w:r>
        <w:rPr>
          <w:color w:val="000000"/>
          <w:lang w:val="en-GB"/>
        </w:rPr>
        <w:t>Scope will also cover leveraging number of CEMLIs including 61 interfaces and 33 reports.</w:t>
      </w:r>
    </w:p>
    <w:p w:rsidR="00307009" w:rsidRDefault="00307009" w:rsidP="00307009">
      <w:pPr>
        <w:pStyle w:val="BodyText"/>
        <w:jc w:val="both"/>
        <w:rPr>
          <w:lang w:val="en-GB"/>
        </w:rPr>
      </w:pPr>
    </w:p>
    <w:p w:rsidR="00307009" w:rsidRDefault="00307009" w:rsidP="00307009">
      <w:pPr>
        <w:pStyle w:val="BodyText"/>
        <w:jc w:val="both"/>
        <w:rPr>
          <w:lang w:val="en-GB"/>
        </w:rPr>
      </w:pPr>
      <w:r>
        <w:rPr>
          <w:noProof/>
          <w:lang w:eastAsia="en-US"/>
        </w:rPr>
        <w:drawing>
          <wp:inline distT="0" distB="0" distL="0" distR="0">
            <wp:extent cx="5943600" cy="2849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49880"/>
                    </a:xfrm>
                    <a:prstGeom prst="rect">
                      <a:avLst/>
                    </a:prstGeom>
                    <a:noFill/>
                    <a:ln>
                      <a:noFill/>
                    </a:ln>
                  </pic:spPr>
                </pic:pic>
              </a:graphicData>
            </a:graphic>
          </wp:inline>
        </w:drawing>
      </w:r>
    </w:p>
    <w:p w:rsidR="00307009" w:rsidRDefault="00307009" w:rsidP="00307009">
      <w:pPr>
        <w:pStyle w:val="BodyText"/>
        <w:jc w:val="both"/>
      </w:pPr>
    </w:p>
    <w:p w:rsidR="00307009" w:rsidRDefault="00307009" w:rsidP="00307009">
      <w:pPr>
        <w:pStyle w:val="BodyText"/>
        <w:jc w:val="both"/>
        <w:rPr>
          <w:b/>
          <w:color w:val="000000"/>
          <w:lang w:val="en-GB"/>
        </w:rPr>
      </w:pPr>
      <w:r>
        <w:rPr>
          <w:b/>
          <w:color w:val="000000"/>
        </w:rPr>
        <w:t>Solution Scope:</w:t>
      </w:r>
    </w:p>
    <w:tbl>
      <w:tblPr>
        <w:tblW w:w="9909" w:type="dxa"/>
        <w:tblCellMar>
          <w:left w:w="0" w:type="dxa"/>
          <w:right w:w="0" w:type="dxa"/>
        </w:tblCellMar>
        <w:tblLook w:val="0600" w:firstRow="0" w:lastRow="0" w:firstColumn="0" w:lastColumn="0" w:noHBand="1" w:noVBand="1"/>
      </w:tblPr>
      <w:tblGrid>
        <w:gridCol w:w="1719"/>
        <w:gridCol w:w="8190"/>
      </w:tblGrid>
      <w:tr w:rsidR="00307009" w:rsidTr="00307009">
        <w:trPr>
          <w:trHeight w:val="184"/>
        </w:trPr>
        <w:tc>
          <w:tcPr>
            <w:tcW w:w="1719" w:type="dxa"/>
            <w:tcBorders>
              <w:top w:val="single" w:sz="4" w:space="0" w:color="000000"/>
              <w:left w:val="single" w:sz="4" w:space="0" w:color="000000"/>
              <w:bottom w:val="single" w:sz="4" w:space="0" w:color="000000"/>
              <w:right w:val="single" w:sz="4" w:space="0" w:color="000000"/>
            </w:tcBorders>
            <w:shd w:val="clear" w:color="auto" w:fill="767171"/>
            <w:tcMar>
              <w:top w:w="9" w:type="dxa"/>
              <w:left w:w="9" w:type="dxa"/>
              <w:bottom w:w="0" w:type="dxa"/>
              <w:right w:w="9" w:type="dxa"/>
            </w:tcMar>
            <w:vAlign w:val="bottom"/>
            <w:hideMark/>
          </w:tcPr>
          <w:p w:rsidR="00307009" w:rsidRDefault="00307009">
            <w:pPr>
              <w:spacing w:after="0"/>
              <w:textAlignment w:val="bottom"/>
              <w:rPr>
                <w:rFonts w:cs="Arial"/>
              </w:rPr>
            </w:pPr>
            <w:r>
              <w:rPr>
                <w:rFonts w:cs="Arial"/>
                <w:b/>
                <w:bCs/>
                <w:color w:val="FFFFFF"/>
                <w:kern w:val="24"/>
              </w:rPr>
              <w:t>System Area</w:t>
            </w:r>
          </w:p>
        </w:tc>
        <w:tc>
          <w:tcPr>
            <w:tcW w:w="8190" w:type="dxa"/>
            <w:tcBorders>
              <w:top w:val="single" w:sz="4" w:space="0" w:color="000000"/>
              <w:left w:val="single" w:sz="4" w:space="0" w:color="000000"/>
              <w:bottom w:val="single" w:sz="4" w:space="0" w:color="000000"/>
              <w:right w:val="nil"/>
            </w:tcBorders>
            <w:shd w:val="clear" w:color="auto" w:fill="767171"/>
            <w:tcMar>
              <w:top w:w="9" w:type="dxa"/>
              <w:left w:w="9" w:type="dxa"/>
              <w:bottom w:w="0" w:type="dxa"/>
              <w:right w:w="9" w:type="dxa"/>
            </w:tcMar>
            <w:vAlign w:val="bottom"/>
            <w:hideMark/>
          </w:tcPr>
          <w:p w:rsidR="00307009" w:rsidRDefault="00307009">
            <w:pPr>
              <w:spacing w:after="0"/>
              <w:textAlignment w:val="bottom"/>
              <w:rPr>
                <w:rFonts w:cs="Arial"/>
              </w:rPr>
            </w:pPr>
            <w:r>
              <w:rPr>
                <w:rFonts w:cs="Arial"/>
                <w:b/>
                <w:bCs/>
                <w:color w:val="FFFFFF"/>
                <w:kern w:val="24"/>
              </w:rPr>
              <w:t>Oracle Application Name</w:t>
            </w:r>
          </w:p>
        </w:tc>
      </w:tr>
      <w:tr w:rsidR="00307009" w:rsidTr="00307009">
        <w:trPr>
          <w:trHeight w:val="184"/>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Procurement</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Oracle Fusion Purchasing Cloud Service</w:t>
            </w:r>
          </w:p>
        </w:tc>
      </w:tr>
      <w:tr w:rsidR="00307009" w:rsidTr="00307009">
        <w:trPr>
          <w:trHeight w:val="184"/>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Procurement</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lang w:val="fr-FR"/>
              </w:rPr>
              <w:t>Oracle Fusion Supplier Portal Cloud Service</w:t>
            </w:r>
          </w:p>
        </w:tc>
      </w:tr>
      <w:tr w:rsidR="00307009" w:rsidTr="00307009">
        <w:trPr>
          <w:trHeight w:val="184"/>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Procurement</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lang w:val="fr-FR"/>
              </w:rPr>
              <w:t>Oracle Fusion Sourcing Cloud Service</w:t>
            </w:r>
          </w:p>
        </w:tc>
      </w:tr>
      <w:tr w:rsidR="00307009" w:rsidTr="00307009">
        <w:trPr>
          <w:trHeight w:val="184"/>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Procurement</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lang w:val="fr-FR"/>
              </w:rPr>
              <w:t>Oracle Fusion Procurement Contracts Cloud Service</w:t>
            </w:r>
          </w:p>
        </w:tc>
      </w:tr>
      <w:tr w:rsidR="00307009" w:rsidTr="00307009">
        <w:trPr>
          <w:trHeight w:val="184"/>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Procurement</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lang w:val="fr-FR"/>
              </w:rPr>
              <w:t>Oracle Fusion Self Service Procurement Cloud Service</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Logistics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Oracle LogFire Warehouse Management Cloud</w:t>
            </w:r>
          </w:p>
        </w:tc>
      </w:tr>
      <w:tr w:rsidR="00307009" w:rsidTr="00307009">
        <w:trPr>
          <w:trHeight w:val="184"/>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Logistics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Oracle Fusion Inventory Management Cloud Service</w:t>
            </w:r>
          </w:p>
        </w:tc>
      </w:tr>
      <w:tr w:rsidR="00307009" w:rsidTr="00307009">
        <w:trPr>
          <w:trHeight w:val="184"/>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Products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lang w:val="fr-FR"/>
              </w:rPr>
              <w:t>Oracle Fusion Product Hub Cloud Service</w:t>
            </w:r>
          </w:p>
        </w:tc>
      </w:tr>
      <w:tr w:rsidR="00307009" w:rsidTr="00307009">
        <w:trPr>
          <w:trHeight w:val="184"/>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Products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lang w:val="fr-FR"/>
              </w:rPr>
              <w:t>Oracle Fusion Product Hub Portal Cloud Service</w:t>
            </w:r>
          </w:p>
        </w:tc>
      </w:tr>
      <w:tr w:rsidR="00307009" w:rsidTr="00307009">
        <w:trPr>
          <w:trHeight w:val="184"/>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Products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Oracle Fusion Product Development Cloud Service</w:t>
            </w:r>
          </w:p>
        </w:tc>
      </w:tr>
      <w:tr w:rsidR="00307009" w:rsidTr="00307009">
        <w:trPr>
          <w:trHeight w:val="184"/>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Projects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lang w:val="fr-FR"/>
              </w:rPr>
              <w:t>Oracle Fusion Project Management Cloud Service</w:t>
            </w:r>
          </w:p>
        </w:tc>
      </w:tr>
      <w:tr w:rsidR="00307009" w:rsidTr="00307009">
        <w:trPr>
          <w:trHeight w:val="184"/>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Projects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Oracle Fusion Project Billing</w:t>
            </w:r>
          </w:p>
        </w:tc>
      </w:tr>
      <w:tr w:rsidR="00307009" w:rsidTr="00307009">
        <w:trPr>
          <w:trHeight w:val="184"/>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Projects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lang w:val="fr-FR"/>
              </w:rPr>
              <w:t>Oracle Fusion Project Financial Cloud Service</w:t>
            </w:r>
          </w:p>
        </w:tc>
      </w:tr>
      <w:tr w:rsidR="00307009" w:rsidTr="00307009">
        <w:trPr>
          <w:trHeight w:val="184"/>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lastRenderedPageBreak/>
              <w:t>Projects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Oracle Fusion Time and Labour for Projects Cloud Service</w:t>
            </w:r>
          </w:p>
        </w:tc>
      </w:tr>
      <w:tr w:rsidR="00307009" w:rsidTr="00307009">
        <w:trPr>
          <w:trHeight w:val="184"/>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Projects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Oracle Fusion Task Management Cloud Service</w:t>
            </w:r>
          </w:p>
        </w:tc>
      </w:tr>
      <w:tr w:rsidR="00307009" w:rsidTr="00307009">
        <w:trPr>
          <w:trHeight w:val="184"/>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Manufacturing</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Oracle Fusion Manufacturing Cloud Service</w:t>
            </w:r>
          </w:p>
        </w:tc>
      </w:tr>
      <w:tr w:rsidR="00307009" w:rsidTr="00307009">
        <w:trPr>
          <w:trHeight w:val="184"/>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Manufacturing</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lang w:val="fr-FR"/>
              </w:rPr>
              <w:t>Oracle Fusion Innovation Management Cloud Service</w:t>
            </w:r>
          </w:p>
        </w:tc>
      </w:tr>
      <w:tr w:rsidR="00307009" w:rsidTr="00307009">
        <w:trPr>
          <w:trHeight w:val="184"/>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Manufacturing</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lang w:val="fr-FR"/>
              </w:rPr>
              <w:t>Oracle Fusion Innovation Management Ideation Cloud Service</w:t>
            </w:r>
          </w:p>
        </w:tc>
      </w:tr>
      <w:tr w:rsidR="00307009" w:rsidTr="00307009">
        <w:trPr>
          <w:trHeight w:val="184"/>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CX</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Oracle RightNow Enterprise Dynamic Agent Desktop Cloud Service</w:t>
            </w:r>
          </w:p>
        </w:tc>
      </w:tr>
      <w:tr w:rsidR="00307009" w:rsidTr="00307009">
        <w:trPr>
          <w:trHeight w:val="184"/>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CX</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Oracle RightNow Universal Tier 1 Session Period Pool</w:t>
            </w:r>
          </w:p>
        </w:tc>
      </w:tr>
      <w:tr w:rsidR="00307009" w:rsidTr="00307009">
        <w:trPr>
          <w:trHeight w:val="184"/>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CX</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Oracle Sales Cloud</w:t>
            </w:r>
          </w:p>
        </w:tc>
      </w:tr>
      <w:tr w:rsidR="00307009" w:rsidTr="00307009">
        <w:trPr>
          <w:trHeight w:val="184"/>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CX</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Eloqua</w:t>
            </w:r>
          </w:p>
        </w:tc>
      </w:tr>
      <w:tr w:rsidR="00307009" w:rsidTr="00307009">
        <w:trPr>
          <w:trHeight w:val="184"/>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CX</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Oracle CPQ Cloud for Channel Partners</w:t>
            </w:r>
          </w:p>
        </w:tc>
      </w:tr>
      <w:tr w:rsidR="00307009" w:rsidTr="00307009">
        <w:trPr>
          <w:trHeight w:val="184"/>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CX</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Big Machines Enterprise Cloud service CPQ</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BI</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Oracle BICS</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BI</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Oracle BI Publisher</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BI</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rPr>
            </w:pPr>
            <w:r>
              <w:rPr>
                <w:rFonts w:cs="Arial"/>
                <w:color w:val="000000"/>
                <w:kern w:val="24"/>
              </w:rPr>
              <w:t>Oracle ODI</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Orders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Fusion Order Management Cloud Service</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Orders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Fusion Order Management User Cloud Service</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Orders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Fusion Global Order Promising Cloud Service</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Orders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Fusion Global Order Promising User Cloud Service</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Orders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Fusion Transactional Business Intelligence for Supply Chain Management Cloud</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Orders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Fusion Global Trade Management Cloud Service</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Orders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GTM Trade Compliance</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Orders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GTM Customs</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Orders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GTM Trade Intelligence</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HCM</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Fusion HCM Base Cloud Service</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HCM</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Fusion Performance Management Cloud Service</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HCM</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Fusion Talent Review and Succession Management Cloud Service</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HCM</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Fusion Talent Management Base Cloud Service</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HCM</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Fusion Workforce Compensation Cloud Service</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HCM</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Taleo Recruiting Cloud Service</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HCM</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Taleo Onboarding Cloud Service</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EPM</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Planning and Budgeting</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EPM</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Fusion Planning Central User Cloud Service</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EPM</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Fusion Planning Central Cloud Service</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Financials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Fusion Financials Cloud Service (Payables Only)</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Financials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Fusion Expenses Cloud Service</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Financials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Fusion Financials Cloud Service</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Financials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Fusion Financials Cloud Service</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Financials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Fusion Financials Cloud Service</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Financials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Fusion Advanced Collections Cloud Service</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Financials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Fusion Financials Cloud Service (Receivables Only)</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Financials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Fusion Automated Invoice Processing Cloud Service</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lastRenderedPageBreak/>
              <w:t>Financials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Fusion WebCenter Forms Recognition Cloud Service</w:t>
            </w:r>
          </w:p>
        </w:tc>
      </w:tr>
      <w:tr w:rsidR="00307009" w:rsidTr="00307009">
        <w:trPr>
          <w:trHeight w:val="175"/>
        </w:trPr>
        <w:tc>
          <w:tcPr>
            <w:tcW w:w="1719"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Financials</w:t>
            </w:r>
          </w:p>
        </w:tc>
        <w:tc>
          <w:tcPr>
            <w:tcW w:w="8190" w:type="dxa"/>
            <w:tcBorders>
              <w:top w:val="single" w:sz="4" w:space="0" w:color="000000"/>
              <w:left w:val="single" w:sz="4" w:space="0" w:color="000000"/>
              <w:bottom w:val="single" w:sz="4" w:space="0" w:color="000000"/>
              <w:right w:val="single" w:sz="4" w:space="0" w:color="000000"/>
            </w:tcBorders>
            <w:tcMar>
              <w:top w:w="9" w:type="dxa"/>
              <w:left w:w="9" w:type="dxa"/>
              <w:bottom w:w="0" w:type="dxa"/>
              <w:right w:w="9" w:type="dxa"/>
            </w:tcMar>
            <w:vAlign w:val="bottom"/>
            <w:hideMark/>
          </w:tcPr>
          <w:p w:rsidR="00307009" w:rsidRDefault="00307009">
            <w:pPr>
              <w:spacing w:after="0"/>
              <w:textAlignment w:val="bottom"/>
              <w:rPr>
                <w:rFonts w:cs="Arial"/>
                <w:color w:val="000000"/>
                <w:kern w:val="24"/>
              </w:rPr>
            </w:pPr>
            <w:r>
              <w:rPr>
                <w:rFonts w:cs="Arial"/>
                <w:color w:val="000000"/>
                <w:kern w:val="24"/>
              </w:rPr>
              <w:t>Oracle Risk and Compliance Cloud</w:t>
            </w:r>
          </w:p>
        </w:tc>
      </w:tr>
    </w:tbl>
    <w:p w:rsidR="00307009" w:rsidRDefault="00307009" w:rsidP="00307009">
      <w:pPr>
        <w:pStyle w:val="BodyText"/>
        <w:jc w:val="both"/>
        <w:rPr>
          <w:color w:val="000000"/>
        </w:rPr>
      </w:pPr>
      <w:r>
        <w:rPr>
          <w:bCs/>
          <w:color w:val="000000"/>
          <w:lang w:val="en-GB"/>
        </w:rPr>
        <w:t>Application Development and Management Services (Level 2 and 3) scope will include:</w:t>
      </w:r>
    </w:p>
    <w:p w:rsidR="00307009" w:rsidRDefault="00307009" w:rsidP="00307009">
      <w:pPr>
        <w:pStyle w:val="BodyText"/>
        <w:numPr>
          <w:ilvl w:val="0"/>
          <w:numId w:val="5"/>
        </w:numPr>
        <w:jc w:val="both"/>
        <w:rPr>
          <w:lang w:val="en-GB"/>
        </w:rPr>
      </w:pPr>
      <w:r>
        <w:rPr>
          <w:lang w:val="en-GB"/>
        </w:rPr>
        <w:t>Systematised expertise delivered through knowledge management technology</w:t>
      </w:r>
    </w:p>
    <w:p w:rsidR="00307009" w:rsidRDefault="00307009" w:rsidP="00307009">
      <w:pPr>
        <w:pStyle w:val="BodyText"/>
        <w:numPr>
          <w:ilvl w:val="0"/>
          <w:numId w:val="5"/>
        </w:numPr>
        <w:jc w:val="both"/>
        <w:rPr>
          <w:lang w:val="en-GB"/>
        </w:rPr>
      </w:pPr>
      <w:r>
        <w:rPr>
          <w:lang w:val="en-GB"/>
        </w:rPr>
        <w:t>Defined, repeatable, and optimised processes to mitigate transition risk, ensure on-going success</w:t>
      </w:r>
    </w:p>
    <w:p w:rsidR="00307009" w:rsidRDefault="00307009" w:rsidP="00307009">
      <w:pPr>
        <w:pStyle w:val="BodyText"/>
        <w:jc w:val="both"/>
        <w:rPr>
          <w:noProof/>
          <w:lang w:eastAsia="en-US"/>
        </w:rPr>
      </w:pPr>
      <w:r>
        <w:rPr>
          <w:noProof/>
          <w:lang w:eastAsia="en-US"/>
        </w:rPr>
        <w:drawing>
          <wp:inline distT="0" distB="0" distL="0" distR="0">
            <wp:extent cx="3375660" cy="1432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5660" cy="1432560"/>
                    </a:xfrm>
                    <a:prstGeom prst="rect">
                      <a:avLst/>
                    </a:prstGeom>
                    <a:noFill/>
                    <a:ln>
                      <a:noFill/>
                    </a:ln>
                  </pic:spPr>
                </pic:pic>
              </a:graphicData>
            </a:graphic>
          </wp:inline>
        </w:drawing>
      </w:r>
    </w:p>
    <w:p w:rsidR="00307009" w:rsidRDefault="00307009" w:rsidP="00307009">
      <w:pPr>
        <w:pStyle w:val="BodyText"/>
        <w:jc w:val="both"/>
        <w:rPr>
          <w:noProof/>
          <w:lang w:eastAsia="en-US"/>
        </w:rPr>
      </w:pPr>
    </w:p>
    <w:tbl>
      <w:tblPr>
        <w:tblW w:w="10035" w:type="dxa"/>
        <w:tblCellMar>
          <w:left w:w="0" w:type="dxa"/>
          <w:right w:w="0" w:type="dxa"/>
        </w:tblCellMar>
        <w:tblLook w:val="0600" w:firstRow="0" w:lastRow="0" w:firstColumn="0" w:lastColumn="0" w:noHBand="1" w:noVBand="1"/>
      </w:tblPr>
      <w:tblGrid>
        <w:gridCol w:w="1317"/>
        <w:gridCol w:w="1674"/>
        <w:gridCol w:w="7644"/>
      </w:tblGrid>
      <w:tr w:rsidR="00307009" w:rsidTr="00307009">
        <w:trPr>
          <w:trHeight w:val="419"/>
        </w:trPr>
        <w:tc>
          <w:tcPr>
            <w:tcW w:w="2970" w:type="dxa"/>
            <w:tcBorders>
              <w:top w:val="single" w:sz="4" w:space="0" w:color="A6A6A6"/>
              <w:left w:val="single" w:sz="4" w:space="0" w:color="A6A6A6"/>
              <w:bottom w:val="single" w:sz="4" w:space="0" w:color="A6A6A6"/>
              <w:right w:val="single" w:sz="4" w:space="0" w:color="A6A6A6"/>
            </w:tcBorders>
            <w:shd w:val="clear" w:color="auto" w:fill="D0CECE"/>
            <w:tcMar>
              <w:top w:w="57" w:type="dxa"/>
              <w:left w:w="57" w:type="dxa"/>
              <w:bottom w:w="57" w:type="dxa"/>
              <w:right w:w="57" w:type="dxa"/>
            </w:tcMar>
            <w:vAlign w:val="center"/>
            <w:hideMark/>
          </w:tcPr>
          <w:p w:rsidR="00307009" w:rsidRDefault="00307009">
            <w:pPr>
              <w:spacing w:after="0"/>
              <w:jc w:val="center"/>
              <w:textAlignment w:val="baseline"/>
              <w:rPr>
                <w:rFonts w:cs="Arial"/>
                <w:sz w:val="36"/>
                <w:szCs w:val="36"/>
              </w:rPr>
            </w:pPr>
            <w:r>
              <w:rPr>
                <w:b/>
                <w:bCs/>
                <w:color w:val="000000"/>
                <w:kern w:val="24"/>
                <w:sz w:val="18"/>
                <w:szCs w:val="18"/>
              </w:rPr>
              <w:t>Scope</w:t>
            </w:r>
          </w:p>
        </w:tc>
        <w:tc>
          <w:tcPr>
            <w:tcW w:w="2025" w:type="dxa"/>
            <w:tcBorders>
              <w:top w:val="single" w:sz="4" w:space="0" w:color="A6A6A6"/>
              <w:left w:val="single" w:sz="4" w:space="0" w:color="A6A6A6"/>
              <w:bottom w:val="single" w:sz="4" w:space="0" w:color="A6A6A6"/>
              <w:right w:val="single" w:sz="4" w:space="0" w:color="A6A6A6"/>
            </w:tcBorders>
            <w:shd w:val="clear" w:color="auto" w:fill="D0CECE"/>
            <w:tcMar>
              <w:top w:w="57" w:type="dxa"/>
              <w:left w:w="57" w:type="dxa"/>
              <w:bottom w:w="57" w:type="dxa"/>
              <w:right w:w="57" w:type="dxa"/>
            </w:tcMar>
            <w:vAlign w:val="center"/>
            <w:hideMark/>
          </w:tcPr>
          <w:p w:rsidR="00307009" w:rsidRDefault="00307009">
            <w:pPr>
              <w:spacing w:after="0"/>
              <w:jc w:val="center"/>
              <w:textAlignment w:val="baseline"/>
              <w:rPr>
                <w:rFonts w:cs="Arial"/>
                <w:sz w:val="36"/>
                <w:szCs w:val="36"/>
              </w:rPr>
            </w:pPr>
            <w:r>
              <w:rPr>
                <w:b/>
                <w:bCs/>
                <w:color w:val="000000"/>
                <w:kern w:val="24"/>
                <w:sz w:val="18"/>
                <w:szCs w:val="18"/>
              </w:rPr>
              <w:t>Bound By</w:t>
            </w:r>
          </w:p>
        </w:tc>
        <w:tc>
          <w:tcPr>
            <w:tcW w:w="5040" w:type="dxa"/>
            <w:tcBorders>
              <w:top w:val="single" w:sz="4" w:space="0" w:color="A6A6A6"/>
              <w:left w:val="single" w:sz="4" w:space="0" w:color="A6A6A6"/>
              <w:bottom w:val="single" w:sz="4" w:space="0" w:color="A6A6A6"/>
              <w:right w:val="single" w:sz="4" w:space="0" w:color="A6A6A6"/>
            </w:tcBorders>
            <w:shd w:val="clear" w:color="auto" w:fill="D0CECE"/>
            <w:tcMar>
              <w:top w:w="57" w:type="dxa"/>
              <w:left w:w="57" w:type="dxa"/>
              <w:bottom w:w="57" w:type="dxa"/>
              <w:right w:w="57" w:type="dxa"/>
            </w:tcMar>
            <w:vAlign w:val="center"/>
            <w:hideMark/>
          </w:tcPr>
          <w:p w:rsidR="00307009" w:rsidRDefault="00307009">
            <w:pPr>
              <w:spacing w:after="0"/>
              <w:jc w:val="center"/>
              <w:textAlignment w:val="baseline"/>
              <w:rPr>
                <w:rFonts w:cs="Arial"/>
                <w:sz w:val="36"/>
                <w:szCs w:val="36"/>
              </w:rPr>
            </w:pPr>
            <w:r>
              <w:rPr>
                <w:b/>
                <w:bCs/>
                <w:color w:val="000000"/>
                <w:kern w:val="24"/>
                <w:sz w:val="18"/>
                <w:szCs w:val="18"/>
              </w:rPr>
              <w:t>Numerical Boundary</w:t>
            </w:r>
          </w:p>
        </w:tc>
      </w:tr>
      <w:tr w:rsidR="00307009" w:rsidTr="00307009">
        <w:trPr>
          <w:trHeight w:val="325"/>
        </w:trPr>
        <w:tc>
          <w:tcPr>
            <w:tcW w:w="2970" w:type="dxa"/>
            <w:tcBorders>
              <w:top w:val="single" w:sz="4" w:space="0" w:color="A6A6A6"/>
              <w:left w:val="single" w:sz="4" w:space="0" w:color="A6A6A6"/>
              <w:bottom w:val="single" w:sz="4" w:space="0" w:color="A6A6A6"/>
              <w:right w:val="single" w:sz="4" w:space="0" w:color="A6A6A6"/>
            </w:tcBorders>
            <w:tcMar>
              <w:top w:w="57" w:type="dxa"/>
              <w:left w:w="57" w:type="dxa"/>
              <w:bottom w:w="57" w:type="dxa"/>
              <w:right w:w="57" w:type="dxa"/>
            </w:tcMar>
            <w:vAlign w:val="center"/>
            <w:hideMark/>
          </w:tcPr>
          <w:p w:rsidR="00307009" w:rsidRDefault="00307009">
            <w:pPr>
              <w:spacing w:after="0"/>
              <w:textAlignment w:val="baseline"/>
              <w:rPr>
                <w:rFonts w:cs="Arial"/>
                <w:sz w:val="36"/>
                <w:szCs w:val="36"/>
              </w:rPr>
            </w:pPr>
            <w:r>
              <w:rPr>
                <w:rFonts w:eastAsia="Arial Unicode MS" w:cs="Arial"/>
                <w:color w:val="000000"/>
                <w:kern w:val="24"/>
                <w:sz w:val="20"/>
                <w:szCs w:val="20"/>
              </w:rPr>
              <w:t>Day to day operations and monitoring</w:t>
            </w:r>
          </w:p>
        </w:tc>
        <w:tc>
          <w:tcPr>
            <w:tcW w:w="2025" w:type="dxa"/>
            <w:tcBorders>
              <w:top w:val="single" w:sz="4" w:space="0" w:color="A6A6A6"/>
              <w:left w:val="single" w:sz="4" w:space="0" w:color="A6A6A6"/>
              <w:bottom w:val="single" w:sz="4" w:space="0" w:color="A6A6A6"/>
              <w:right w:val="single" w:sz="4" w:space="0" w:color="A6A6A6"/>
            </w:tcBorders>
            <w:tcMar>
              <w:top w:w="57" w:type="dxa"/>
              <w:left w:w="57" w:type="dxa"/>
              <w:bottom w:w="57" w:type="dxa"/>
              <w:right w:w="57" w:type="dxa"/>
            </w:tcMar>
            <w:vAlign w:val="center"/>
            <w:hideMark/>
          </w:tcPr>
          <w:p w:rsidR="00307009" w:rsidRDefault="00307009">
            <w:pPr>
              <w:spacing w:after="0"/>
              <w:textAlignment w:val="baseline"/>
              <w:rPr>
                <w:rFonts w:cs="Arial"/>
                <w:sz w:val="36"/>
                <w:szCs w:val="36"/>
              </w:rPr>
            </w:pPr>
            <w:r>
              <w:rPr>
                <w:rFonts w:eastAsia="Arial Unicode MS" w:cs="Arial"/>
                <w:color w:val="000000"/>
                <w:kern w:val="24"/>
                <w:sz w:val="20"/>
                <w:szCs w:val="20"/>
              </w:rPr>
              <w:t>Hours</w:t>
            </w:r>
          </w:p>
        </w:tc>
        <w:tc>
          <w:tcPr>
            <w:tcW w:w="5040" w:type="dxa"/>
            <w:tcBorders>
              <w:top w:val="single" w:sz="4" w:space="0" w:color="A6A6A6"/>
              <w:left w:val="single" w:sz="4" w:space="0" w:color="A6A6A6"/>
              <w:bottom w:val="single" w:sz="4" w:space="0" w:color="A6A6A6"/>
              <w:right w:val="single" w:sz="4" w:space="0" w:color="A6A6A6"/>
            </w:tcBorders>
            <w:tcMar>
              <w:top w:w="57" w:type="dxa"/>
              <w:left w:w="57" w:type="dxa"/>
              <w:bottom w:w="57" w:type="dxa"/>
              <w:right w:w="57" w:type="dxa"/>
            </w:tcMar>
            <w:vAlign w:val="center"/>
            <w:hideMark/>
          </w:tcPr>
          <w:p w:rsidR="00307009" w:rsidRDefault="00307009">
            <w:pPr>
              <w:spacing w:after="0"/>
              <w:textAlignment w:val="baseline"/>
              <w:rPr>
                <w:rFonts w:cs="Arial"/>
                <w:sz w:val="36"/>
                <w:szCs w:val="36"/>
              </w:rPr>
            </w:pPr>
            <w:r>
              <w:rPr>
                <w:rFonts w:eastAsia="Arial Unicode MS" w:cs="Arial"/>
                <w:color w:val="000000"/>
                <w:kern w:val="24"/>
                <w:sz w:val="20"/>
                <w:szCs w:val="20"/>
              </w:rPr>
              <w:t>Nil hours per month</w:t>
            </w:r>
          </w:p>
        </w:tc>
      </w:tr>
      <w:tr w:rsidR="00307009" w:rsidTr="00307009">
        <w:trPr>
          <w:trHeight w:val="563"/>
        </w:trPr>
        <w:tc>
          <w:tcPr>
            <w:tcW w:w="2970" w:type="dxa"/>
            <w:tcBorders>
              <w:top w:val="single" w:sz="4" w:space="0" w:color="A6A6A6"/>
              <w:left w:val="single" w:sz="4" w:space="0" w:color="A6A6A6"/>
              <w:bottom w:val="single" w:sz="4" w:space="0" w:color="A6A6A6"/>
              <w:right w:val="single" w:sz="4" w:space="0" w:color="A6A6A6"/>
            </w:tcBorders>
            <w:tcMar>
              <w:top w:w="57" w:type="dxa"/>
              <w:left w:w="57" w:type="dxa"/>
              <w:bottom w:w="57" w:type="dxa"/>
              <w:right w:w="57" w:type="dxa"/>
            </w:tcMar>
            <w:vAlign w:val="center"/>
            <w:hideMark/>
          </w:tcPr>
          <w:p w:rsidR="00307009" w:rsidRDefault="00307009">
            <w:pPr>
              <w:spacing w:after="0"/>
              <w:textAlignment w:val="baseline"/>
              <w:rPr>
                <w:rFonts w:cs="Arial"/>
                <w:sz w:val="36"/>
                <w:szCs w:val="36"/>
              </w:rPr>
            </w:pPr>
            <w:r>
              <w:rPr>
                <w:rFonts w:eastAsia="Arial Unicode MS" w:cs="Arial"/>
                <w:color w:val="000000"/>
                <w:kern w:val="24"/>
                <w:sz w:val="20"/>
                <w:szCs w:val="20"/>
              </w:rPr>
              <w:t>L2/L3 incident management</w:t>
            </w:r>
          </w:p>
        </w:tc>
        <w:tc>
          <w:tcPr>
            <w:tcW w:w="2025" w:type="dxa"/>
            <w:tcBorders>
              <w:top w:val="single" w:sz="4" w:space="0" w:color="A6A6A6"/>
              <w:left w:val="single" w:sz="4" w:space="0" w:color="A6A6A6"/>
              <w:bottom w:val="single" w:sz="4" w:space="0" w:color="A6A6A6"/>
              <w:right w:val="single" w:sz="4" w:space="0" w:color="A6A6A6"/>
            </w:tcBorders>
            <w:tcMar>
              <w:top w:w="57" w:type="dxa"/>
              <w:left w:w="57" w:type="dxa"/>
              <w:bottom w:w="57" w:type="dxa"/>
              <w:right w:w="57" w:type="dxa"/>
            </w:tcMar>
            <w:vAlign w:val="center"/>
            <w:hideMark/>
          </w:tcPr>
          <w:p w:rsidR="00307009" w:rsidRDefault="00307009">
            <w:pPr>
              <w:spacing w:after="0"/>
              <w:textAlignment w:val="baseline"/>
              <w:rPr>
                <w:rFonts w:cs="Arial"/>
                <w:sz w:val="36"/>
                <w:szCs w:val="36"/>
              </w:rPr>
            </w:pPr>
            <w:r>
              <w:rPr>
                <w:rFonts w:eastAsia="Arial Unicode MS" w:cs="Arial"/>
                <w:color w:val="000000"/>
                <w:kern w:val="24"/>
                <w:sz w:val="20"/>
                <w:szCs w:val="20"/>
              </w:rPr>
              <w:t>Tickets</w:t>
            </w:r>
          </w:p>
        </w:tc>
        <w:tc>
          <w:tcPr>
            <w:tcW w:w="5040" w:type="dxa"/>
            <w:tcBorders>
              <w:top w:val="single" w:sz="4" w:space="0" w:color="A6A6A6"/>
              <w:left w:val="single" w:sz="4" w:space="0" w:color="A6A6A6"/>
              <w:bottom w:val="single" w:sz="4" w:space="0" w:color="A6A6A6"/>
              <w:right w:val="single" w:sz="4" w:space="0" w:color="A6A6A6"/>
            </w:tcBorders>
            <w:tcMar>
              <w:top w:w="57" w:type="dxa"/>
              <w:left w:w="57" w:type="dxa"/>
              <w:bottom w:w="57" w:type="dxa"/>
              <w:right w:w="57" w:type="dxa"/>
            </w:tcMar>
            <w:vAlign w:val="center"/>
          </w:tcPr>
          <w:p w:rsidR="00307009" w:rsidRDefault="00307009">
            <w:pPr>
              <w:spacing w:after="0"/>
              <w:textAlignment w:val="baseline"/>
              <w:rPr>
                <w:rFonts w:eastAsia="Arial Unicode MS" w:cs="Arial"/>
                <w:color w:val="000000"/>
                <w:kern w:val="24"/>
                <w:sz w:val="20"/>
                <w:szCs w:val="20"/>
              </w:rPr>
            </w:pPr>
            <w:r>
              <w:rPr>
                <w:noProof/>
              </w:rPr>
              <w:drawing>
                <wp:inline distT="0" distB="0" distL="0" distR="0">
                  <wp:extent cx="4777740" cy="15316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7740" cy="1531620"/>
                          </a:xfrm>
                          <a:prstGeom prst="rect">
                            <a:avLst/>
                          </a:prstGeom>
                          <a:noFill/>
                          <a:ln>
                            <a:noFill/>
                          </a:ln>
                        </pic:spPr>
                      </pic:pic>
                    </a:graphicData>
                  </a:graphic>
                </wp:inline>
              </w:drawing>
            </w:r>
          </w:p>
          <w:p w:rsidR="00307009" w:rsidRDefault="00307009">
            <w:pPr>
              <w:spacing w:after="0"/>
              <w:textAlignment w:val="baseline"/>
              <w:rPr>
                <w:rFonts w:eastAsia="Arial Unicode MS" w:cs="Arial"/>
                <w:color w:val="000000"/>
                <w:kern w:val="24"/>
                <w:sz w:val="20"/>
                <w:szCs w:val="20"/>
              </w:rPr>
            </w:pPr>
          </w:p>
          <w:p w:rsidR="00307009" w:rsidRDefault="00307009">
            <w:pPr>
              <w:spacing w:after="0"/>
              <w:textAlignment w:val="baseline"/>
              <w:rPr>
                <w:rFonts w:eastAsia="Times New Roman" w:cs="Arial"/>
                <w:sz w:val="36"/>
                <w:szCs w:val="36"/>
              </w:rPr>
            </w:pPr>
            <w:r>
              <w:rPr>
                <w:rFonts w:eastAsia="Arial Unicode MS" w:cs="Arial"/>
                <w:color w:val="000000"/>
                <w:kern w:val="24"/>
                <w:sz w:val="20"/>
                <w:szCs w:val="20"/>
              </w:rPr>
              <w:t>Tickets per month, broken down by severity, with a 5% dead band</w:t>
            </w:r>
          </w:p>
        </w:tc>
      </w:tr>
      <w:tr w:rsidR="00307009" w:rsidTr="00307009">
        <w:trPr>
          <w:trHeight w:val="325"/>
        </w:trPr>
        <w:tc>
          <w:tcPr>
            <w:tcW w:w="2970" w:type="dxa"/>
            <w:tcBorders>
              <w:top w:val="single" w:sz="4" w:space="0" w:color="A6A6A6"/>
              <w:left w:val="single" w:sz="4" w:space="0" w:color="A6A6A6"/>
              <w:bottom w:val="single" w:sz="4" w:space="0" w:color="A6A6A6"/>
              <w:right w:val="single" w:sz="4" w:space="0" w:color="A6A6A6"/>
            </w:tcBorders>
            <w:tcMar>
              <w:top w:w="57" w:type="dxa"/>
              <w:left w:w="57" w:type="dxa"/>
              <w:bottom w:w="57" w:type="dxa"/>
              <w:right w:w="57" w:type="dxa"/>
            </w:tcMar>
            <w:vAlign w:val="center"/>
            <w:hideMark/>
          </w:tcPr>
          <w:p w:rsidR="00307009" w:rsidRDefault="00307009">
            <w:pPr>
              <w:spacing w:after="0"/>
              <w:textAlignment w:val="baseline"/>
              <w:rPr>
                <w:rFonts w:cs="Arial"/>
                <w:sz w:val="36"/>
                <w:szCs w:val="36"/>
              </w:rPr>
            </w:pPr>
            <w:r>
              <w:rPr>
                <w:rFonts w:eastAsia="Arial Unicode MS" w:cs="Arial"/>
                <w:color w:val="000000"/>
                <w:kern w:val="24"/>
                <w:sz w:val="20"/>
                <w:szCs w:val="20"/>
              </w:rPr>
              <w:t>Minor Enhancements &lt; 40 hours</w:t>
            </w:r>
          </w:p>
        </w:tc>
        <w:tc>
          <w:tcPr>
            <w:tcW w:w="2025" w:type="dxa"/>
            <w:tcBorders>
              <w:top w:val="single" w:sz="4" w:space="0" w:color="A6A6A6"/>
              <w:left w:val="single" w:sz="4" w:space="0" w:color="A6A6A6"/>
              <w:bottom w:val="single" w:sz="4" w:space="0" w:color="A6A6A6"/>
              <w:right w:val="single" w:sz="4" w:space="0" w:color="A6A6A6"/>
            </w:tcBorders>
            <w:tcMar>
              <w:top w:w="57" w:type="dxa"/>
              <w:left w:w="57" w:type="dxa"/>
              <w:bottom w:w="57" w:type="dxa"/>
              <w:right w:w="57" w:type="dxa"/>
            </w:tcMar>
            <w:vAlign w:val="center"/>
            <w:hideMark/>
          </w:tcPr>
          <w:p w:rsidR="00307009" w:rsidRDefault="00307009">
            <w:pPr>
              <w:spacing w:after="0"/>
              <w:textAlignment w:val="baseline"/>
              <w:rPr>
                <w:rFonts w:cs="Arial"/>
                <w:sz w:val="36"/>
                <w:szCs w:val="36"/>
              </w:rPr>
            </w:pPr>
            <w:r>
              <w:rPr>
                <w:rFonts w:eastAsia="Arial Unicode MS" w:cs="Arial"/>
                <w:color w:val="000000"/>
                <w:kern w:val="24"/>
                <w:sz w:val="20"/>
                <w:szCs w:val="20"/>
              </w:rPr>
              <w:t>Hours</w:t>
            </w:r>
          </w:p>
        </w:tc>
        <w:tc>
          <w:tcPr>
            <w:tcW w:w="5040" w:type="dxa"/>
            <w:tcBorders>
              <w:top w:val="single" w:sz="4" w:space="0" w:color="A6A6A6"/>
              <w:left w:val="single" w:sz="4" w:space="0" w:color="A6A6A6"/>
              <w:bottom w:val="single" w:sz="4" w:space="0" w:color="A6A6A6"/>
              <w:right w:val="single" w:sz="4" w:space="0" w:color="A6A6A6"/>
            </w:tcBorders>
            <w:tcMar>
              <w:top w:w="57" w:type="dxa"/>
              <w:left w:w="57" w:type="dxa"/>
              <w:bottom w:w="57" w:type="dxa"/>
              <w:right w:w="57" w:type="dxa"/>
            </w:tcMar>
            <w:vAlign w:val="center"/>
            <w:hideMark/>
          </w:tcPr>
          <w:p w:rsidR="00307009" w:rsidRDefault="00307009">
            <w:pPr>
              <w:spacing w:after="0"/>
              <w:textAlignment w:val="baseline"/>
              <w:rPr>
                <w:rFonts w:cs="Arial"/>
                <w:sz w:val="36"/>
                <w:szCs w:val="36"/>
              </w:rPr>
            </w:pPr>
            <w:r>
              <w:rPr>
                <w:rFonts w:eastAsia="Arial Unicode MS" w:cs="Arial"/>
                <w:color w:val="000000"/>
                <w:kern w:val="24"/>
                <w:sz w:val="20"/>
                <w:szCs w:val="20"/>
              </w:rPr>
              <w:t>150 hours per month</w:t>
            </w:r>
          </w:p>
        </w:tc>
      </w:tr>
      <w:tr w:rsidR="00307009" w:rsidTr="00307009">
        <w:trPr>
          <w:trHeight w:val="325"/>
        </w:trPr>
        <w:tc>
          <w:tcPr>
            <w:tcW w:w="2970" w:type="dxa"/>
            <w:tcBorders>
              <w:top w:val="single" w:sz="4" w:space="0" w:color="A6A6A6"/>
              <w:left w:val="single" w:sz="4" w:space="0" w:color="A6A6A6"/>
              <w:bottom w:val="single" w:sz="4" w:space="0" w:color="A6A6A6"/>
              <w:right w:val="single" w:sz="4" w:space="0" w:color="A6A6A6"/>
            </w:tcBorders>
            <w:tcMar>
              <w:top w:w="57" w:type="dxa"/>
              <w:left w:w="57" w:type="dxa"/>
              <w:bottom w:w="57" w:type="dxa"/>
              <w:right w:w="57" w:type="dxa"/>
            </w:tcMar>
            <w:vAlign w:val="center"/>
            <w:hideMark/>
          </w:tcPr>
          <w:p w:rsidR="00307009" w:rsidRDefault="00307009">
            <w:pPr>
              <w:spacing w:after="0"/>
              <w:textAlignment w:val="baseline"/>
              <w:rPr>
                <w:rFonts w:cs="Arial"/>
                <w:sz w:val="36"/>
                <w:szCs w:val="36"/>
              </w:rPr>
            </w:pPr>
            <w:r>
              <w:rPr>
                <w:rFonts w:eastAsia="Arial Unicode MS" w:cs="Arial"/>
                <w:color w:val="000000"/>
                <w:kern w:val="24"/>
                <w:sz w:val="20"/>
                <w:szCs w:val="20"/>
              </w:rPr>
              <w:t>Ad hoc business requests</w:t>
            </w:r>
          </w:p>
        </w:tc>
        <w:tc>
          <w:tcPr>
            <w:tcW w:w="2025" w:type="dxa"/>
            <w:tcBorders>
              <w:top w:val="single" w:sz="4" w:space="0" w:color="A6A6A6"/>
              <w:left w:val="single" w:sz="4" w:space="0" w:color="A6A6A6"/>
              <w:bottom w:val="single" w:sz="4" w:space="0" w:color="A6A6A6"/>
              <w:right w:val="single" w:sz="4" w:space="0" w:color="A6A6A6"/>
            </w:tcBorders>
            <w:tcMar>
              <w:top w:w="57" w:type="dxa"/>
              <w:left w:w="57" w:type="dxa"/>
              <w:bottom w:w="57" w:type="dxa"/>
              <w:right w:w="57" w:type="dxa"/>
            </w:tcMar>
            <w:vAlign w:val="center"/>
            <w:hideMark/>
          </w:tcPr>
          <w:p w:rsidR="00307009" w:rsidRDefault="00307009">
            <w:pPr>
              <w:spacing w:after="0"/>
              <w:textAlignment w:val="baseline"/>
              <w:rPr>
                <w:rFonts w:cs="Arial"/>
                <w:sz w:val="36"/>
                <w:szCs w:val="36"/>
              </w:rPr>
            </w:pPr>
            <w:r>
              <w:rPr>
                <w:rFonts w:eastAsia="Arial Unicode MS" w:cs="Arial"/>
                <w:color w:val="000000"/>
                <w:kern w:val="24"/>
                <w:sz w:val="20"/>
                <w:szCs w:val="20"/>
              </w:rPr>
              <w:t>Hours</w:t>
            </w:r>
          </w:p>
        </w:tc>
        <w:tc>
          <w:tcPr>
            <w:tcW w:w="5040" w:type="dxa"/>
            <w:tcBorders>
              <w:top w:val="single" w:sz="4" w:space="0" w:color="A6A6A6"/>
              <w:left w:val="single" w:sz="4" w:space="0" w:color="A6A6A6"/>
              <w:bottom w:val="single" w:sz="4" w:space="0" w:color="A6A6A6"/>
              <w:right w:val="single" w:sz="4" w:space="0" w:color="A6A6A6"/>
            </w:tcBorders>
            <w:tcMar>
              <w:top w:w="57" w:type="dxa"/>
              <w:left w:w="57" w:type="dxa"/>
              <w:bottom w:w="57" w:type="dxa"/>
              <w:right w:w="57" w:type="dxa"/>
            </w:tcMar>
            <w:vAlign w:val="center"/>
            <w:hideMark/>
          </w:tcPr>
          <w:p w:rsidR="00307009" w:rsidRDefault="00307009">
            <w:pPr>
              <w:spacing w:after="0"/>
              <w:textAlignment w:val="baseline"/>
              <w:rPr>
                <w:rFonts w:cs="Arial"/>
                <w:sz w:val="36"/>
                <w:szCs w:val="36"/>
              </w:rPr>
            </w:pPr>
            <w:r>
              <w:rPr>
                <w:rFonts w:eastAsia="Arial Unicode MS" w:cs="Arial"/>
                <w:color w:val="000000"/>
                <w:kern w:val="24"/>
                <w:sz w:val="20"/>
                <w:szCs w:val="20"/>
              </w:rPr>
              <w:t>Nil hours per month</w:t>
            </w:r>
          </w:p>
        </w:tc>
      </w:tr>
      <w:tr w:rsidR="00307009" w:rsidTr="00307009">
        <w:trPr>
          <w:trHeight w:val="325"/>
        </w:trPr>
        <w:tc>
          <w:tcPr>
            <w:tcW w:w="2970" w:type="dxa"/>
            <w:tcBorders>
              <w:top w:val="single" w:sz="4" w:space="0" w:color="A6A6A6"/>
              <w:left w:val="single" w:sz="4" w:space="0" w:color="A6A6A6"/>
              <w:bottom w:val="single" w:sz="4" w:space="0" w:color="A6A6A6"/>
              <w:right w:val="single" w:sz="4" w:space="0" w:color="A6A6A6"/>
            </w:tcBorders>
            <w:tcMar>
              <w:top w:w="57" w:type="dxa"/>
              <w:left w:w="57" w:type="dxa"/>
              <w:bottom w:w="57" w:type="dxa"/>
              <w:right w:w="57" w:type="dxa"/>
            </w:tcMar>
            <w:vAlign w:val="center"/>
            <w:hideMark/>
          </w:tcPr>
          <w:p w:rsidR="00307009" w:rsidRDefault="00307009">
            <w:pPr>
              <w:spacing w:after="0"/>
              <w:textAlignment w:val="baseline"/>
              <w:rPr>
                <w:rFonts w:cs="Arial"/>
                <w:sz w:val="36"/>
                <w:szCs w:val="36"/>
              </w:rPr>
            </w:pPr>
            <w:r>
              <w:rPr>
                <w:rFonts w:eastAsia="Arial Unicode MS" w:cs="Arial"/>
                <w:color w:val="000000"/>
                <w:kern w:val="24"/>
                <w:sz w:val="20"/>
                <w:szCs w:val="20"/>
              </w:rPr>
              <w:t>Apply application patches from vendor</w:t>
            </w:r>
          </w:p>
        </w:tc>
        <w:tc>
          <w:tcPr>
            <w:tcW w:w="2025" w:type="dxa"/>
            <w:tcBorders>
              <w:top w:val="single" w:sz="4" w:space="0" w:color="A6A6A6"/>
              <w:left w:val="single" w:sz="4" w:space="0" w:color="A6A6A6"/>
              <w:bottom w:val="single" w:sz="4" w:space="0" w:color="A6A6A6"/>
              <w:right w:val="single" w:sz="4" w:space="0" w:color="A6A6A6"/>
            </w:tcBorders>
            <w:tcMar>
              <w:top w:w="57" w:type="dxa"/>
              <w:left w:w="57" w:type="dxa"/>
              <w:bottom w:w="57" w:type="dxa"/>
              <w:right w:w="57" w:type="dxa"/>
            </w:tcMar>
            <w:vAlign w:val="center"/>
            <w:hideMark/>
          </w:tcPr>
          <w:p w:rsidR="00307009" w:rsidRDefault="00307009">
            <w:pPr>
              <w:spacing w:after="0"/>
              <w:textAlignment w:val="baseline"/>
              <w:rPr>
                <w:rFonts w:cs="Arial"/>
                <w:sz w:val="36"/>
                <w:szCs w:val="36"/>
              </w:rPr>
            </w:pPr>
            <w:r>
              <w:rPr>
                <w:rFonts w:eastAsia="Arial Unicode MS" w:cs="Arial"/>
                <w:kern w:val="24"/>
                <w:sz w:val="20"/>
                <w:szCs w:val="20"/>
              </w:rPr>
              <w:t>Nbr of patches and hours</w:t>
            </w:r>
          </w:p>
        </w:tc>
        <w:tc>
          <w:tcPr>
            <w:tcW w:w="5040" w:type="dxa"/>
            <w:tcBorders>
              <w:top w:val="single" w:sz="4" w:space="0" w:color="A6A6A6"/>
              <w:left w:val="single" w:sz="4" w:space="0" w:color="A6A6A6"/>
              <w:bottom w:val="single" w:sz="4" w:space="0" w:color="A6A6A6"/>
              <w:right w:val="single" w:sz="4" w:space="0" w:color="A6A6A6"/>
            </w:tcBorders>
            <w:tcMar>
              <w:top w:w="57" w:type="dxa"/>
              <w:left w:w="57" w:type="dxa"/>
              <w:bottom w:w="57" w:type="dxa"/>
              <w:right w:w="57" w:type="dxa"/>
            </w:tcMar>
            <w:vAlign w:val="center"/>
            <w:hideMark/>
          </w:tcPr>
          <w:p w:rsidR="00307009" w:rsidRDefault="00307009">
            <w:pPr>
              <w:spacing w:after="0"/>
              <w:textAlignment w:val="baseline"/>
              <w:rPr>
                <w:rFonts w:cs="Arial"/>
                <w:sz w:val="36"/>
                <w:szCs w:val="36"/>
              </w:rPr>
            </w:pPr>
            <w:r>
              <w:rPr>
                <w:rFonts w:eastAsia="Arial Unicode MS" w:cs="Arial"/>
                <w:color w:val="000000"/>
                <w:kern w:val="24"/>
                <w:sz w:val="20"/>
                <w:szCs w:val="20"/>
              </w:rPr>
              <w:t>Upgrade patches every 12 months and quarterly patches</w:t>
            </w:r>
          </w:p>
        </w:tc>
      </w:tr>
      <w:tr w:rsidR="00307009" w:rsidTr="00307009">
        <w:trPr>
          <w:trHeight w:val="559"/>
        </w:trPr>
        <w:tc>
          <w:tcPr>
            <w:tcW w:w="2970" w:type="dxa"/>
            <w:tcBorders>
              <w:top w:val="single" w:sz="4" w:space="0" w:color="A6A6A6"/>
              <w:left w:val="single" w:sz="4" w:space="0" w:color="A6A6A6"/>
              <w:bottom w:val="single" w:sz="4" w:space="0" w:color="A6A6A6"/>
              <w:right w:val="single" w:sz="4" w:space="0" w:color="A6A6A6"/>
            </w:tcBorders>
            <w:tcMar>
              <w:top w:w="57" w:type="dxa"/>
              <w:left w:w="57" w:type="dxa"/>
              <w:bottom w:w="57" w:type="dxa"/>
              <w:right w:w="57" w:type="dxa"/>
            </w:tcMar>
            <w:vAlign w:val="center"/>
            <w:hideMark/>
          </w:tcPr>
          <w:p w:rsidR="00307009" w:rsidRDefault="00307009">
            <w:pPr>
              <w:spacing w:after="0"/>
              <w:textAlignment w:val="baseline"/>
              <w:rPr>
                <w:rFonts w:cs="Arial"/>
                <w:sz w:val="36"/>
                <w:szCs w:val="36"/>
              </w:rPr>
            </w:pPr>
            <w:r>
              <w:rPr>
                <w:rFonts w:eastAsia="Arial Unicode MS" w:cs="Arial"/>
                <w:color w:val="000000"/>
                <w:kern w:val="24"/>
                <w:sz w:val="20"/>
                <w:szCs w:val="20"/>
              </w:rPr>
              <w:lastRenderedPageBreak/>
              <w:t xml:space="preserve">Operational Responsibility </w:t>
            </w:r>
          </w:p>
        </w:tc>
        <w:tc>
          <w:tcPr>
            <w:tcW w:w="2025" w:type="dxa"/>
            <w:tcBorders>
              <w:top w:val="single" w:sz="4" w:space="0" w:color="A6A6A6"/>
              <w:left w:val="single" w:sz="4" w:space="0" w:color="A6A6A6"/>
              <w:bottom w:val="single" w:sz="4" w:space="0" w:color="A6A6A6"/>
              <w:right w:val="single" w:sz="4" w:space="0" w:color="A6A6A6"/>
            </w:tcBorders>
            <w:tcMar>
              <w:top w:w="57" w:type="dxa"/>
              <w:left w:w="57" w:type="dxa"/>
              <w:bottom w:w="57" w:type="dxa"/>
              <w:right w:w="57" w:type="dxa"/>
            </w:tcMar>
            <w:vAlign w:val="center"/>
            <w:hideMark/>
          </w:tcPr>
          <w:p w:rsidR="00307009" w:rsidRDefault="00307009">
            <w:pPr>
              <w:spacing w:after="0"/>
              <w:textAlignment w:val="baseline"/>
              <w:rPr>
                <w:rFonts w:cs="Arial"/>
                <w:sz w:val="36"/>
                <w:szCs w:val="36"/>
              </w:rPr>
            </w:pPr>
            <w:r>
              <w:rPr>
                <w:rFonts w:eastAsia="Arial Unicode MS" w:cs="Arial"/>
                <w:kern w:val="24"/>
                <w:sz w:val="20"/>
                <w:szCs w:val="20"/>
              </w:rPr>
              <w:t xml:space="preserve">Nbr of Client Meeting/Reporting </w:t>
            </w:r>
          </w:p>
        </w:tc>
        <w:tc>
          <w:tcPr>
            <w:tcW w:w="5040" w:type="dxa"/>
            <w:tcBorders>
              <w:top w:val="single" w:sz="4" w:space="0" w:color="A6A6A6"/>
              <w:left w:val="single" w:sz="4" w:space="0" w:color="A6A6A6"/>
              <w:bottom w:val="single" w:sz="4" w:space="0" w:color="A6A6A6"/>
              <w:right w:val="single" w:sz="4" w:space="0" w:color="A6A6A6"/>
            </w:tcBorders>
            <w:tcMar>
              <w:top w:w="57" w:type="dxa"/>
              <w:left w:w="57" w:type="dxa"/>
              <w:bottom w:w="57" w:type="dxa"/>
              <w:right w:w="57" w:type="dxa"/>
            </w:tcMar>
            <w:vAlign w:val="center"/>
            <w:hideMark/>
          </w:tcPr>
          <w:p w:rsidR="00307009" w:rsidRDefault="00307009">
            <w:pPr>
              <w:spacing w:after="0"/>
              <w:textAlignment w:val="baseline"/>
              <w:rPr>
                <w:rFonts w:cs="Arial"/>
                <w:sz w:val="36"/>
                <w:szCs w:val="36"/>
              </w:rPr>
            </w:pPr>
            <w:r>
              <w:rPr>
                <w:rFonts w:eastAsia="Arial Unicode MS" w:cs="Arial"/>
                <w:color w:val="000000"/>
                <w:kern w:val="24"/>
                <w:sz w:val="20"/>
                <w:szCs w:val="20"/>
              </w:rPr>
              <w:t>Monthly SLA Reports/Meetings with the client in a month</w:t>
            </w:r>
          </w:p>
        </w:tc>
      </w:tr>
    </w:tbl>
    <w:p w:rsidR="00307009" w:rsidRDefault="00307009" w:rsidP="00307009">
      <w:pPr>
        <w:pStyle w:val="BodyText"/>
        <w:jc w:val="both"/>
        <w:rPr>
          <w:noProof/>
          <w:lang w:eastAsia="en-US"/>
        </w:rPr>
      </w:pPr>
    </w:p>
    <w:p w:rsidR="00307009" w:rsidRDefault="00307009" w:rsidP="00307009">
      <w:pPr>
        <w:pStyle w:val="Heading3"/>
        <w:rPr>
          <w:color w:val="auto"/>
          <w:sz w:val="24"/>
          <w:szCs w:val="24"/>
        </w:rPr>
      </w:pPr>
      <w:bookmarkStart w:id="1" w:name="_Toc484708022"/>
      <w:r>
        <w:rPr>
          <w:color w:val="auto"/>
          <w:sz w:val="24"/>
          <w:szCs w:val="24"/>
        </w:rPr>
        <w:t>Delivery Model and Support Locations</w:t>
      </w:r>
      <w:bookmarkEnd w:id="1"/>
    </w:p>
    <w:p w:rsidR="00307009" w:rsidRDefault="00307009" w:rsidP="00307009">
      <w:pPr>
        <w:pStyle w:val="BodyText"/>
        <w:jc w:val="both"/>
        <w:rPr>
          <w:rFonts w:cs="Arial"/>
          <w:lang w:val="en-AU"/>
        </w:rPr>
      </w:pPr>
      <w:r>
        <w:rPr>
          <w:rFonts w:cs="Arial"/>
          <w:lang w:val="en-AU"/>
        </w:rPr>
        <w:t xml:space="preserve">IBM will establish a worldwide delivery model for the provision of the services for all the in-scope applications. The IBM delivery model agrees with &lt;&lt;Client&gt;&gt; and is based on IBM providing Application support and delivery from multiple locations. Onsite resources will be needed for delivery ownership/accountability, Architecture and Business Analysis. </w:t>
      </w:r>
    </w:p>
    <w:p w:rsidR="00307009" w:rsidRDefault="00307009" w:rsidP="00307009">
      <w:pPr>
        <w:pStyle w:val="BodyText"/>
        <w:jc w:val="both"/>
        <w:rPr>
          <w:rFonts w:cs="Arial"/>
          <w:lang w:val="en-AU"/>
        </w:rPr>
      </w:pPr>
      <w:r>
        <w:rPr>
          <w:rFonts w:eastAsia="Calibri" w:cs="Arial"/>
          <w:lang w:eastAsia="en-US"/>
        </w:rPr>
        <w:t>The AMS solution of IBM offers to &lt;&lt;Client&gt;&gt; a delivery model that helps to reduce costs and at the same time improves quality with clearly defined service levels and a strong model of governance.</w:t>
      </w:r>
    </w:p>
    <w:p w:rsidR="00307009" w:rsidRDefault="00307009" w:rsidP="00307009">
      <w:pPr>
        <w:pStyle w:val="BodyText"/>
        <w:jc w:val="both"/>
        <w:rPr>
          <w:rFonts w:cs="Arial"/>
          <w:lang w:val="en-AU"/>
        </w:rPr>
      </w:pPr>
    </w:p>
    <w:p w:rsidR="00307009" w:rsidRDefault="00307009" w:rsidP="00307009">
      <w:pPr>
        <w:pStyle w:val="BodyText"/>
        <w:jc w:val="both"/>
        <w:rPr>
          <w:rFonts w:cs="Arial"/>
          <w:lang w:val="en-AU"/>
        </w:rPr>
      </w:pPr>
      <w:r>
        <w:rPr>
          <w:noProof/>
          <w:lang w:eastAsia="en-US"/>
        </w:rPr>
        <w:drawing>
          <wp:inline distT="0" distB="0" distL="0" distR="0">
            <wp:extent cx="5707380" cy="27889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7380" cy="2788920"/>
                    </a:xfrm>
                    <a:prstGeom prst="rect">
                      <a:avLst/>
                    </a:prstGeom>
                    <a:noFill/>
                    <a:ln>
                      <a:noFill/>
                    </a:ln>
                  </pic:spPr>
                </pic:pic>
              </a:graphicData>
            </a:graphic>
          </wp:inline>
        </w:drawing>
      </w:r>
    </w:p>
    <w:p w:rsidR="00307009" w:rsidRDefault="00307009" w:rsidP="00307009">
      <w:pPr>
        <w:pStyle w:val="BodyText"/>
        <w:jc w:val="both"/>
        <w:rPr>
          <w:rFonts w:cs="Arial"/>
          <w:lang w:val="en-AU"/>
        </w:rPr>
      </w:pPr>
    </w:p>
    <w:p w:rsidR="00307009" w:rsidRDefault="00307009" w:rsidP="00307009">
      <w:pPr>
        <w:pStyle w:val="BodyText"/>
        <w:jc w:val="both"/>
        <w:rPr>
          <w:rFonts w:cs="Arial"/>
        </w:rPr>
      </w:pPr>
      <w:r>
        <w:rPr>
          <w:rFonts w:cs="Arial"/>
        </w:rPr>
        <w:t>IBM offers a competitive delivery model with high quality Factory Based Services across all Delivery Centers. Global Integration achieves the optimum combination of quality, stability and savings, and enables us to serve both major and growth</w:t>
      </w:r>
    </w:p>
    <w:p w:rsidR="00307009" w:rsidRDefault="00307009" w:rsidP="00307009">
      <w:pPr>
        <w:pStyle w:val="BodyText"/>
        <w:jc w:val="both"/>
        <w:rPr>
          <w:rFonts w:cs="Arial"/>
        </w:rPr>
      </w:pPr>
      <w:r>
        <w:rPr>
          <w:rFonts w:cs="Arial"/>
          <w:lang w:val="en-AU"/>
        </w:rPr>
        <w:t>We will be providing Locations Support for the listed sites.</w:t>
      </w:r>
      <w:r>
        <w:rPr>
          <w:rFonts w:cs="Arial"/>
          <w:lang w:val="en-GB"/>
        </w:rPr>
        <w:t xml:space="preserve"> Delivery Locations to provide flexible and scalable model to get Right resource at Right time </w:t>
      </w:r>
    </w:p>
    <w:p w:rsidR="00307009" w:rsidRDefault="00307009" w:rsidP="00307009">
      <w:pPr>
        <w:pStyle w:val="BodyText"/>
        <w:numPr>
          <w:ilvl w:val="0"/>
          <w:numId w:val="6"/>
        </w:numPr>
        <w:jc w:val="both"/>
        <w:rPr>
          <w:rFonts w:cs="Arial"/>
          <w:lang w:val="en-AU"/>
        </w:rPr>
      </w:pPr>
      <w:r>
        <w:rPr>
          <w:rFonts w:cs="Arial"/>
          <w:lang w:val="en-AU"/>
        </w:rPr>
        <w:t>UK (2 locations)</w:t>
      </w:r>
    </w:p>
    <w:p w:rsidR="00307009" w:rsidRDefault="00307009" w:rsidP="00307009">
      <w:pPr>
        <w:pStyle w:val="BodyText"/>
        <w:numPr>
          <w:ilvl w:val="0"/>
          <w:numId w:val="6"/>
        </w:numPr>
        <w:jc w:val="both"/>
        <w:rPr>
          <w:rFonts w:cs="Arial"/>
          <w:lang w:val="en-AU"/>
        </w:rPr>
      </w:pPr>
      <w:r>
        <w:rPr>
          <w:rFonts w:cs="Arial"/>
          <w:lang w:val="en-AU"/>
        </w:rPr>
        <w:t>USA (5 locations)</w:t>
      </w:r>
    </w:p>
    <w:p w:rsidR="00307009" w:rsidRDefault="00307009" w:rsidP="00307009">
      <w:pPr>
        <w:pStyle w:val="BodyText"/>
        <w:numPr>
          <w:ilvl w:val="0"/>
          <w:numId w:val="6"/>
        </w:numPr>
        <w:jc w:val="both"/>
        <w:rPr>
          <w:rFonts w:cs="Arial"/>
          <w:lang w:val="en-AU"/>
        </w:rPr>
      </w:pPr>
      <w:r>
        <w:rPr>
          <w:rFonts w:cs="Arial"/>
          <w:lang w:val="en-AU"/>
        </w:rPr>
        <w:t>Asia Pacific (6 locations)</w:t>
      </w:r>
    </w:p>
    <w:p w:rsidR="00307009" w:rsidRDefault="00307009" w:rsidP="00307009">
      <w:pPr>
        <w:pStyle w:val="BodyText"/>
        <w:jc w:val="both"/>
        <w:rPr>
          <w:rFonts w:cs="Arial"/>
          <w:lang w:val="en-AU"/>
        </w:rPr>
      </w:pPr>
    </w:p>
    <w:p w:rsidR="00307009" w:rsidRDefault="00307009" w:rsidP="00307009">
      <w:pPr>
        <w:pStyle w:val="BodyText"/>
        <w:jc w:val="both"/>
        <w:rPr>
          <w:noProof/>
          <w:lang w:eastAsia="en-US"/>
        </w:rPr>
      </w:pPr>
      <w:r>
        <w:rPr>
          <w:noProof/>
          <w:lang w:eastAsia="en-US"/>
        </w:rPr>
        <w:lastRenderedPageBreak/>
        <w:drawing>
          <wp:inline distT="0" distB="0" distL="0" distR="0">
            <wp:extent cx="5943600"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rsidR="00307009" w:rsidRDefault="00307009" w:rsidP="00307009">
      <w:pPr>
        <w:pStyle w:val="BodyText"/>
        <w:numPr>
          <w:ilvl w:val="0"/>
          <w:numId w:val="6"/>
        </w:numPr>
        <w:jc w:val="both"/>
        <w:rPr>
          <w:rFonts w:cs="Arial"/>
          <w:lang w:val="en-AU"/>
        </w:rPr>
      </w:pPr>
      <w:r>
        <w:rPr>
          <w:rFonts w:cs="Arial"/>
          <w:lang w:val="en-AU"/>
        </w:rPr>
        <w:t>Onshore team located at Cambridge, UK</w:t>
      </w:r>
    </w:p>
    <w:p w:rsidR="00307009" w:rsidRDefault="00307009" w:rsidP="00307009">
      <w:pPr>
        <w:pStyle w:val="BodyText"/>
        <w:numPr>
          <w:ilvl w:val="0"/>
          <w:numId w:val="6"/>
        </w:numPr>
        <w:jc w:val="both"/>
        <w:rPr>
          <w:rFonts w:cs="Arial"/>
          <w:lang w:val="en-AU"/>
        </w:rPr>
      </w:pPr>
      <w:r>
        <w:rPr>
          <w:rFonts w:cs="Arial"/>
          <w:lang w:val="en-AU"/>
        </w:rPr>
        <w:t>Primary offshore delivery team to be located in India and China</w:t>
      </w:r>
    </w:p>
    <w:p w:rsidR="00307009" w:rsidRDefault="00307009" w:rsidP="00307009">
      <w:pPr>
        <w:pStyle w:val="BodyText"/>
        <w:numPr>
          <w:ilvl w:val="0"/>
          <w:numId w:val="6"/>
        </w:numPr>
        <w:jc w:val="both"/>
        <w:rPr>
          <w:rFonts w:cs="Arial"/>
          <w:lang w:val="en-AU"/>
        </w:rPr>
      </w:pPr>
      <w:r>
        <w:rPr>
          <w:rFonts w:cs="Arial"/>
          <w:lang w:val="en-AU"/>
        </w:rPr>
        <w:t>On demand resourcing from Delivery Centers</w:t>
      </w:r>
    </w:p>
    <w:p w:rsidR="00307009" w:rsidRDefault="00307009" w:rsidP="00307009">
      <w:pPr>
        <w:pStyle w:val="BodyText"/>
        <w:numPr>
          <w:ilvl w:val="0"/>
          <w:numId w:val="6"/>
        </w:numPr>
        <w:jc w:val="both"/>
        <w:rPr>
          <w:rFonts w:cs="Arial"/>
          <w:lang w:val="en-AU"/>
        </w:rPr>
      </w:pPr>
      <w:r>
        <w:rPr>
          <w:rFonts w:cs="Arial"/>
          <w:lang w:val="en-AU"/>
        </w:rPr>
        <w:t>Cost effective and flexible model to support  &lt;&lt;Client&gt;&gt;’s current &amp; future requirements</w:t>
      </w:r>
    </w:p>
    <w:p w:rsidR="00307009" w:rsidRDefault="00307009" w:rsidP="00307009">
      <w:pPr>
        <w:pStyle w:val="BodyText"/>
        <w:jc w:val="both"/>
        <w:rPr>
          <w:rFonts w:cs="Arial"/>
          <w:lang w:val="en-AU"/>
        </w:rPr>
      </w:pPr>
      <w:r>
        <w:rPr>
          <w:rFonts w:cs="Arial"/>
          <w:lang w:val="en-AU"/>
        </w:rPr>
        <w:t>We will provide Application support for &lt;&lt;Client&gt;&gt; using a blended on-shore / off-shore approach. In IBM’s solution, our on-shore teams will be the 1st point of contact for the users and will ensure that the requirement is understood, translated, conveyed and coordinated with offshore team in India/China to be delivered with quality and agreed SLA/SLO.</w:t>
      </w:r>
    </w:p>
    <w:p w:rsidR="00307009" w:rsidRDefault="00307009" w:rsidP="00307009">
      <w:pPr>
        <w:pStyle w:val="BodyText"/>
        <w:rPr>
          <w:noProof/>
          <w:lang w:eastAsia="en-US"/>
        </w:rPr>
      </w:pPr>
      <w:r>
        <w:rPr>
          <w:noProof/>
          <w:lang w:eastAsia="en-US"/>
        </w:rPr>
        <w:drawing>
          <wp:inline distT="0" distB="0" distL="0" distR="0">
            <wp:extent cx="6111240" cy="33451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1240" cy="3345180"/>
                    </a:xfrm>
                    <a:prstGeom prst="rect">
                      <a:avLst/>
                    </a:prstGeom>
                    <a:noFill/>
                    <a:ln>
                      <a:noFill/>
                    </a:ln>
                  </pic:spPr>
                </pic:pic>
              </a:graphicData>
            </a:graphic>
          </wp:inline>
        </w:drawing>
      </w:r>
    </w:p>
    <w:p w:rsidR="00307009" w:rsidRDefault="00307009" w:rsidP="00307009">
      <w:pPr>
        <w:pStyle w:val="BodyText"/>
        <w:rPr>
          <w:noProof/>
          <w:lang w:eastAsia="en-US"/>
        </w:rPr>
      </w:pPr>
    </w:p>
    <w:p w:rsidR="00307009" w:rsidRDefault="00307009" w:rsidP="00307009">
      <w:pPr>
        <w:jc w:val="both"/>
        <w:rPr>
          <w:rFonts w:cs="Arial"/>
          <w:lang w:eastAsia="en-GB"/>
        </w:rPr>
      </w:pPr>
      <w:r>
        <w:rPr>
          <w:rFonts w:cs="Arial"/>
        </w:rPr>
        <w:lastRenderedPageBreak/>
        <w:t xml:space="preserve">We understand that despite best plans and forecasts, the resource demand would fluctuate over a period, based on the varying business demands and priorities. To reflect the actual demand on ground, IBM proposes a </w:t>
      </w:r>
      <w:r>
        <w:rPr>
          <w:rFonts w:cs="Arial"/>
          <w:b/>
        </w:rPr>
        <w:t xml:space="preserve">Core-Flex </w:t>
      </w:r>
      <w:r>
        <w:rPr>
          <w:rFonts w:cs="Arial"/>
        </w:rPr>
        <w:t xml:space="preserve">model that is customized to the client’s needs. </w:t>
      </w:r>
    </w:p>
    <w:p w:rsidR="00307009" w:rsidRDefault="00307009" w:rsidP="00307009">
      <w:pPr>
        <w:jc w:val="both"/>
        <w:rPr>
          <w:rFonts w:cs="Arial"/>
        </w:rPr>
      </w:pPr>
      <w:r>
        <w:rPr>
          <w:rFonts w:cs="Arial"/>
        </w:rPr>
        <w:t xml:space="preserve">Depending on client’s current and future needs, resources can be assigned to work either as part of the “IBM Core Team” to address client's core and critical project services, and/or to the “IBM Flex Team”. The flex team is primarily assigned for less critical projects, where the workload can be elastic and dynamic.  IBM employs a management structure that provides timely scaling of resources based on demand. There is a joint demand forecast of resources between IBM and client to identify flexible resource requirements, which is crucial to success of this model. Monthly baseline reviews occur as part of the continuous planning cycle. These reviews address changes to business needs, forecast resource requirements, address capacity planning needs and suggest changes to the sourcing solution based on demand. </w:t>
      </w:r>
    </w:p>
    <w:p w:rsidR="00307009" w:rsidRDefault="00307009" w:rsidP="00307009">
      <w:pPr>
        <w:jc w:val="both"/>
        <w:rPr>
          <w:rFonts w:cs="Arial"/>
        </w:rPr>
      </w:pPr>
      <w:r>
        <w:rPr>
          <w:rFonts w:cs="Arial"/>
        </w:rPr>
        <w:t>The Core team includes dedicated and persistent resources. This team ensures that the knowledge is retained while maintaining the minimum capacity required to provide application services. Core team may include specialized resources or resources that manage core activities (such as high and critical business process issues, tickets, service requests, enhancements etc.). Flex resources join the team for specific projects or during spike in demand.</w:t>
      </w:r>
    </w:p>
    <w:p w:rsidR="00307009" w:rsidRDefault="00307009" w:rsidP="00307009">
      <w:pPr>
        <w:jc w:val="both"/>
        <w:rPr>
          <w:rFonts w:cs="Arial"/>
          <w:noProof/>
        </w:rPr>
      </w:pPr>
      <w:r>
        <w:rPr>
          <w:noProof/>
        </w:rPr>
        <w:drawing>
          <wp:inline distT="0" distB="0" distL="0" distR="0">
            <wp:extent cx="5943600" cy="3154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4680"/>
                    </a:xfrm>
                    <a:prstGeom prst="rect">
                      <a:avLst/>
                    </a:prstGeom>
                    <a:noFill/>
                    <a:ln>
                      <a:noFill/>
                    </a:ln>
                  </pic:spPr>
                </pic:pic>
              </a:graphicData>
            </a:graphic>
          </wp:inline>
        </w:drawing>
      </w:r>
    </w:p>
    <w:p w:rsidR="00307009" w:rsidRDefault="00307009" w:rsidP="00307009">
      <w:pPr>
        <w:pStyle w:val="BodyText"/>
        <w:rPr>
          <w:lang w:eastAsia="en-US"/>
        </w:rPr>
      </w:pPr>
    </w:p>
    <w:tbl>
      <w:tblPr>
        <w:tblW w:w="10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7"/>
        <w:gridCol w:w="5167"/>
      </w:tblGrid>
      <w:tr w:rsidR="00307009" w:rsidTr="00307009">
        <w:trPr>
          <w:trHeight w:val="573"/>
        </w:trPr>
        <w:tc>
          <w:tcPr>
            <w:tcW w:w="5167" w:type="dxa"/>
            <w:tcBorders>
              <w:top w:val="single" w:sz="4" w:space="0" w:color="auto"/>
              <w:left w:val="single" w:sz="4" w:space="0" w:color="auto"/>
              <w:bottom w:val="single" w:sz="4" w:space="0" w:color="auto"/>
              <w:right w:val="single" w:sz="4" w:space="0" w:color="auto"/>
            </w:tcBorders>
            <w:hideMark/>
          </w:tcPr>
          <w:p w:rsidR="00307009" w:rsidRDefault="00307009">
            <w:pPr>
              <w:jc w:val="both"/>
              <w:rPr>
                <w:rFonts w:cs="Arial"/>
                <w:b/>
                <w:lang w:eastAsia="en-GB"/>
              </w:rPr>
            </w:pPr>
            <w:r>
              <w:rPr>
                <w:rFonts w:cs="Arial"/>
                <w:b/>
              </w:rPr>
              <w:t>Functions of Core team</w:t>
            </w:r>
          </w:p>
        </w:tc>
        <w:tc>
          <w:tcPr>
            <w:tcW w:w="5167" w:type="dxa"/>
            <w:tcBorders>
              <w:top w:val="single" w:sz="4" w:space="0" w:color="auto"/>
              <w:left w:val="single" w:sz="4" w:space="0" w:color="auto"/>
              <w:bottom w:val="single" w:sz="4" w:space="0" w:color="auto"/>
              <w:right w:val="single" w:sz="4" w:space="0" w:color="auto"/>
            </w:tcBorders>
            <w:hideMark/>
          </w:tcPr>
          <w:p w:rsidR="00307009" w:rsidRDefault="00307009">
            <w:pPr>
              <w:jc w:val="both"/>
              <w:rPr>
                <w:rFonts w:cs="Arial"/>
                <w:b/>
              </w:rPr>
            </w:pPr>
            <w:r>
              <w:rPr>
                <w:rFonts w:cs="Arial"/>
                <w:b/>
              </w:rPr>
              <w:t>Functions of Flex team</w:t>
            </w:r>
          </w:p>
        </w:tc>
      </w:tr>
      <w:tr w:rsidR="00307009" w:rsidTr="00307009">
        <w:trPr>
          <w:trHeight w:val="1763"/>
        </w:trPr>
        <w:tc>
          <w:tcPr>
            <w:tcW w:w="5167" w:type="dxa"/>
            <w:tcBorders>
              <w:top w:val="single" w:sz="4" w:space="0" w:color="auto"/>
              <w:left w:val="single" w:sz="4" w:space="0" w:color="auto"/>
              <w:bottom w:val="single" w:sz="4" w:space="0" w:color="auto"/>
              <w:right w:val="single" w:sz="4" w:space="0" w:color="auto"/>
            </w:tcBorders>
          </w:tcPr>
          <w:p w:rsidR="00307009" w:rsidRDefault="00307009">
            <w:pPr>
              <w:pStyle w:val="ListParagraph"/>
              <w:numPr>
                <w:ilvl w:val="0"/>
                <w:numId w:val="7"/>
              </w:numPr>
              <w:spacing w:after="0" w:line="240" w:lineRule="auto"/>
              <w:rPr>
                <w:rFonts w:ascii="Arial" w:hAnsi="Arial"/>
                <w:sz w:val="21"/>
                <w:szCs w:val="21"/>
              </w:rPr>
            </w:pPr>
            <w:r>
              <w:rPr>
                <w:rFonts w:ascii="Arial" w:hAnsi="Arial"/>
                <w:sz w:val="21"/>
                <w:szCs w:val="21"/>
              </w:rPr>
              <w:lastRenderedPageBreak/>
              <w:t>provide stability and continuity to the project</w:t>
            </w:r>
          </w:p>
          <w:p w:rsidR="00307009" w:rsidRDefault="00307009">
            <w:pPr>
              <w:pStyle w:val="ListParagraph"/>
              <w:numPr>
                <w:ilvl w:val="0"/>
                <w:numId w:val="7"/>
              </w:numPr>
              <w:spacing w:after="0" w:line="240" w:lineRule="auto"/>
              <w:rPr>
                <w:rFonts w:ascii="Arial" w:hAnsi="Arial"/>
                <w:sz w:val="21"/>
                <w:szCs w:val="21"/>
              </w:rPr>
            </w:pPr>
            <w:r>
              <w:rPr>
                <w:rFonts w:ascii="Arial" w:hAnsi="Arial"/>
                <w:sz w:val="21"/>
                <w:szCs w:val="21"/>
              </w:rPr>
              <w:t>acquire in-depth business process knowledge and become Subject Matter Experts</w:t>
            </w:r>
          </w:p>
          <w:p w:rsidR="00307009" w:rsidRDefault="00307009">
            <w:pPr>
              <w:pStyle w:val="ListParagraph"/>
              <w:numPr>
                <w:ilvl w:val="0"/>
                <w:numId w:val="7"/>
              </w:numPr>
              <w:spacing w:after="0" w:line="240" w:lineRule="auto"/>
              <w:rPr>
                <w:rFonts w:ascii="Arial" w:hAnsi="Arial"/>
                <w:sz w:val="21"/>
                <w:szCs w:val="21"/>
              </w:rPr>
            </w:pPr>
            <w:r>
              <w:rPr>
                <w:rFonts w:ascii="Arial" w:hAnsi="Arial"/>
                <w:sz w:val="21"/>
                <w:szCs w:val="21"/>
              </w:rPr>
              <w:t>provide productivity gains with maturity</w:t>
            </w:r>
          </w:p>
          <w:p w:rsidR="00307009" w:rsidRDefault="00307009">
            <w:pPr>
              <w:jc w:val="both"/>
              <w:rPr>
                <w:rFonts w:ascii="Arial" w:hAnsi="Arial" w:cs="Arial"/>
                <w:sz w:val="21"/>
                <w:szCs w:val="21"/>
              </w:rPr>
            </w:pPr>
          </w:p>
        </w:tc>
        <w:tc>
          <w:tcPr>
            <w:tcW w:w="5167" w:type="dxa"/>
            <w:tcBorders>
              <w:top w:val="single" w:sz="4" w:space="0" w:color="auto"/>
              <w:left w:val="single" w:sz="4" w:space="0" w:color="auto"/>
              <w:bottom w:val="single" w:sz="4" w:space="0" w:color="auto"/>
              <w:right w:val="single" w:sz="4" w:space="0" w:color="auto"/>
            </w:tcBorders>
          </w:tcPr>
          <w:p w:rsidR="00307009" w:rsidRDefault="00307009">
            <w:pPr>
              <w:pStyle w:val="ListParagraph"/>
              <w:numPr>
                <w:ilvl w:val="0"/>
                <w:numId w:val="8"/>
              </w:numPr>
              <w:spacing w:after="0" w:line="240" w:lineRule="auto"/>
              <w:rPr>
                <w:rFonts w:ascii="Arial" w:hAnsi="Arial"/>
                <w:sz w:val="21"/>
                <w:szCs w:val="21"/>
              </w:rPr>
            </w:pPr>
            <w:r>
              <w:rPr>
                <w:rFonts w:ascii="Arial" w:hAnsi="Arial"/>
                <w:sz w:val="21"/>
                <w:szCs w:val="21"/>
              </w:rPr>
              <w:t>quickly ramp up in peak periods</w:t>
            </w:r>
          </w:p>
          <w:p w:rsidR="00307009" w:rsidRDefault="00307009">
            <w:pPr>
              <w:pStyle w:val="ListParagraph"/>
              <w:numPr>
                <w:ilvl w:val="0"/>
                <w:numId w:val="8"/>
              </w:numPr>
              <w:spacing w:after="0" w:line="240" w:lineRule="auto"/>
              <w:rPr>
                <w:rFonts w:ascii="Arial" w:hAnsi="Arial"/>
                <w:sz w:val="21"/>
                <w:szCs w:val="21"/>
              </w:rPr>
            </w:pPr>
            <w:r>
              <w:rPr>
                <w:rFonts w:ascii="Arial" w:hAnsi="Arial"/>
                <w:sz w:val="21"/>
                <w:szCs w:val="21"/>
              </w:rPr>
              <w:t>ramp down during lean periods</w:t>
            </w:r>
          </w:p>
          <w:p w:rsidR="00307009" w:rsidRDefault="00307009">
            <w:pPr>
              <w:pStyle w:val="ListParagraph"/>
              <w:numPr>
                <w:ilvl w:val="0"/>
                <w:numId w:val="8"/>
              </w:numPr>
              <w:spacing w:after="0" w:line="240" w:lineRule="auto"/>
              <w:rPr>
                <w:rFonts w:ascii="Arial" w:hAnsi="Arial"/>
                <w:sz w:val="21"/>
                <w:szCs w:val="21"/>
              </w:rPr>
            </w:pPr>
            <w:r>
              <w:rPr>
                <w:rFonts w:ascii="Arial" w:hAnsi="Arial"/>
                <w:sz w:val="21"/>
                <w:szCs w:val="21"/>
              </w:rPr>
              <w:t>handle unplanned requirements</w:t>
            </w:r>
          </w:p>
          <w:p w:rsidR="00307009" w:rsidRDefault="00307009">
            <w:pPr>
              <w:jc w:val="both"/>
              <w:rPr>
                <w:rFonts w:ascii="Arial" w:hAnsi="Arial" w:cs="Arial"/>
                <w:sz w:val="21"/>
                <w:szCs w:val="21"/>
              </w:rPr>
            </w:pPr>
          </w:p>
        </w:tc>
      </w:tr>
    </w:tbl>
    <w:p w:rsidR="00307009" w:rsidRDefault="00307009" w:rsidP="00307009">
      <w:pPr>
        <w:jc w:val="both"/>
        <w:rPr>
          <w:rFonts w:ascii="Arial" w:hAnsi="Arial" w:cs="Arial"/>
          <w:sz w:val="21"/>
          <w:szCs w:val="21"/>
          <w:lang w:eastAsia="en-GB"/>
        </w:rPr>
      </w:pPr>
      <w:r>
        <w:rPr>
          <w:rFonts w:cs="Arial"/>
        </w:rPr>
        <w:t>The Core-Flex model can provide &lt;&lt;Client&gt;&gt; with following benefits:</w:t>
      </w:r>
    </w:p>
    <w:p w:rsidR="00307009" w:rsidRDefault="00307009" w:rsidP="00307009">
      <w:pPr>
        <w:pStyle w:val="ListParagraph"/>
        <w:numPr>
          <w:ilvl w:val="0"/>
          <w:numId w:val="9"/>
        </w:numPr>
        <w:rPr>
          <w:rFonts w:ascii="Arial" w:hAnsi="Arial"/>
          <w:sz w:val="21"/>
          <w:szCs w:val="21"/>
        </w:rPr>
      </w:pPr>
      <w:r>
        <w:rPr>
          <w:rFonts w:ascii="Arial" w:hAnsi="Arial"/>
          <w:sz w:val="21"/>
          <w:szCs w:val="21"/>
        </w:rPr>
        <w:t xml:space="preserve">An optimal level of continuous improvement and SLA performance commitments over time, by enabling greater access to broader shared resource pool and industrialised delivery capabilities </w:t>
      </w:r>
    </w:p>
    <w:p w:rsidR="00307009" w:rsidRDefault="00307009" w:rsidP="00307009">
      <w:pPr>
        <w:pStyle w:val="ListParagraph"/>
        <w:numPr>
          <w:ilvl w:val="0"/>
          <w:numId w:val="9"/>
        </w:numPr>
        <w:rPr>
          <w:rFonts w:ascii="Arial" w:hAnsi="Arial"/>
          <w:sz w:val="21"/>
          <w:szCs w:val="21"/>
        </w:rPr>
      </w:pPr>
      <w:r>
        <w:rPr>
          <w:rFonts w:ascii="Arial" w:hAnsi="Arial"/>
          <w:sz w:val="21"/>
          <w:szCs w:val="21"/>
        </w:rPr>
        <w:t>A service for which you are only charged for productive hours to ensure that you derive even greater value from every hour you pay for</w:t>
      </w:r>
    </w:p>
    <w:p w:rsidR="00307009" w:rsidRDefault="00307009" w:rsidP="00307009">
      <w:pPr>
        <w:pStyle w:val="ListParagraph"/>
        <w:numPr>
          <w:ilvl w:val="0"/>
          <w:numId w:val="10"/>
        </w:numPr>
        <w:rPr>
          <w:rFonts w:ascii="Arial" w:hAnsi="Arial"/>
          <w:sz w:val="21"/>
          <w:szCs w:val="21"/>
        </w:rPr>
      </w:pPr>
      <w:r>
        <w:rPr>
          <w:rFonts w:ascii="Arial" w:hAnsi="Arial"/>
          <w:sz w:val="21"/>
          <w:szCs w:val="21"/>
        </w:rPr>
        <w:t xml:space="preserve">Greater service flexibility with seamless ramp-up and ramp-down </w:t>
      </w:r>
    </w:p>
    <w:p w:rsidR="00307009" w:rsidRDefault="00307009" w:rsidP="00307009">
      <w:pPr>
        <w:pStyle w:val="ListParagraph"/>
        <w:numPr>
          <w:ilvl w:val="0"/>
          <w:numId w:val="10"/>
        </w:numPr>
        <w:rPr>
          <w:rFonts w:ascii="Arial" w:hAnsi="Arial"/>
          <w:sz w:val="21"/>
          <w:szCs w:val="21"/>
        </w:rPr>
      </w:pPr>
      <w:r>
        <w:rPr>
          <w:rFonts w:ascii="Arial" w:hAnsi="Arial"/>
          <w:sz w:val="21"/>
          <w:szCs w:val="21"/>
        </w:rPr>
        <w:t xml:space="preserve">Speed and accelerated timelines for project delivery with shortened transition time </w:t>
      </w:r>
    </w:p>
    <w:p w:rsidR="00307009" w:rsidRDefault="00307009" w:rsidP="00307009">
      <w:pPr>
        <w:pStyle w:val="ListParagraph"/>
        <w:numPr>
          <w:ilvl w:val="0"/>
          <w:numId w:val="10"/>
        </w:numPr>
        <w:rPr>
          <w:rFonts w:ascii="Arial" w:hAnsi="Arial"/>
          <w:sz w:val="21"/>
          <w:szCs w:val="21"/>
        </w:rPr>
      </w:pPr>
      <w:r>
        <w:rPr>
          <w:rFonts w:ascii="Arial" w:hAnsi="Arial"/>
          <w:sz w:val="21"/>
          <w:szCs w:val="21"/>
        </w:rPr>
        <w:t>Pool of resources ensures knowledge retention across projects</w:t>
      </w:r>
    </w:p>
    <w:p w:rsidR="00307009" w:rsidRDefault="00307009" w:rsidP="00307009">
      <w:pPr>
        <w:pStyle w:val="ListParagraph"/>
        <w:numPr>
          <w:ilvl w:val="0"/>
          <w:numId w:val="10"/>
        </w:numPr>
        <w:rPr>
          <w:rFonts w:ascii="Arial" w:hAnsi="Arial"/>
          <w:sz w:val="21"/>
          <w:szCs w:val="21"/>
        </w:rPr>
      </w:pPr>
      <w:r>
        <w:rPr>
          <w:rFonts w:ascii="Arial" w:hAnsi="Arial"/>
          <w:sz w:val="21"/>
          <w:szCs w:val="21"/>
        </w:rPr>
        <w:t>Optimal management of cost profile through structured forecasting based on business demand</w:t>
      </w:r>
    </w:p>
    <w:p w:rsidR="00307009" w:rsidRDefault="00307009" w:rsidP="00307009">
      <w:pPr>
        <w:pStyle w:val="Heading3"/>
        <w:rPr>
          <w:color w:val="auto"/>
          <w:sz w:val="24"/>
          <w:szCs w:val="24"/>
        </w:rPr>
      </w:pPr>
      <w:bookmarkStart w:id="2" w:name="_Toc484708023"/>
      <w:r>
        <w:rPr>
          <w:color w:val="auto"/>
          <w:sz w:val="24"/>
          <w:szCs w:val="24"/>
        </w:rPr>
        <w:t>Description of Services</w:t>
      </w:r>
      <w:bookmarkEnd w:id="2"/>
    </w:p>
    <w:p w:rsidR="00307009" w:rsidRDefault="00307009" w:rsidP="00307009">
      <w:pPr>
        <w:pStyle w:val="BodyText"/>
        <w:jc w:val="both"/>
        <w:rPr>
          <w:rFonts w:cs="Arial"/>
          <w:lang w:val="en-AU"/>
        </w:rPr>
      </w:pPr>
      <w:r>
        <w:rPr>
          <w:rFonts w:cs="Arial"/>
          <w:lang w:val="en-AU"/>
        </w:rPr>
        <w:t>Our solution reflects &lt;&lt;Client&gt;&gt;’s desire to have a flexible delivery model so that the service can, on an ongoing basis, be easily adapted to provide on demand support from IBM’s extensive pool of local, regional and global resources.</w:t>
      </w:r>
      <w:r>
        <w:rPr>
          <w:rFonts w:eastAsia="Calibri" w:cs="Arial"/>
          <w:lang w:val="en-AU" w:eastAsia="en-US"/>
        </w:rPr>
        <w:t xml:space="preserve"> </w:t>
      </w:r>
    </w:p>
    <w:p w:rsidR="00307009" w:rsidRDefault="00307009" w:rsidP="00307009">
      <w:pPr>
        <w:pStyle w:val="BodyText"/>
        <w:jc w:val="both"/>
        <w:rPr>
          <w:rFonts w:cs="Arial"/>
          <w:b/>
          <w:lang w:val="en-AU"/>
        </w:rPr>
      </w:pPr>
      <w:r>
        <w:rPr>
          <w:b/>
          <w:lang w:val="en-AU"/>
        </w:rPr>
        <w:t>Incident and Problem Management:</w:t>
      </w:r>
    </w:p>
    <w:p w:rsidR="00307009" w:rsidRDefault="00307009" w:rsidP="00307009">
      <w:pPr>
        <w:jc w:val="both"/>
        <w:rPr>
          <w:rFonts w:cs="Arial"/>
          <w:lang w:val="en-AU"/>
        </w:rPr>
      </w:pPr>
      <w:r>
        <w:rPr>
          <w:rFonts w:cs="Arial"/>
          <w:lang w:val="en-AU"/>
        </w:rPr>
        <w:t>During the Transition Phase, IBM will hold a series of process development workshops that customise its Level 2 and Level 3 processes. IBM will document the outcomes in the Procedure Manual which will include hand-offs and a summary of roles and responsibilities for both &lt;&lt;Client&gt;&gt; and IBM.</w:t>
      </w:r>
    </w:p>
    <w:p w:rsidR="00307009" w:rsidRDefault="00307009" w:rsidP="00307009">
      <w:pPr>
        <w:jc w:val="both"/>
        <w:rPr>
          <w:rFonts w:cs="Arial"/>
          <w:lang w:val="en-AU"/>
        </w:rPr>
      </w:pPr>
      <w:r>
        <w:rPr>
          <w:rFonts w:cs="Arial"/>
          <w:lang w:val="en-AU"/>
        </w:rPr>
        <w:t>IBM proposes the &lt;&lt;Client&gt;&gt; service desk remain the primary point of contact for call logging and that IBM be provided with access to &lt;&lt;Client&gt;&gt; Incident &amp; Problem Management system for call tracking.</w:t>
      </w:r>
    </w:p>
    <w:p w:rsidR="00307009" w:rsidRDefault="00307009" w:rsidP="00307009">
      <w:pPr>
        <w:jc w:val="both"/>
        <w:rPr>
          <w:rFonts w:cs="Arial"/>
          <w:lang w:val="en-AU"/>
        </w:rPr>
      </w:pPr>
      <w:r>
        <w:rPr>
          <w:rFonts w:cs="Arial"/>
          <w:lang w:val="en-AU"/>
        </w:rPr>
        <w:t>The following diagram illustrates the Level 2 and 3 application support process:</w:t>
      </w:r>
    </w:p>
    <w:p w:rsidR="00307009" w:rsidRDefault="00307009" w:rsidP="00307009">
      <w:pPr>
        <w:pStyle w:val="BodyText"/>
        <w:jc w:val="both"/>
        <w:rPr>
          <w:rFonts w:cs="Arial"/>
          <w:noProof/>
          <w:lang w:eastAsia="en-US"/>
        </w:rPr>
      </w:pPr>
      <w:r>
        <w:rPr>
          <w:rFonts w:cs="Arial"/>
          <w:noProof/>
          <w:lang w:eastAsia="en-US"/>
        </w:rPr>
        <w:lastRenderedPageBreak/>
        <w:drawing>
          <wp:inline distT="0" distB="0" distL="0" distR="0">
            <wp:extent cx="5775960" cy="3307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5960" cy="3307080"/>
                    </a:xfrm>
                    <a:prstGeom prst="rect">
                      <a:avLst/>
                    </a:prstGeom>
                    <a:noFill/>
                    <a:ln>
                      <a:noFill/>
                    </a:ln>
                  </pic:spPr>
                </pic:pic>
              </a:graphicData>
            </a:graphic>
          </wp:inline>
        </w:drawing>
      </w:r>
    </w:p>
    <w:p w:rsidR="00307009" w:rsidRDefault="00307009" w:rsidP="00307009">
      <w:pPr>
        <w:pStyle w:val="BodyText"/>
        <w:jc w:val="both"/>
        <w:rPr>
          <w:lang w:val="en-AU"/>
        </w:rPr>
      </w:pPr>
    </w:p>
    <w:p w:rsidR="00307009" w:rsidRDefault="00307009" w:rsidP="00307009">
      <w:pPr>
        <w:jc w:val="both"/>
        <w:rPr>
          <w:rFonts w:cs="Arial"/>
          <w:lang w:val="en-AU"/>
        </w:rPr>
      </w:pPr>
      <w:r>
        <w:rPr>
          <w:rFonts w:cs="Arial"/>
          <w:lang w:val="en-AU"/>
        </w:rPr>
        <w:t>The process starts when a user contacts the &lt;&lt;Client&gt;&gt; Service Desk to report an incident or IBM monitoring team proactively identifies potential system issues and logs an incident in the service management tool. The service desk will log the call into the Incident &amp; Problem Management system, including contact details of the end user to allow for clarification of the ticket, the priority and the date and time that the ticket was raised. Where the service desk is unable to resolve the problem, the service desk will assign the call to IBM Level 2 support, which includes calling or paging the dedicated support contact for high severity issues. The date and time that the ticket was assigned to IBM will be recorded in the Incident &amp; Problem Management system to facilitate escalation and performance tracking.</w:t>
      </w:r>
    </w:p>
    <w:p w:rsidR="00307009" w:rsidRDefault="00307009" w:rsidP="00307009">
      <w:pPr>
        <w:rPr>
          <w:rFonts w:cs="Arial"/>
          <w:lang w:val="en-AU"/>
        </w:rPr>
      </w:pPr>
      <w:r>
        <w:rPr>
          <w:rFonts w:cs="Arial"/>
          <w:lang w:val="en-AU"/>
        </w:rPr>
        <w:t>The following table shows the high-level responsibilities of the various groups involved in the Application support process:</w:t>
      </w:r>
    </w:p>
    <w:tbl>
      <w:tblPr>
        <w:tblW w:w="9090" w:type="dxa"/>
        <w:tblBorders>
          <w:insideH w:val="single" w:sz="8" w:space="0" w:color="999999"/>
          <w:insideV w:val="single" w:sz="8" w:space="0" w:color="999999"/>
        </w:tblBorders>
        <w:tblLook w:val="01E0" w:firstRow="1" w:lastRow="1" w:firstColumn="1" w:lastColumn="1" w:noHBand="0" w:noVBand="0"/>
      </w:tblPr>
      <w:tblGrid>
        <w:gridCol w:w="2127"/>
        <w:gridCol w:w="6963"/>
      </w:tblGrid>
      <w:tr w:rsidR="00307009" w:rsidTr="00307009">
        <w:trPr>
          <w:tblHeader/>
        </w:trPr>
        <w:tc>
          <w:tcPr>
            <w:tcW w:w="2127" w:type="dxa"/>
            <w:tcBorders>
              <w:top w:val="nil"/>
              <w:left w:val="nil"/>
              <w:bottom w:val="single" w:sz="8" w:space="0" w:color="999999"/>
              <w:right w:val="single" w:sz="8" w:space="0" w:color="999999"/>
            </w:tcBorders>
            <w:hideMark/>
          </w:tcPr>
          <w:p w:rsidR="00307009" w:rsidRDefault="00307009">
            <w:pPr>
              <w:pStyle w:val="TableTitle"/>
              <w:rPr>
                <w:rFonts w:eastAsia="MS Mincho" w:cs="Times New Roman"/>
                <w:lang w:val="en-AU"/>
              </w:rPr>
            </w:pPr>
            <w:r>
              <w:rPr>
                <w:rFonts w:eastAsia="MS Mincho"/>
                <w:lang w:val="en-AU"/>
              </w:rPr>
              <w:t>Level</w:t>
            </w:r>
          </w:p>
        </w:tc>
        <w:tc>
          <w:tcPr>
            <w:tcW w:w="6963" w:type="dxa"/>
            <w:tcBorders>
              <w:top w:val="nil"/>
              <w:left w:val="single" w:sz="8" w:space="0" w:color="999999"/>
              <w:bottom w:val="single" w:sz="8" w:space="0" w:color="999999"/>
              <w:right w:val="nil"/>
            </w:tcBorders>
            <w:hideMark/>
          </w:tcPr>
          <w:p w:rsidR="00307009" w:rsidRDefault="00307009">
            <w:pPr>
              <w:pStyle w:val="TableTitle"/>
              <w:rPr>
                <w:rFonts w:eastAsia="MS Mincho"/>
                <w:lang w:val="en-AU"/>
              </w:rPr>
            </w:pPr>
            <w:r>
              <w:rPr>
                <w:rFonts w:eastAsia="MS Mincho"/>
                <w:lang w:val="en-AU"/>
              </w:rPr>
              <w:t>Activities</w:t>
            </w:r>
          </w:p>
        </w:tc>
      </w:tr>
      <w:tr w:rsidR="00307009" w:rsidTr="00307009">
        <w:tc>
          <w:tcPr>
            <w:tcW w:w="2127" w:type="dxa"/>
            <w:tcBorders>
              <w:top w:val="single" w:sz="8" w:space="0" w:color="999999"/>
              <w:left w:val="nil"/>
              <w:bottom w:val="single" w:sz="8" w:space="0" w:color="999999"/>
              <w:right w:val="single" w:sz="8" w:space="0" w:color="999999"/>
            </w:tcBorders>
            <w:hideMark/>
          </w:tcPr>
          <w:p w:rsidR="00307009" w:rsidRDefault="00307009">
            <w:pPr>
              <w:pStyle w:val="TableText"/>
              <w:rPr>
                <w:rFonts w:eastAsia="MS Mincho"/>
                <w:sz w:val="21"/>
                <w:szCs w:val="21"/>
                <w:lang w:val="en-AU"/>
              </w:rPr>
            </w:pPr>
            <w:r>
              <w:rPr>
                <w:rFonts w:eastAsia="MS Mincho"/>
                <w:sz w:val="21"/>
                <w:szCs w:val="21"/>
                <w:lang w:val="en-AU"/>
              </w:rPr>
              <w:t>&lt;&lt;Client&gt;&gt; Service Desk</w:t>
            </w:r>
          </w:p>
        </w:tc>
        <w:tc>
          <w:tcPr>
            <w:tcW w:w="6963" w:type="dxa"/>
            <w:tcBorders>
              <w:top w:val="single" w:sz="8" w:space="0" w:color="999999"/>
              <w:left w:val="single" w:sz="8" w:space="0" w:color="999999"/>
              <w:bottom w:val="single" w:sz="8" w:space="0" w:color="999999"/>
              <w:right w:val="nil"/>
            </w:tcBorders>
            <w:hideMark/>
          </w:tcPr>
          <w:p w:rsidR="00307009" w:rsidRDefault="00307009">
            <w:pPr>
              <w:pStyle w:val="TableTextBullet"/>
              <w:jc w:val="both"/>
              <w:rPr>
                <w:rFonts w:eastAsia="MS Mincho"/>
                <w:sz w:val="21"/>
                <w:szCs w:val="21"/>
                <w:lang w:val="en-AU"/>
              </w:rPr>
            </w:pPr>
            <w:r>
              <w:rPr>
                <w:rFonts w:eastAsia="MS Mincho"/>
                <w:sz w:val="21"/>
                <w:szCs w:val="21"/>
                <w:lang w:val="en-AU"/>
              </w:rPr>
              <w:t xml:space="preserve">Receive calls from &lt;&lt;Client&gt;&gt; users and log the reported incident into &lt;&lt;CLIENT&gt;&gt; Incident &amp; Problem Management system. </w:t>
            </w:r>
          </w:p>
          <w:p w:rsidR="00307009" w:rsidRDefault="00307009">
            <w:pPr>
              <w:pStyle w:val="TableTextBullet"/>
              <w:jc w:val="both"/>
              <w:rPr>
                <w:rFonts w:eastAsia="MS Mincho"/>
                <w:sz w:val="21"/>
                <w:szCs w:val="21"/>
                <w:lang w:val="en-AU"/>
              </w:rPr>
            </w:pPr>
            <w:r>
              <w:rPr>
                <w:rFonts w:eastAsia="MS Mincho"/>
                <w:sz w:val="21"/>
                <w:szCs w:val="21"/>
                <w:lang w:val="en-AU"/>
              </w:rPr>
              <w:t>Assign Incident or Problem severity.</w:t>
            </w:r>
          </w:p>
          <w:p w:rsidR="00307009" w:rsidRDefault="00307009">
            <w:pPr>
              <w:pStyle w:val="TableTextBullet"/>
              <w:jc w:val="both"/>
              <w:rPr>
                <w:rFonts w:eastAsia="MS Mincho"/>
                <w:sz w:val="21"/>
                <w:szCs w:val="21"/>
                <w:lang w:val="en-AU"/>
              </w:rPr>
            </w:pPr>
            <w:r>
              <w:rPr>
                <w:rFonts w:eastAsia="MS Mincho"/>
                <w:sz w:val="21"/>
                <w:szCs w:val="21"/>
                <w:lang w:val="en-AU"/>
              </w:rPr>
              <w:t>Resolve incidents or problems where the Service Desk has appropriate knowledge (e.g. password resets for Oracle cloud applications).</w:t>
            </w:r>
          </w:p>
          <w:p w:rsidR="00307009" w:rsidRDefault="00307009">
            <w:pPr>
              <w:pStyle w:val="TableTextBullet"/>
              <w:jc w:val="both"/>
              <w:rPr>
                <w:rFonts w:eastAsia="MS Mincho"/>
                <w:sz w:val="21"/>
                <w:szCs w:val="21"/>
                <w:lang w:val="en-AU"/>
              </w:rPr>
            </w:pPr>
            <w:r>
              <w:rPr>
                <w:rFonts w:eastAsia="MS Mincho"/>
                <w:sz w:val="21"/>
                <w:szCs w:val="21"/>
                <w:lang w:val="en-AU"/>
              </w:rPr>
              <w:t>Route calls to the Level 2 support team as required, including a call or page for high severity problems.</w:t>
            </w:r>
          </w:p>
          <w:p w:rsidR="00307009" w:rsidRDefault="00307009">
            <w:pPr>
              <w:pStyle w:val="TableTextBullet"/>
              <w:jc w:val="both"/>
              <w:rPr>
                <w:rFonts w:eastAsia="MS Mincho"/>
                <w:sz w:val="21"/>
                <w:szCs w:val="21"/>
                <w:lang w:val="en-AU"/>
              </w:rPr>
            </w:pPr>
            <w:r>
              <w:rPr>
                <w:rFonts w:eastAsia="MS Mincho"/>
                <w:sz w:val="21"/>
                <w:szCs w:val="21"/>
                <w:lang w:val="en-AU"/>
              </w:rPr>
              <w:t>Own the Incident &amp; Problem Report management through to resolution, providing feedback to the affected end user at agreed intervals (depending on severity).</w:t>
            </w:r>
          </w:p>
        </w:tc>
      </w:tr>
      <w:tr w:rsidR="00307009" w:rsidTr="00307009">
        <w:tc>
          <w:tcPr>
            <w:tcW w:w="2127" w:type="dxa"/>
            <w:tcBorders>
              <w:top w:val="single" w:sz="8" w:space="0" w:color="999999"/>
              <w:left w:val="nil"/>
              <w:bottom w:val="single" w:sz="8" w:space="0" w:color="999999"/>
              <w:right w:val="single" w:sz="8" w:space="0" w:color="999999"/>
            </w:tcBorders>
            <w:hideMark/>
          </w:tcPr>
          <w:p w:rsidR="00307009" w:rsidRDefault="00307009">
            <w:pPr>
              <w:pStyle w:val="TableText"/>
              <w:rPr>
                <w:rFonts w:eastAsia="MS Mincho"/>
                <w:sz w:val="21"/>
                <w:szCs w:val="21"/>
                <w:lang w:val="en-AU"/>
              </w:rPr>
            </w:pPr>
            <w:r>
              <w:rPr>
                <w:rFonts w:eastAsia="MS Mincho"/>
                <w:sz w:val="21"/>
                <w:szCs w:val="21"/>
                <w:lang w:val="en-AU"/>
              </w:rPr>
              <w:lastRenderedPageBreak/>
              <w:t>Level 2 – IBM Support</w:t>
            </w:r>
          </w:p>
        </w:tc>
        <w:tc>
          <w:tcPr>
            <w:tcW w:w="6963" w:type="dxa"/>
            <w:tcBorders>
              <w:top w:val="single" w:sz="8" w:space="0" w:color="999999"/>
              <w:left w:val="single" w:sz="8" w:space="0" w:color="999999"/>
              <w:bottom w:val="single" w:sz="8" w:space="0" w:color="999999"/>
              <w:right w:val="nil"/>
            </w:tcBorders>
            <w:hideMark/>
          </w:tcPr>
          <w:p w:rsidR="00307009" w:rsidRDefault="00307009">
            <w:pPr>
              <w:pStyle w:val="TableTextBullet"/>
              <w:jc w:val="both"/>
              <w:rPr>
                <w:rFonts w:eastAsia="MS Mincho"/>
                <w:sz w:val="21"/>
                <w:szCs w:val="21"/>
                <w:lang w:val="en-AU"/>
              </w:rPr>
            </w:pPr>
            <w:r>
              <w:rPr>
                <w:rFonts w:eastAsia="MS Mincho"/>
                <w:sz w:val="21"/>
                <w:szCs w:val="21"/>
                <w:lang w:val="en-AU"/>
              </w:rPr>
              <w:t>Monitor &lt;&lt;Client&gt;&gt; Incident &amp; Problem Management system for new incidents assigned to IBM support.</w:t>
            </w:r>
          </w:p>
          <w:p w:rsidR="00307009" w:rsidRDefault="00307009">
            <w:pPr>
              <w:pStyle w:val="TableTextBullet"/>
              <w:jc w:val="both"/>
              <w:rPr>
                <w:rFonts w:eastAsia="MS Mincho"/>
                <w:sz w:val="21"/>
                <w:szCs w:val="21"/>
                <w:lang w:val="en-AU"/>
              </w:rPr>
            </w:pPr>
            <w:r>
              <w:rPr>
                <w:rFonts w:eastAsia="MS Mincho"/>
                <w:sz w:val="21"/>
                <w:szCs w:val="21"/>
                <w:lang w:val="en-AU"/>
              </w:rPr>
              <w:t>Receive calls/ pages from the Service Desk for high severity incidents.</w:t>
            </w:r>
          </w:p>
          <w:p w:rsidR="00307009" w:rsidRDefault="00307009">
            <w:pPr>
              <w:pStyle w:val="TableTextBullet"/>
              <w:jc w:val="both"/>
              <w:rPr>
                <w:rFonts w:eastAsia="MS Mincho"/>
                <w:sz w:val="21"/>
                <w:szCs w:val="21"/>
                <w:lang w:val="en-AU"/>
              </w:rPr>
            </w:pPr>
            <w:r>
              <w:rPr>
                <w:rFonts w:eastAsia="MS Mincho"/>
                <w:sz w:val="21"/>
                <w:szCs w:val="21"/>
                <w:lang w:val="en-AU"/>
              </w:rPr>
              <w:t>Initial investigation of the reported incident to attempt to identify likely cause.</w:t>
            </w:r>
          </w:p>
          <w:p w:rsidR="00307009" w:rsidRDefault="00307009">
            <w:pPr>
              <w:pStyle w:val="TableTextBullet"/>
              <w:jc w:val="both"/>
              <w:rPr>
                <w:rFonts w:eastAsia="MS Mincho"/>
                <w:sz w:val="21"/>
                <w:szCs w:val="21"/>
                <w:lang w:val="en-AU"/>
              </w:rPr>
            </w:pPr>
            <w:r>
              <w:rPr>
                <w:rFonts w:eastAsia="MS Mincho"/>
                <w:sz w:val="21"/>
                <w:szCs w:val="21"/>
                <w:lang w:val="en-AU"/>
              </w:rPr>
              <w:t>Advise resolution to Service Desk (if straightforward) or route to Level 3 support. (Many end-users, infrastructure-related and some data problems are able to be resolved at Level 2; issues able to be resolved at Level 2 do not require code changes).</w:t>
            </w:r>
          </w:p>
          <w:p w:rsidR="00307009" w:rsidRDefault="00307009">
            <w:pPr>
              <w:pStyle w:val="TableTextBullet"/>
              <w:jc w:val="both"/>
              <w:rPr>
                <w:rFonts w:eastAsia="MS Mincho"/>
                <w:sz w:val="21"/>
                <w:szCs w:val="21"/>
                <w:lang w:val="en-AU"/>
              </w:rPr>
            </w:pPr>
            <w:r>
              <w:rPr>
                <w:rFonts w:eastAsia="MS Mincho"/>
                <w:sz w:val="21"/>
                <w:szCs w:val="21"/>
                <w:lang w:val="en-AU"/>
              </w:rPr>
              <w:t>Provide status updates to the Service Desk at agreed intervals (depending on severity).</w:t>
            </w:r>
          </w:p>
          <w:p w:rsidR="00307009" w:rsidRDefault="00307009">
            <w:pPr>
              <w:pStyle w:val="TableTextBullet"/>
              <w:jc w:val="both"/>
              <w:rPr>
                <w:rFonts w:eastAsia="MS Mincho"/>
                <w:sz w:val="21"/>
                <w:szCs w:val="21"/>
                <w:lang w:val="en-AU"/>
              </w:rPr>
            </w:pPr>
            <w:r>
              <w:rPr>
                <w:rFonts w:eastAsia="MS Mincho"/>
                <w:sz w:val="21"/>
                <w:szCs w:val="21"/>
                <w:lang w:val="en-AU"/>
              </w:rPr>
              <w:t>Record problem details/metrics for service level reporting.</w:t>
            </w:r>
          </w:p>
          <w:p w:rsidR="00307009" w:rsidRDefault="00307009">
            <w:pPr>
              <w:pStyle w:val="TableTextBullet"/>
              <w:jc w:val="both"/>
              <w:rPr>
                <w:rFonts w:eastAsia="MS Mincho"/>
                <w:sz w:val="21"/>
                <w:szCs w:val="21"/>
                <w:lang w:val="en-AU"/>
              </w:rPr>
            </w:pPr>
            <w:r>
              <w:rPr>
                <w:rFonts w:eastAsia="MS Mincho"/>
                <w:sz w:val="21"/>
                <w:szCs w:val="21"/>
                <w:lang w:val="en-AU"/>
              </w:rPr>
              <w:t>Ensure high severity problems are escalated appropriately.</w:t>
            </w:r>
          </w:p>
        </w:tc>
      </w:tr>
      <w:tr w:rsidR="00307009" w:rsidTr="00307009">
        <w:tc>
          <w:tcPr>
            <w:tcW w:w="2127" w:type="dxa"/>
            <w:tcBorders>
              <w:top w:val="single" w:sz="8" w:space="0" w:color="999999"/>
              <w:left w:val="nil"/>
              <w:bottom w:val="single" w:sz="8" w:space="0" w:color="999999"/>
              <w:right w:val="single" w:sz="8" w:space="0" w:color="999999"/>
            </w:tcBorders>
            <w:hideMark/>
          </w:tcPr>
          <w:p w:rsidR="00307009" w:rsidRDefault="00307009">
            <w:pPr>
              <w:pStyle w:val="TableText"/>
              <w:rPr>
                <w:rFonts w:eastAsia="MS Mincho"/>
                <w:sz w:val="21"/>
                <w:szCs w:val="21"/>
                <w:lang w:val="en-AU"/>
              </w:rPr>
            </w:pPr>
            <w:r>
              <w:rPr>
                <w:rFonts w:eastAsia="MS Mincho"/>
                <w:sz w:val="21"/>
                <w:szCs w:val="21"/>
                <w:lang w:val="en-AU"/>
              </w:rPr>
              <w:t>Level 3 – IBM Support</w:t>
            </w:r>
          </w:p>
        </w:tc>
        <w:tc>
          <w:tcPr>
            <w:tcW w:w="6963" w:type="dxa"/>
            <w:tcBorders>
              <w:top w:val="single" w:sz="8" w:space="0" w:color="999999"/>
              <w:left w:val="single" w:sz="8" w:space="0" w:color="999999"/>
              <w:bottom w:val="single" w:sz="8" w:space="0" w:color="999999"/>
              <w:right w:val="nil"/>
            </w:tcBorders>
            <w:hideMark/>
          </w:tcPr>
          <w:p w:rsidR="00307009" w:rsidRDefault="00307009">
            <w:pPr>
              <w:pStyle w:val="TableTextBullet"/>
              <w:rPr>
                <w:rFonts w:eastAsia="MS Mincho"/>
                <w:sz w:val="21"/>
                <w:szCs w:val="21"/>
                <w:lang w:val="en-AU"/>
              </w:rPr>
            </w:pPr>
            <w:r>
              <w:rPr>
                <w:rFonts w:eastAsia="MS Mincho"/>
                <w:sz w:val="21"/>
                <w:szCs w:val="21"/>
                <w:lang w:val="en-AU"/>
              </w:rPr>
              <w:t>Investigate the reported defect and attempt to further identify likely causes; and either:</w:t>
            </w:r>
          </w:p>
          <w:p w:rsidR="00307009" w:rsidRDefault="00307009">
            <w:pPr>
              <w:pStyle w:val="TableTextBullet2"/>
              <w:tabs>
                <w:tab w:val="clear" w:pos="360"/>
              </w:tabs>
              <w:ind w:left="720" w:hanging="360"/>
              <w:rPr>
                <w:rFonts w:eastAsia="MS Mincho"/>
                <w:sz w:val="21"/>
                <w:szCs w:val="21"/>
                <w:lang w:val="en-AU"/>
              </w:rPr>
            </w:pPr>
            <w:r>
              <w:rPr>
                <w:rFonts w:eastAsia="MS Mincho"/>
                <w:sz w:val="21"/>
                <w:szCs w:val="21"/>
                <w:lang w:val="en-AU"/>
              </w:rPr>
              <w:t>Return to Service Desk with explanation for closure (if no issue); or</w:t>
            </w:r>
          </w:p>
          <w:p w:rsidR="00307009" w:rsidRDefault="00307009">
            <w:pPr>
              <w:pStyle w:val="TableTextBullet2"/>
              <w:tabs>
                <w:tab w:val="clear" w:pos="360"/>
              </w:tabs>
              <w:ind w:left="720" w:hanging="360"/>
              <w:rPr>
                <w:rFonts w:eastAsia="MS Mincho"/>
                <w:sz w:val="21"/>
                <w:szCs w:val="21"/>
                <w:lang w:val="en-AU"/>
              </w:rPr>
            </w:pPr>
            <w:r>
              <w:rPr>
                <w:rFonts w:eastAsia="MS Mincho"/>
                <w:sz w:val="21"/>
                <w:szCs w:val="21"/>
                <w:lang w:val="en-AU"/>
              </w:rPr>
              <w:t>If application issue, refer to Level 4 support; or</w:t>
            </w:r>
          </w:p>
          <w:p w:rsidR="00307009" w:rsidRDefault="00307009">
            <w:pPr>
              <w:pStyle w:val="TableTextBullet2"/>
              <w:tabs>
                <w:tab w:val="clear" w:pos="360"/>
              </w:tabs>
              <w:ind w:left="720" w:hanging="360"/>
              <w:rPr>
                <w:rFonts w:eastAsia="MS Mincho"/>
                <w:sz w:val="21"/>
                <w:szCs w:val="21"/>
                <w:lang w:val="en-AU"/>
              </w:rPr>
            </w:pPr>
            <w:r>
              <w:rPr>
                <w:rFonts w:eastAsia="MS Mincho"/>
                <w:sz w:val="21"/>
                <w:szCs w:val="21"/>
                <w:lang w:val="en-AU"/>
              </w:rPr>
              <w:t xml:space="preserve">Build and test a corrective fix as an emergency fix or for inclusion in a scheduled release. </w:t>
            </w:r>
          </w:p>
          <w:p w:rsidR="00307009" w:rsidRDefault="00307009">
            <w:pPr>
              <w:pStyle w:val="TableTextBullet"/>
              <w:rPr>
                <w:rFonts w:eastAsia="MS Mincho"/>
                <w:sz w:val="21"/>
                <w:szCs w:val="21"/>
                <w:lang w:val="en-AU"/>
              </w:rPr>
            </w:pPr>
            <w:r>
              <w:rPr>
                <w:rFonts w:eastAsia="MS Mincho"/>
                <w:sz w:val="21"/>
                <w:szCs w:val="21"/>
                <w:lang w:val="en-AU"/>
              </w:rPr>
              <w:t>Provide status updates to the Service Desk at agreed intervals.</w:t>
            </w:r>
          </w:p>
          <w:p w:rsidR="00307009" w:rsidRDefault="00307009">
            <w:pPr>
              <w:pStyle w:val="TableTextBullet"/>
              <w:rPr>
                <w:rFonts w:eastAsia="MS Mincho"/>
                <w:sz w:val="21"/>
                <w:szCs w:val="21"/>
                <w:lang w:val="en-AU"/>
              </w:rPr>
            </w:pPr>
            <w:r>
              <w:rPr>
                <w:rFonts w:eastAsia="MS Mincho"/>
                <w:sz w:val="21"/>
                <w:szCs w:val="21"/>
                <w:lang w:val="en-AU"/>
              </w:rPr>
              <w:t>For defects referred to Level 4 support, liaise with the support organisation and monitor progress.</w:t>
            </w:r>
          </w:p>
          <w:p w:rsidR="00307009" w:rsidRDefault="00307009">
            <w:pPr>
              <w:pStyle w:val="TableTextBullet"/>
              <w:rPr>
                <w:rFonts w:eastAsia="MS Mincho"/>
                <w:sz w:val="21"/>
                <w:szCs w:val="21"/>
                <w:lang w:val="en-AU"/>
              </w:rPr>
            </w:pPr>
            <w:r>
              <w:rPr>
                <w:rFonts w:eastAsia="MS Mincho"/>
                <w:sz w:val="21"/>
                <w:szCs w:val="21"/>
                <w:lang w:val="en-AU"/>
              </w:rPr>
              <w:t>Record Problem details/metrics for service level reporting.</w:t>
            </w:r>
          </w:p>
        </w:tc>
      </w:tr>
      <w:tr w:rsidR="00307009" w:rsidTr="00307009">
        <w:tc>
          <w:tcPr>
            <w:tcW w:w="2127" w:type="dxa"/>
            <w:tcBorders>
              <w:top w:val="single" w:sz="8" w:space="0" w:color="999999"/>
              <w:left w:val="nil"/>
              <w:bottom w:val="nil"/>
              <w:right w:val="single" w:sz="8" w:space="0" w:color="999999"/>
            </w:tcBorders>
            <w:hideMark/>
          </w:tcPr>
          <w:p w:rsidR="00307009" w:rsidRDefault="00307009">
            <w:pPr>
              <w:pStyle w:val="TableText"/>
              <w:rPr>
                <w:rFonts w:eastAsia="MS Mincho"/>
                <w:sz w:val="21"/>
                <w:szCs w:val="21"/>
                <w:lang w:val="en-AU"/>
              </w:rPr>
            </w:pPr>
            <w:r>
              <w:rPr>
                <w:rFonts w:eastAsia="MS Mincho"/>
                <w:sz w:val="21"/>
                <w:szCs w:val="21"/>
                <w:lang w:val="en-AU"/>
              </w:rPr>
              <w:t>Level 4 – Package Software Vendors (e.g. Oracle )</w:t>
            </w:r>
          </w:p>
        </w:tc>
        <w:tc>
          <w:tcPr>
            <w:tcW w:w="6963" w:type="dxa"/>
            <w:tcBorders>
              <w:top w:val="single" w:sz="8" w:space="0" w:color="999999"/>
              <w:left w:val="single" w:sz="8" w:space="0" w:color="999999"/>
              <w:bottom w:val="nil"/>
              <w:right w:val="nil"/>
            </w:tcBorders>
            <w:hideMark/>
          </w:tcPr>
          <w:p w:rsidR="00307009" w:rsidRDefault="00307009">
            <w:pPr>
              <w:pStyle w:val="TableTextBullet"/>
              <w:rPr>
                <w:rFonts w:eastAsia="MS Mincho"/>
                <w:sz w:val="21"/>
                <w:szCs w:val="21"/>
                <w:lang w:val="en-AU"/>
              </w:rPr>
            </w:pPr>
            <w:r>
              <w:rPr>
                <w:rFonts w:eastAsia="MS Mincho"/>
                <w:sz w:val="21"/>
                <w:szCs w:val="21"/>
                <w:lang w:val="en-AU"/>
              </w:rPr>
              <w:t>Investigate the reported defect and attempt to further identify likely causes; and either:</w:t>
            </w:r>
          </w:p>
          <w:p w:rsidR="00307009" w:rsidRDefault="00307009">
            <w:pPr>
              <w:pStyle w:val="TableTextBullet2"/>
              <w:tabs>
                <w:tab w:val="clear" w:pos="360"/>
              </w:tabs>
              <w:ind w:left="720" w:hanging="360"/>
              <w:rPr>
                <w:rFonts w:eastAsia="MS Mincho"/>
                <w:sz w:val="21"/>
                <w:szCs w:val="21"/>
                <w:lang w:val="en-AU"/>
              </w:rPr>
            </w:pPr>
            <w:r>
              <w:rPr>
                <w:rFonts w:eastAsia="MS Mincho"/>
                <w:sz w:val="21"/>
                <w:szCs w:val="21"/>
                <w:lang w:val="en-AU"/>
              </w:rPr>
              <w:t>Return to Level 3 Support with explanation for closure (if no issue); or</w:t>
            </w:r>
          </w:p>
          <w:p w:rsidR="00307009" w:rsidRDefault="00307009">
            <w:pPr>
              <w:pStyle w:val="TableTextBullet2"/>
              <w:tabs>
                <w:tab w:val="clear" w:pos="360"/>
              </w:tabs>
              <w:ind w:left="720" w:hanging="360"/>
              <w:rPr>
                <w:rFonts w:eastAsia="MS Mincho"/>
                <w:sz w:val="21"/>
                <w:szCs w:val="21"/>
                <w:lang w:val="en-AU"/>
              </w:rPr>
            </w:pPr>
            <w:r>
              <w:rPr>
                <w:rFonts w:eastAsia="MS Mincho"/>
                <w:sz w:val="21"/>
                <w:szCs w:val="21"/>
                <w:lang w:val="en-AU"/>
              </w:rPr>
              <w:t xml:space="preserve">Build and test a corrective fix and return to IBM for emergency release or inclusion in a scheduled release. </w:t>
            </w:r>
          </w:p>
          <w:p w:rsidR="00307009" w:rsidRDefault="00307009">
            <w:pPr>
              <w:pStyle w:val="TableTextBullet"/>
              <w:rPr>
                <w:rFonts w:eastAsia="MS Mincho"/>
                <w:sz w:val="21"/>
                <w:szCs w:val="21"/>
                <w:lang w:val="en-AU"/>
              </w:rPr>
            </w:pPr>
            <w:r>
              <w:rPr>
                <w:rFonts w:eastAsia="MS Mincho"/>
                <w:sz w:val="21"/>
                <w:szCs w:val="21"/>
                <w:lang w:val="en-AU"/>
              </w:rPr>
              <w:t>Provide status updates to IBM and to the Service Desk at agreed intervals.</w:t>
            </w:r>
          </w:p>
        </w:tc>
      </w:tr>
    </w:tbl>
    <w:p w:rsidR="00307009" w:rsidRDefault="00307009" w:rsidP="00307009">
      <w:pPr>
        <w:pStyle w:val="Heading3"/>
        <w:rPr>
          <w:color w:val="auto"/>
          <w:sz w:val="24"/>
          <w:szCs w:val="24"/>
        </w:rPr>
      </w:pPr>
      <w:bookmarkStart w:id="3" w:name="_Toc484708024"/>
      <w:r>
        <w:rPr>
          <w:color w:val="auto"/>
          <w:sz w:val="24"/>
          <w:szCs w:val="24"/>
        </w:rPr>
        <w:t>Support Coverage</w:t>
      </w:r>
      <w:bookmarkEnd w:id="3"/>
    </w:p>
    <w:p w:rsidR="00307009" w:rsidRDefault="00307009" w:rsidP="00307009">
      <w:pPr>
        <w:pStyle w:val="BodyText"/>
        <w:jc w:val="both"/>
        <w:rPr>
          <w:rFonts w:cs="Arial"/>
        </w:rPr>
      </w:pPr>
      <w:r>
        <w:rPr>
          <w:rFonts w:cs="Arial"/>
          <w:lang w:val="en-AU"/>
        </w:rPr>
        <w:t xml:space="preserve">The support is primarily based on the Service Level of Applications and Severity of the Incidents as defined in the RFP document. </w:t>
      </w:r>
      <w:r>
        <w:rPr>
          <w:rFonts w:cs="Arial"/>
        </w:rPr>
        <w:t xml:space="preserve">IBM will provide the AMS support of the oracle fusion cloud applications and objects developed by IBM team / scoped for AMS. </w:t>
      </w:r>
    </w:p>
    <w:p w:rsidR="00307009" w:rsidRDefault="00307009" w:rsidP="00307009">
      <w:pPr>
        <w:pStyle w:val="BodyText"/>
        <w:numPr>
          <w:ilvl w:val="0"/>
          <w:numId w:val="11"/>
        </w:numPr>
      </w:pPr>
      <w:r>
        <w:t>Support coverage: 0800 – 1800 hrs UK time, 24x7 Sev 1 &amp; Sev 2 tickets capped at 15% of the ticket volume</w:t>
      </w:r>
    </w:p>
    <w:p w:rsidR="00307009" w:rsidRDefault="00307009" w:rsidP="00307009">
      <w:pPr>
        <w:pStyle w:val="BodyText"/>
        <w:numPr>
          <w:ilvl w:val="0"/>
          <w:numId w:val="11"/>
        </w:numPr>
      </w:pPr>
      <w:r>
        <w:t xml:space="preserve">Sev 1 and Sev 2 24X7 support (Desk / On-Call) </w:t>
      </w:r>
    </w:p>
    <w:p w:rsidR="00307009" w:rsidRDefault="00307009" w:rsidP="00307009">
      <w:pPr>
        <w:pStyle w:val="BodyText"/>
        <w:numPr>
          <w:ilvl w:val="0"/>
          <w:numId w:val="11"/>
        </w:numPr>
      </w:pPr>
      <w:r>
        <w:t xml:space="preserve">Sev 3 &amp; 4 -8 to 6 UK Time Service Coverage and not all time zones. </w:t>
      </w:r>
    </w:p>
    <w:p w:rsidR="00307009" w:rsidRDefault="00307009" w:rsidP="00307009">
      <w:pPr>
        <w:pStyle w:val="BodyText"/>
        <w:numPr>
          <w:ilvl w:val="0"/>
          <w:numId w:val="11"/>
        </w:numPr>
      </w:pPr>
      <w:r>
        <w:t>L2/L3 support for 51 Oracle Applications on Cloud</w:t>
      </w:r>
    </w:p>
    <w:p w:rsidR="00307009" w:rsidRDefault="00307009" w:rsidP="00307009">
      <w:pPr>
        <w:pStyle w:val="BodyText"/>
        <w:numPr>
          <w:ilvl w:val="0"/>
          <w:numId w:val="11"/>
        </w:numPr>
      </w:pPr>
      <w:r>
        <w:lastRenderedPageBreak/>
        <w:t>Minor Enhancements of 150 hours per month</w:t>
      </w:r>
    </w:p>
    <w:p w:rsidR="00307009" w:rsidRDefault="00307009" w:rsidP="00307009">
      <w:pPr>
        <w:pStyle w:val="BodyText"/>
        <w:numPr>
          <w:ilvl w:val="0"/>
          <w:numId w:val="11"/>
        </w:numPr>
      </w:pPr>
      <w:r>
        <w:t>All tickets and responses will be in English</w:t>
      </w:r>
    </w:p>
    <w:p w:rsidR="00307009" w:rsidRDefault="00307009" w:rsidP="00307009">
      <w:pPr>
        <w:pStyle w:val="BodyText"/>
        <w:jc w:val="both"/>
        <w:rPr>
          <w:rFonts w:cs="Arial"/>
        </w:rPr>
      </w:pPr>
    </w:p>
    <w:p w:rsidR="00307009" w:rsidRDefault="00307009" w:rsidP="00307009">
      <w:pPr>
        <w:pStyle w:val="BodyText"/>
        <w:jc w:val="both"/>
        <w:rPr>
          <w:rFonts w:cs="Arial"/>
        </w:rPr>
      </w:pPr>
      <w:r>
        <w:rPr>
          <w:rFonts w:cs="Arial"/>
        </w:rPr>
        <w:t>India CIC – Morning Shift, General Shift and Afternoon Shift considered</w:t>
      </w:r>
    </w:p>
    <w:p w:rsidR="00307009" w:rsidRDefault="00307009" w:rsidP="00307009">
      <w:pPr>
        <w:pStyle w:val="Heading3"/>
        <w:rPr>
          <w:color w:val="auto"/>
          <w:sz w:val="24"/>
          <w:szCs w:val="24"/>
        </w:rPr>
      </w:pPr>
      <w:bookmarkStart w:id="4" w:name="_Toc484708025"/>
      <w:r>
        <w:rPr>
          <w:color w:val="auto"/>
          <w:sz w:val="24"/>
          <w:szCs w:val="24"/>
        </w:rPr>
        <w:t>SLA Measurement and Reporting</w:t>
      </w:r>
      <w:bookmarkEnd w:id="4"/>
    </w:p>
    <w:p w:rsidR="00307009" w:rsidRDefault="00307009" w:rsidP="00307009">
      <w:pPr>
        <w:rPr>
          <w:rFonts w:cs="Arial"/>
          <w:sz w:val="21"/>
          <w:szCs w:val="21"/>
        </w:rPr>
      </w:pPr>
      <w:r>
        <w:rPr>
          <w:rFonts w:cs="Arial"/>
        </w:rPr>
        <w:t xml:space="preserve">IBM understands that a strong and meaningful set of measurements supports the perceived quality of service, aiming to provide objective data on the performance. To quantify and monitor the quality of operational activities, various measures will be calculated to know the deviation from the agreed service levels. IBM has the standard IBM‘s SLAs associated with the support. </w:t>
      </w:r>
    </w:p>
    <w:p w:rsidR="00307009" w:rsidRDefault="00307009" w:rsidP="00307009">
      <w:pPr>
        <w:rPr>
          <w:rFonts w:cs="Arial"/>
        </w:rPr>
      </w:pPr>
      <w:r>
        <w:rPr>
          <w:rFonts w:cs="Arial"/>
        </w:rPr>
        <w:t xml:space="preserve">Standard KPI will be used and reported on monthly basis for operational control and to assess the compliance. IBM will utilize the measurement and reporting Tools to measure and report on performance of the services against applicable target KPIs. </w:t>
      </w:r>
    </w:p>
    <w:p w:rsidR="00307009" w:rsidRDefault="00307009" w:rsidP="00307009">
      <w:pPr>
        <w:pStyle w:val="BodyText"/>
        <w:rPr>
          <w:b/>
        </w:rPr>
      </w:pPr>
      <w:r>
        <w:rPr>
          <w:b/>
        </w:rPr>
        <w:t>Proposed Service Level -1</w:t>
      </w:r>
    </w:p>
    <w:p w:rsidR="00307009" w:rsidRDefault="00307009" w:rsidP="00307009">
      <w:pPr>
        <w:pStyle w:val="BodyText"/>
      </w:pPr>
      <w:r>
        <w:rPr>
          <w:noProof/>
          <w:lang w:eastAsia="en-US"/>
        </w:rPr>
        <w:drawing>
          <wp:inline distT="0" distB="0" distL="0" distR="0">
            <wp:extent cx="6606540" cy="3009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06540" cy="3009900"/>
                    </a:xfrm>
                    <a:prstGeom prst="rect">
                      <a:avLst/>
                    </a:prstGeom>
                    <a:noFill/>
                    <a:ln>
                      <a:noFill/>
                    </a:ln>
                  </pic:spPr>
                </pic:pic>
              </a:graphicData>
            </a:graphic>
          </wp:inline>
        </w:drawing>
      </w:r>
    </w:p>
    <w:p w:rsidR="00307009" w:rsidRDefault="00307009" w:rsidP="00307009">
      <w:pPr>
        <w:pStyle w:val="BodyText"/>
      </w:pPr>
    </w:p>
    <w:p w:rsidR="00307009" w:rsidRDefault="00307009" w:rsidP="00307009">
      <w:pPr>
        <w:pStyle w:val="BodyText"/>
        <w:rPr>
          <w:b/>
        </w:rPr>
      </w:pPr>
      <w:r>
        <w:rPr>
          <w:b/>
        </w:rPr>
        <w:t>Proposed service Level – 2</w:t>
      </w:r>
    </w:p>
    <w:p w:rsidR="00307009" w:rsidRDefault="00307009" w:rsidP="00307009">
      <w:pPr>
        <w:pStyle w:val="BodyText"/>
      </w:pPr>
      <w:r>
        <w:t>Oracle Tickets - IBM will raise a Service Request (SR) with Oracle within the target Resolution Time based on Severity. However, Oracle Product related issues will follow Oracle’s Standard SLA with Customer.</w:t>
      </w:r>
    </w:p>
    <w:p w:rsidR="00307009" w:rsidRDefault="00307009" w:rsidP="00307009">
      <w:pPr>
        <w:pStyle w:val="BodyText"/>
      </w:pPr>
      <w:r>
        <w:t xml:space="preserve">Service desk. SLA for High, Medium and Low Business Criticality </w:t>
      </w:r>
    </w:p>
    <w:p w:rsidR="00307009" w:rsidRDefault="00307009" w:rsidP="00307009">
      <w:pPr>
        <w:pStyle w:val="BodyText"/>
        <w:rPr>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2330"/>
        <w:gridCol w:w="2341"/>
        <w:gridCol w:w="2343"/>
      </w:tblGrid>
      <w:tr w:rsidR="00307009" w:rsidTr="00307009">
        <w:tc>
          <w:tcPr>
            <w:tcW w:w="2394" w:type="dxa"/>
            <w:tcBorders>
              <w:top w:val="single" w:sz="4" w:space="0" w:color="auto"/>
              <w:left w:val="single" w:sz="4" w:space="0" w:color="auto"/>
              <w:bottom w:val="single" w:sz="12" w:space="0" w:color="auto"/>
              <w:right w:val="single" w:sz="4" w:space="0" w:color="auto"/>
            </w:tcBorders>
            <w:shd w:val="clear" w:color="auto" w:fill="E7E6E6"/>
            <w:hideMark/>
          </w:tcPr>
          <w:p w:rsidR="00307009" w:rsidRDefault="00307009">
            <w:pPr>
              <w:pStyle w:val="BodyText"/>
            </w:pPr>
            <w:r>
              <w:t>SLA’s by business Criticality</w:t>
            </w:r>
          </w:p>
        </w:tc>
        <w:tc>
          <w:tcPr>
            <w:tcW w:w="2394" w:type="dxa"/>
            <w:tcBorders>
              <w:top w:val="single" w:sz="4" w:space="0" w:color="auto"/>
              <w:left w:val="single" w:sz="4" w:space="0" w:color="auto"/>
              <w:bottom w:val="single" w:sz="12" w:space="0" w:color="auto"/>
              <w:right w:val="single" w:sz="4" w:space="0" w:color="auto"/>
            </w:tcBorders>
            <w:shd w:val="clear" w:color="auto" w:fill="E7E6E6"/>
            <w:hideMark/>
          </w:tcPr>
          <w:p w:rsidR="00307009" w:rsidRDefault="00307009">
            <w:pPr>
              <w:pStyle w:val="BodyText"/>
            </w:pPr>
            <w:r>
              <w:t>Service Hours</w:t>
            </w:r>
          </w:p>
        </w:tc>
        <w:tc>
          <w:tcPr>
            <w:tcW w:w="2394" w:type="dxa"/>
            <w:tcBorders>
              <w:top w:val="single" w:sz="4" w:space="0" w:color="auto"/>
              <w:left w:val="single" w:sz="4" w:space="0" w:color="auto"/>
              <w:bottom w:val="single" w:sz="12" w:space="0" w:color="auto"/>
              <w:right w:val="single" w:sz="4" w:space="0" w:color="auto"/>
            </w:tcBorders>
            <w:shd w:val="clear" w:color="auto" w:fill="E7E6E6"/>
            <w:hideMark/>
          </w:tcPr>
          <w:p w:rsidR="00307009" w:rsidRDefault="00307009">
            <w:pPr>
              <w:pStyle w:val="BodyText"/>
            </w:pPr>
            <w:r>
              <w:t>Response Time</w:t>
            </w:r>
          </w:p>
        </w:tc>
        <w:tc>
          <w:tcPr>
            <w:tcW w:w="2394" w:type="dxa"/>
            <w:tcBorders>
              <w:top w:val="single" w:sz="4" w:space="0" w:color="auto"/>
              <w:left w:val="single" w:sz="4" w:space="0" w:color="auto"/>
              <w:bottom w:val="single" w:sz="12" w:space="0" w:color="auto"/>
              <w:right w:val="single" w:sz="4" w:space="0" w:color="auto"/>
            </w:tcBorders>
            <w:shd w:val="clear" w:color="auto" w:fill="E7E6E6"/>
            <w:hideMark/>
          </w:tcPr>
          <w:p w:rsidR="00307009" w:rsidRDefault="00307009">
            <w:pPr>
              <w:pStyle w:val="BodyText"/>
            </w:pPr>
            <w:r>
              <w:t>Resolution Time</w:t>
            </w:r>
          </w:p>
        </w:tc>
      </w:tr>
      <w:tr w:rsidR="00307009" w:rsidTr="00307009">
        <w:tc>
          <w:tcPr>
            <w:tcW w:w="9576" w:type="dxa"/>
            <w:gridSpan w:val="4"/>
            <w:tcBorders>
              <w:top w:val="single" w:sz="4" w:space="0" w:color="auto"/>
              <w:left w:val="single" w:sz="4" w:space="0" w:color="auto"/>
              <w:bottom w:val="single" w:sz="4" w:space="0" w:color="auto"/>
              <w:right w:val="single" w:sz="4" w:space="0" w:color="auto"/>
            </w:tcBorders>
            <w:hideMark/>
          </w:tcPr>
          <w:p w:rsidR="00307009" w:rsidRDefault="00307009">
            <w:pPr>
              <w:pStyle w:val="BodyText"/>
              <w:rPr>
                <w:b/>
              </w:rPr>
            </w:pPr>
            <w:r>
              <w:rPr>
                <w:b/>
              </w:rPr>
              <w:lastRenderedPageBreak/>
              <w:t>Low</w:t>
            </w:r>
          </w:p>
        </w:tc>
      </w:tr>
      <w:tr w:rsidR="00307009" w:rsidTr="00307009">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Severity 1</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24 X 7</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2 Hours</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1 Day</w:t>
            </w:r>
          </w:p>
        </w:tc>
      </w:tr>
      <w:tr w:rsidR="00307009" w:rsidTr="00307009">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Severity 2</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24 X 7</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1 Day</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3 Days</w:t>
            </w:r>
          </w:p>
        </w:tc>
      </w:tr>
      <w:tr w:rsidR="00307009" w:rsidTr="00307009">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Severity 3</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UK Hours 8.00 to 18.00</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2 Days</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5 Days</w:t>
            </w:r>
          </w:p>
        </w:tc>
      </w:tr>
      <w:tr w:rsidR="00307009" w:rsidTr="00307009">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Severity 4</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UK Hours 8.00 to 18.01</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2 Days</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7 Days</w:t>
            </w:r>
          </w:p>
        </w:tc>
      </w:tr>
      <w:tr w:rsidR="00307009" w:rsidTr="00307009">
        <w:tc>
          <w:tcPr>
            <w:tcW w:w="9576" w:type="dxa"/>
            <w:gridSpan w:val="4"/>
            <w:tcBorders>
              <w:top w:val="single" w:sz="4" w:space="0" w:color="auto"/>
              <w:left w:val="single" w:sz="4" w:space="0" w:color="auto"/>
              <w:bottom w:val="single" w:sz="4" w:space="0" w:color="auto"/>
              <w:right w:val="single" w:sz="4" w:space="0" w:color="auto"/>
            </w:tcBorders>
            <w:hideMark/>
          </w:tcPr>
          <w:p w:rsidR="00307009" w:rsidRDefault="00307009">
            <w:pPr>
              <w:pStyle w:val="BodyText"/>
              <w:rPr>
                <w:b/>
              </w:rPr>
            </w:pPr>
            <w:r>
              <w:rPr>
                <w:b/>
              </w:rPr>
              <w:t>Medium</w:t>
            </w:r>
          </w:p>
        </w:tc>
      </w:tr>
      <w:tr w:rsidR="00307009" w:rsidTr="00307009">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Severity 1</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24 X 7</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1 Hours</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6 Hours</w:t>
            </w:r>
          </w:p>
        </w:tc>
      </w:tr>
      <w:tr w:rsidR="00307009" w:rsidTr="00307009">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Severity 2</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24 X 7</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2 Hours</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2 Days</w:t>
            </w:r>
          </w:p>
        </w:tc>
      </w:tr>
      <w:tr w:rsidR="00307009" w:rsidTr="00307009">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Severity 3</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UK Hours 8.00 to 18.00</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2 Days</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4 Days</w:t>
            </w:r>
          </w:p>
        </w:tc>
      </w:tr>
      <w:tr w:rsidR="00307009" w:rsidTr="00307009">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Severity 4</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UK Hours 8.00 to 18.01</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2 Days</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5 Days</w:t>
            </w:r>
          </w:p>
        </w:tc>
      </w:tr>
      <w:tr w:rsidR="00307009" w:rsidTr="00307009">
        <w:tc>
          <w:tcPr>
            <w:tcW w:w="9576" w:type="dxa"/>
            <w:gridSpan w:val="4"/>
            <w:tcBorders>
              <w:top w:val="single" w:sz="4" w:space="0" w:color="auto"/>
              <w:left w:val="single" w:sz="4" w:space="0" w:color="auto"/>
              <w:bottom w:val="single" w:sz="4" w:space="0" w:color="auto"/>
              <w:right w:val="single" w:sz="4" w:space="0" w:color="auto"/>
            </w:tcBorders>
            <w:hideMark/>
          </w:tcPr>
          <w:p w:rsidR="00307009" w:rsidRDefault="00307009">
            <w:pPr>
              <w:pStyle w:val="BodyText"/>
              <w:rPr>
                <w:b/>
              </w:rPr>
            </w:pPr>
            <w:r>
              <w:rPr>
                <w:b/>
              </w:rPr>
              <w:t>High</w:t>
            </w:r>
          </w:p>
        </w:tc>
      </w:tr>
      <w:tr w:rsidR="00307009" w:rsidTr="00307009">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Severity 1</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24 X 7</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30 Minutes</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3 Hours</w:t>
            </w:r>
          </w:p>
        </w:tc>
      </w:tr>
      <w:tr w:rsidR="00307009" w:rsidTr="00307009">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Severity 2</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24 X 7</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1 Hour</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8 Hours</w:t>
            </w:r>
          </w:p>
        </w:tc>
      </w:tr>
      <w:tr w:rsidR="00307009" w:rsidTr="00307009">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Severity 3</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UK Hours 8.00 to 18.00</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1 Day</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4 Days</w:t>
            </w:r>
          </w:p>
        </w:tc>
      </w:tr>
      <w:tr w:rsidR="00307009" w:rsidTr="00307009">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Severity 4</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UK Hours 8.00 to 18.01</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1 Day</w:t>
            </w:r>
          </w:p>
        </w:tc>
        <w:tc>
          <w:tcPr>
            <w:tcW w:w="2394" w:type="dxa"/>
            <w:tcBorders>
              <w:top w:val="single" w:sz="4" w:space="0" w:color="auto"/>
              <w:left w:val="single" w:sz="4" w:space="0" w:color="auto"/>
              <w:bottom w:val="single" w:sz="4" w:space="0" w:color="auto"/>
              <w:right w:val="single" w:sz="4" w:space="0" w:color="auto"/>
            </w:tcBorders>
            <w:hideMark/>
          </w:tcPr>
          <w:p w:rsidR="00307009" w:rsidRDefault="00307009">
            <w:pPr>
              <w:pStyle w:val="BodyText"/>
            </w:pPr>
            <w:r>
              <w:t>3 Days</w:t>
            </w:r>
          </w:p>
        </w:tc>
      </w:tr>
    </w:tbl>
    <w:p w:rsidR="00307009" w:rsidRDefault="00307009" w:rsidP="00307009">
      <w:pPr>
        <w:pStyle w:val="BodyText"/>
      </w:pPr>
    </w:p>
    <w:p w:rsidR="00307009" w:rsidRDefault="00307009" w:rsidP="00307009">
      <w:pPr>
        <w:pStyle w:val="BodyText"/>
      </w:pPr>
      <w:r>
        <w:rPr>
          <w:b/>
        </w:rPr>
        <w:t>Service Measurement and Reporting Processes –</w:t>
      </w:r>
      <w:r>
        <w:t>A partial listing of information typically provided:</w:t>
      </w:r>
    </w:p>
    <w:p w:rsidR="00307009" w:rsidRDefault="00307009" w:rsidP="00307009">
      <w:pPr>
        <w:pStyle w:val="BodyText"/>
        <w:numPr>
          <w:ilvl w:val="0"/>
          <w:numId w:val="12"/>
        </w:numPr>
      </w:pPr>
      <w:r>
        <w:t>SLA Reports (covering all components with required detail back-up supporting SLA attainments)</w:t>
      </w:r>
    </w:p>
    <w:p w:rsidR="00307009" w:rsidRDefault="00307009" w:rsidP="00307009">
      <w:pPr>
        <w:pStyle w:val="BodyText"/>
        <w:numPr>
          <w:ilvl w:val="0"/>
          <w:numId w:val="12"/>
        </w:numPr>
      </w:pPr>
      <w:r>
        <w:t>Project / Enhancement Status Reports</w:t>
      </w:r>
    </w:p>
    <w:p w:rsidR="00307009" w:rsidRDefault="00307009" w:rsidP="00307009">
      <w:pPr>
        <w:pStyle w:val="BodyText"/>
        <w:numPr>
          <w:ilvl w:val="0"/>
          <w:numId w:val="12"/>
        </w:numPr>
      </w:pPr>
      <w:r>
        <w:t>Open Work / Service Requests</w:t>
      </w:r>
    </w:p>
    <w:p w:rsidR="00307009" w:rsidRDefault="00307009" w:rsidP="00307009">
      <w:pPr>
        <w:pStyle w:val="BodyText"/>
        <w:numPr>
          <w:ilvl w:val="0"/>
          <w:numId w:val="12"/>
        </w:numPr>
      </w:pPr>
      <w:r>
        <w:t>IBM Team Access Report for &lt;&lt;Client&gt;&gt; Systems (Security Reporting)</w:t>
      </w:r>
    </w:p>
    <w:p w:rsidR="00307009" w:rsidRDefault="00307009" w:rsidP="00307009">
      <w:pPr>
        <w:pStyle w:val="BodyText"/>
        <w:numPr>
          <w:ilvl w:val="0"/>
          <w:numId w:val="12"/>
        </w:numPr>
      </w:pPr>
      <w:r>
        <w:t>Open / Closed Problem Tickets</w:t>
      </w:r>
    </w:p>
    <w:p w:rsidR="00307009" w:rsidRDefault="00307009" w:rsidP="00307009">
      <w:pPr>
        <w:pStyle w:val="BodyText"/>
        <w:numPr>
          <w:ilvl w:val="0"/>
          <w:numId w:val="12"/>
        </w:numPr>
      </w:pPr>
      <w:r>
        <w:t>Problem Tickets by Severity (rolling totals)</w:t>
      </w:r>
    </w:p>
    <w:p w:rsidR="00307009" w:rsidRDefault="00307009" w:rsidP="00307009">
      <w:pPr>
        <w:pStyle w:val="BodyText"/>
        <w:numPr>
          <w:ilvl w:val="0"/>
          <w:numId w:val="12"/>
        </w:numPr>
      </w:pPr>
      <w:r>
        <w:t>Problem Tickets by Application (rolling totals)</w:t>
      </w:r>
    </w:p>
    <w:p w:rsidR="00307009" w:rsidRDefault="00307009" w:rsidP="00307009">
      <w:pPr>
        <w:pStyle w:val="BodyText"/>
        <w:numPr>
          <w:ilvl w:val="0"/>
          <w:numId w:val="12"/>
        </w:numPr>
      </w:pPr>
      <w:r>
        <w:t>Total Ticket Volume (rolling totals)</w:t>
      </w:r>
    </w:p>
    <w:p w:rsidR="00307009" w:rsidRDefault="00307009" w:rsidP="00307009">
      <w:pPr>
        <w:pStyle w:val="BodyText"/>
        <w:numPr>
          <w:ilvl w:val="0"/>
          <w:numId w:val="12"/>
        </w:numPr>
      </w:pPr>
      <w:r>
        <w:lastRenderedPageBreak/>
        <w:t>Reporting to be provided to &lt;&lt;Client&gt;&gt; will be defined during contract negotiations and the transition period to ensure that &lt;&lt;Client&gt;&gt;’s requirements are met.</w:t>
      </w:r>
    </w:p>
    <w:p w:rsidR="00307009" w:rsidRDefault="00307009" w:rsidP="00307009">
      <w:pPr>
        <w:pStyle w:val="Heading3"/>
        <w:rPr>
          <w:color w:val="auto"/>
          <w:sz w:val="24"/>
          <w:szCs w:val="24"/>
        </w:rPr>
      </w:pPr>
      <w:bookmarkStart w:id="5" w:name="_Toc484708026"/>
      <w:r>
        <w:rPr>
          <w:color w:val="auto"/>
          <w:sz w:val="24"/>
          <w:szCs w:val="24"/>
        </w:rPr>
        <w:t>AMS Assumptions</w:t>
      </w:r>
      <w:bookmarkEnd w:id="5"/>
    </w:p>
    <w:p w:rsidR="00307009" w:rsidRDefault="00307009" w:rsidP="00307009">
      <w:pPr>
        <w:pStyle w:val="ListBullet"/>
        <w:spacing w:after="60"/>
        <w:jc w:val="both"/>
        <w:rPr>
          <w:rFonts w:cs="Arial"/>
          <w:lang w:val="en-IN"/>
        </w:rPr>
      </w:pPr>
      <w:r>
        <w:rPr>
          <w:rFonts w:cs="Arial"/>
          <w:lang w:val="en-IN"/>
        </w:rPr>
        <w:t>Service Management Tools Implementation and Customization is not considered in scope.</w:t>
      </w:r>
    </w:p>
    <w:p w:rsidR="00307009" w:rsidRDefault="00307009" w:rsidP="00307009">
      <w:pPr>
        <w:pStyle w:val="ListBullet"/>
        <w:spacing w:after="60"/>
        <w:jc w:val="both"/>
        <w:rPr>
          <w:rFonts w:cs="Arial"/>
          <w:lang w:val="en-IN"/>
        </w:rPr>
      </w:pPr>
      <w:r>
        <w:rPr>
          <w:rFonts w:cs="Arial"/>
          <w:lang w:val="en-IN"/>
        </w:rPr>
        <w:t>&lt;&lt;Client&gt;&gt; to provide support in understanding their current processes &amp; tools.</w:t>
      </w:r>
    </w:p>
    <w:p w:rsidR="00307009" w:rsidRDefault="00307009" w:rsidP="00307009">
      <w:pPr>
        <w:pStyle w:val="ListBullet"/>
        <w:spacing w:after="60"/>
        <w:jc w:val="both"/>
        <w:rPr>
          <w:rFonts w:cs="Arial"/>
          <w:lang w:val="en-IN"/>
        </w:rPr>
      </w:pPr>
      <w:r>
        <w:rPr>
          <w:rFonts w:cs="Arial"/>
          <w:lang w:val="en-IN"/>
        </w:rPr>
        <w:t>24X7 support is considered only for Severity 1 tickets.</w:t>
      </w:r>
    </w:p>
    <w:p w:rsidR="00307009" w:rsidRDefault="00307009" w:rsidP="00307009">
      <w:pPr>
        <w:pStyle w:val="ListBullet"/>
        <w:spacing w:after="60"/>
        <w:jc w:val="both"/>
        <w:rPr>
          <w:rFonts w:cs="Arial"/>
          <w:lang w:val="en-IN"/>
        </w:rPr>
      </w:pPr>
      <w:r>
        <w:rPr>
          <w:rFonts w:cs="Arial"/>
          <w:lang w:val="en-IN"/>
        </w:rPr>
        <w:t>It is assumed that Implementation team members will continue for AMS.</w:t>
      </w:r>
    </w:p>
    <w:p w:rsidR="00307009" w:rsidRDefault="00307009" w:rsidP="00307009">
      <w:pPr>
        <w:pStyle w:val="ListBullet"/>
        <w:spacing w:after="60"/>
        <w:jc w:val="both"/>
        <w:rPr>
          <w:rFonts w:cs="Arial"/>
          <w:lang w:val="en-IN"/>
        </w:rPr>
      </w:pPr>
      <w:r>
        <w:rPr>
          <w:rFonts w:cs="Arial"/>
          <w:lang w:val="en-IN"/>
        </w:rPr>
        <w:t>IBM AMS team would only support L2 &amp; L3 Support there would be no L1 in IBM scope.</w:t>
      </w:r>
    </w:p>
    <w:p w:rsidR="00307009" w:rsidRDefault="00307009" w:rsidP="00307009">
      <w:pPr>
        <w:pStyle w:val="ListBullet"/>
        <w:spacing w:after="60"/>
        <w:jc w:val="both"/>
        <w:rPr>
          <w:rFonts w:cs="Arial"/>
          <w:lang w:val="en-IN"/>
        </w:rPr>
      </w:pPr>
      <w:r>
        <w:rPr>
          <w:rFonts w:cs="Arial"/>
          <w:lang w:val="en-IN"/>
        </w:rPr>
        <w:t>IBM AMS will provide application management services during the Business hours of 0900-1800 (UK, US, China, APAC and India), Monday to Friday with a round the clock support for Severity 1 issues.</w:t>
      </w:r>
    </w:p>
    <w:p w:rsidR="00307009" w:rsidRDefault="00307009" w:rsidP="00307009">
      <w:pPr>
        <w:pStyle w:val="ListBullet"/>
        <w:spacing w:after="60"/>
        <w:jc w:val="both"/>
        <w:rPr>
          <w:rFonts w:cs="Arial"/>
          <w:lang w:val="en-IN"/>
        </w:rPr>
      </w:pPr>
      <w:r>
        <w:rPr>
          <w:rFonts w:cs="Arial"/>
          <w:lang w:val="en-IN"/>
        </w:rPr>
        <w:t xml:space="preserve">AMS Scope will be limited to support of Oracle Fusion cloud modules and application developed by IBM team / or Scoped for AMS. </w:t>
      </w:r>
    </w:p>
    <w:p w:rsidR="00307009" w:rsidRDefault="00307009" w:rsidP="00307009">
      <w:pPr>
        <w:pStyle w:val="ListBullet"/>
        <w:spacing w:after="60"/>
        <w:jc w:val="both"/>
        <w:rPr>
          <w:rFonts w:cs="Arial"/>
          <w:lang w:val="en-IN"/>
        </w:rPr>
      </w:pPr>
      <w:r>
        <w:rPr>
          <w:rFonts w:cs="Arial"/>
          <w:lang w:val="en-IN"/>
        </w:rPr>
        <w:t>Service Levels, mentioned earlier, are for measurement and reporting purposes; no services credits/ penalties have been provided for.</w:t>
      </w:r>
    </w:p>
    <w:p w:rsidR="00307009" w:rsidRDefault="00307009" w:rsidP="00307009">
      <w:pPr>
        <w:pStyle w:val="ListBullet"/>
        <w:spacing w:after="60"/>
        <w:jc w:val="both"/>
        <w:rPr>
          <w:rFonts w:cs="Arial"/>
          <w:lang w:val="en-IN"/>
        </w:rPr>
      </w:pPr>
      <w:r>
        <w:rPr>
          <w:rFonts w:cs="Arial"/>
          <w:lang w:val="en-IN"/>
        </w:rPr>
        <w:t>Since AMS team would be inducted from Implementation team therefore no Specific KT is required however additional KT session would be arranged in case of any Knowledge gaps.</w:t>
      </w:r>
    </w:p>
    <w:p w:rsidR="00307009" w:rsidRDefault="00307009" w:rsidP="00307009">
      <w:pPr>
        <w:pStyle w:val="ListBullet"/>
        <w:spacing w:after="60"/>
        <w:jc w:val="both"/>
        <w:rPr>
          <w:rFonts w:cs="Arial"/>
          <w:lang w:val="en-IN"/>
        </w:rPr>
      </w:pPr>
      <w:r>
        <w:rPr>
          <w:rFonts w:cs="Arial"/>
          <w:lang w:val="en-IN"/>
        </w:rPr>
        <w:t xml:space="preserve"> AMS team will use the infrastructure and connectivity created for implementation, thereby, avoiding any duplication of costs.</w:t>
      </w:r>
    </w:p>
    <w:p w:rsidR="00307009" w:rsidRDefault="00307009" w:rsidP="00307009">
      <w:pPr>
        <w:pStyle w:val="ListBullet"/>
      </w:pPr>
      <w:r>
        <w:t xml:space="preserve">Escalation procedure as Appendix B will be followed if resolution is required to a conflict arising during the project execution  </w:t>
      </w:r>
    </w:p>
    <w:p w:rsidR="00307009" w:rsidRDefault="00307009" w:rsidP="00307009">
      <w:pPr>
        <w:pStyle w:val="Heading3"/>
        <w:rPr>
          <w:color w:val="auto"/>
        </w:rPr>
      </w:pPr>
      <w:bookmarkStart w:id="6" w:name="_Toc484708027"/>
      <w:r>
        <w:rPr>
          <w:color w:val="auto"/>
        </w:rPr>
        <w:t>Out of Scope</w:t>
      </w:r>
      <w:bookmarkEnd w:id="6"/>
      <w:r>
        <w:rPr>
          <w:color w:val="auto"/>
        </w:rPr>
        <w:t xml:space="preserve"> </w:t>
      </w:r>
    </w:p>
    <w:p w:rsidR="00307009" w:rsidRDefault="00307009" w:rsidP="00307009">
      <w:pPr>
        <w:pStyle w:val="BodyText"/>
      </w:pPr>
      <w:r>
        <w:t>Below mention are the list of areas/activities that will not be consider as part of the current scope:</w:t>
      </w:r>
    </w:p>
    <w:p w:rsidR="00307009" w:rsidRDefault="00307009" w:rsidP="00307009">
      <w:pPr>
        <w:pStyle w:val="ListBullet"/>
      </w:pPr>
      <w:r>
        <w:t>All DBA activities</w:t>
      </w:r>
    </w:p>
    <w:p w:rsidR="00307009" w:rsidRDefault="00307009" w:rsidP="00307009">
      <w:pPr>
        <w:pStyle w:val="ListBullet"/>
      </w:pPr>
      <w:r>
        <w:t>L1 help desk</w:t>
      </w:r>
    </w:p>
    <w:p w:rsidR="00307009" w:rsidRDefault="00307009" w:rsidP="00307009">
      <w:pPr>
        <w:pStyle w:val="ListBullet"/>
      </w:pPr>
      <w:r>
        <w:t xml:space="preserve">Network/ Infrastructure Support </w:t>
      </w:r>
    </w:p>
    <w:p w:rsidR="00307009" w:rsidRDefault="00307009" w:rsidP="00307009">
      <w:pPr>
        <w:pStyle w:val="ListBullet"/>
      </w:pPr>
      <w:r>
        <w:t>Live Batch Monitoring</w:t>
      </w:r>
    </w:p>
    <w:p w:rsidR="00307009" w:rsidRDefault="00307009" w:rsidP="00307009">
      <w:pPr>
        <w:pStyle w:val="ListBullet"/>
      </w:pPr>
      <w:r>
        <w:t>Any testing other than unit testing and System Testing within the boundary of Application being supported by IBM</w:t>
      </w:r>
    </w:p>
    <w:p w:rsidR="00307009" w:rsidRDefault="00307009" w:rsidP="00307009">
      <w:pPr>
        <w:pStyle w:val="ListBullet"/>
      </w:pPr>
      <w:r>
        <w:t>24x7 Live Monitoring of batches/interfaces – batch failures to be reported as incidents (tickets)</w:t>
      </w:r>
    </w:p>
    <w:p w:rsidR="00307009" w:rsidRDefault="00307009" w:rsidP="00307009">
      <w:pPr>
        <w:pStyle w:val="ListBullet"/>
      </w:pPr>
      <w:r>
        <w:t>Basic product bugs – IBM will only coordinate with product vendors to resolve these issues, pertaining to the applications in-scope</w:t>
      </w:r>
    </w:p>
    <w:p w:rsidR="00307009" w:rsidRDefault="00307009" w:rsidP="00307009">
      <w:pPr>
        <w:pStyle w:val="ListBullet"/>
      </w:pPr>
      <w:r>
        <w:t xml:space="preserve">Application Support for any applications not listed in scope </w:t>
      </w:r>
    </w:p>
    <w:p w:rsidR="00307009" w:rsidRDefault="00307009" w:rsidP="00307009">
      <w:pPr>
        <w:pStyle w:val="BodyText"/>
      </w:pPr>
    </w:p>
    <w:p w:rsidR="003B56DC" w:rsidRDefault="00307009">
      <w:bookmarkStart w:id="7" w:name="_GoBack"/>
      <w:bookmarkEnd w:id="7"/>
    </w:p>
    <w:sectPr w:rsidR="003B5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D2082"/>
    <w:multiLevelType w:val="hybridMultilevel"/>
    <w:tmpl w:val="808C1E82"/>
    <w:lvl w:ilvl="0" w:tplc="04090001">
      <w:start w:val="1"/>
      <w:numFmt w:val="bullet"/>
      <w:lvlText w:val=""/>
      <w:lvlJc w:val="left"/>
      <w:pPr>
        <w:tabs>
          <w:tab w:val="num" w:pos="360"/>
        </w:tabs>
        <w:ind w:left="360" w:hanging="360"/>
      </w:pPr>
      <w:rPr>
        <w:rFonts w:ascii="Symbol" w:hAnsi="Symbol" w:hint="default"/>
      </w:rPr>
    </w:lvl>
    <w:lvl w:ilvl="1" w:tplc="E2B01510">
      <w:numFmt w:val="bullet"/>
      <w:lvlText w:val="–"/>
      <w:lvlJc w:val="left"/>
      <w:pPr>
        <w:tabs>
          <w:tab w:val="num" w:pos="1080"/>
        </w:tabs>
        <w:ind w:left="1080" w:hanging="360"/>
      </w:pPr>
      <w:rPr>
        <w:rFonts w:ascii="Arial" w:hAnsi="Arial" w:cs="Times New Roman" w:hint="default"/>
      </w:rPr>
    </w:lvl>
    <w:lvl w:ilvl="2" w:tplc="8D962916">
      <w:start w:val="1"/>
      <w:numFmt w:val="bullet"/>
      <w:lvlText w:val=""/>
      <w:lvlJc w:val="left"/>
      <w:pPr>
        <w:tabs>
          <w:tab w:val="num" w:pos="1800"/>
        </w:tabs>
        <w:ind w:left="1800" w:hanging="360"/>
      </w:pPr>
      <w:rPr>
        <w:rFonts w:ascii="Wingdings" w:hAnsi="Wingdings" w:hint="default"/>
      </w:rPr>
    </w:lvl>
    <w:lvl w:ilvl="3" w:tplc="91D0640A">
      <w:start w:val="1"/>
      <w:numFmt w:val="bullet"/>
      <w:lvlText w:val=""/>
      <w:lvlJc w:val="left"/>
      <w:pPr>
        <w:tabs>
          <w:tab w:val="num" w:pos="2520"/>
        </w:tabs>
        <w:ind w:left="2520" w:hanging="360"/>
      </w:pPr>
      <w:rPr>
        <w:rFonts w:ascii="Wingdings" w:hAnsi="Wingdings" w:hint="default"/>
      </w:rPr>
    </w:lvl>
    <w:lvl w:ilvl="4" w:tplc="3F6C9CF8">
      <w:start w:val="1"/>
      <w:numFmt w:val="bullet"/>
      <w:lvlText w:val=""/>
      <w:lvlJc w:val="left"/>
      <w:pPr>
        <w:tabs>
          <w:tab w:val="num" w:pos="3240"/>
        </w:tabs>
        <w:ind w:left="3240" w:hanging="360"/>
      </w:pPr>
      <w:rPr>
        <w:rFonts w:ascii="Wingdings" w:hAnsi="Wingdings" w:hint="default"/>
      </w:rPr>
    </w:lvl>
    <w:lvl w:ilvl="5" w:tplc="65E212EA">
      <w:start w:val="1"/>
      <w:numFmt w:val="bullet"/>
      <w:lvlText w:val=""/>
      <w:lvlJc w:val="left"/>
      <w:pPr>
        <w:tabs>
          <w:tab w:val="num" w:pos="3960"/>
        </w:tabs>
        <w:ind w:left="3960" w:hanging="360"/>
      </w:pPr>
      <w:rPr>
        <w:rFonts w:ascii="Wingdings" w:hAnsi="Wingdings" w:hint="default"/>
      </w:rPr>
    </w:lvl>
    <w:lvl w:ilvl="6" w:tplc="05ECA412">
      <w:start w:val="1"/>
      <w:numFmt w:val="bullet"/>
      <w:lvlText w:val=""/>
      <w:lvlJc w:val="left"/>
      <w:pPr>
        <w:tabs>
          <w:tab w:val="num" w:pos="4680"/>
        </w:tabs>
        <w:ind w:left="4680" w:hanging="360"/>
      </w:pPr>
      <w:rPr>
        <w:rFonts w:ascii="Wingdings" w:hAnsi="Wingdings" w:hint="default"/>
      </w:rPr>
    </w:lvl>
    <w:lvl w:ilvl="7" w:tplc="ECCAAB3C">
      <w:start w:val="1"/>
      <w:numFmt w:val="bullet"/>
      <w:lvlText w:val=""/>
      <w:lvlJc w:val="left"/>
      <w:pPr>
        <w:tabs>
          <w:tab w:val="num" w:pos="5400"/>
        </w:tabs>
        <w:ind w:left="5400" w:hanging="360"/>
      </w:pPr>
      <w:rPr>
        <w:rFonts w:ascii="Wingdings" w:hAnsi="Wingdings" w:hint="default"/>
      </w:rPr>
    </w:lvl>
    <w:lvl w:ilvl="8" w:tplc="ADE24AC6">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9353E01"/>
    <w:multiLevelType w:val="hybridMultilevel"/>
    <w:tmpl w:val="E55ECC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B1E6062"/>
    <w:multiLevelType w:val="hybridMultilevel"/>
    <w:tmpl w:val="AB4E4128"/>
    <w:lvl w:ilvl="0" w:tplc="17E4C75E">
      <w:start w:val="1"/>
      <w:numFmt w:val="bullet"/>
      <w:pStyle w:val="ListBullet"/>
      <w:lvlText w:val=""/>
      <w:lvlJc w:val="left"/>
      <w:pPr>
        <w:tabs>
          <w:tab w:val="num" w:pos="360"/>
        </w:tabs>
        <w:ind w:left="360" w:hanging="360"/>
      </w:pPr>
      <w:rPr>
        <w:rFonts w:ascii="Symbol" w:hAnsi="Symbol" w:hint="default"/>
        <w:b/>
        <w:i w:val="0"/>
        <w:color w:val="auto"/>
        <w:position w:val="4"/>
        <w:sz w:val="21"/>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3A87FA3"/>
    <w:multiLevelType w:val="hybridMultilevel"/>
    <w:tmpl w:val="7A58E7A0"/>
    <w:lvl w:ilvl="0" w:tplc="7E445344">
      <w:start w:val="1"/>
      <w:numFmt w:val="bullet"/>
      <w:pStyle w:val="TableTextBullet2"/>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A847D6"/>
    <w:multiLevelType w:val="hybridMultilevel"/>
    <w:tmpl w:val="4FDAB3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38B232A0"/>
    <w:multiLevelType w:val="hybridMultilevel"/>
    <w:tmpl w:val="E0B6444E"/>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4A4462D8">
      <w:start w:val="1"/>
      <w:numFmt w:val="bullet"/>
      <w:lvlText w:val="•"/>
      <w:lvlJc w:val="left"/>
      <w:pPr>
        <w:tabs>
          <w:tab w:val="num" w:pos="1800"/>
        </w:tabs>
        <w:ind w:left="1800" w:hanging="360"/>
      </w:pPr>
      <w:rPr>
        <w:rFonts w:ascii="Times New Roman" w:hAnsi="Times New Roman" w:cs="Times New Roman" w:hint="default"/>
      </w:rPr>
    </w:lvl>
    <w:lvl w:ilvl="3" w:tplc="6E66D99E">
      <w:start w:val="1"/>
      <w:numFmt w:val="bullet"/>
      <w:lvlText w:val="•"/>
      <w:lvlJc w:val="left"/>
      <w:pPr>
        <w:tabs>
          <w:tab w:val="num" w:pos="2520"/>
        </w:tabs>
        <w:ind w:left="2520" w:hanging="360"/>
      </w:pPr>
      <w:rPr>
        <w:rFonts w:ascii="Times New Roman" w:hAnsi="Times New Roman" w:cs="Times New Roman" w:hint="default"/>
      </w:rPr>
    </w:lvl>
    <w:lvl w:ilvl="4" w:tplc="030098E6">
      <w:start w:val="1"/>
      <w:numFmt w:val="bullet"/>
      <w:lvlText w:val="•"/>
      <w:lvlJc w:val="left"/>
      <w:pPr>
        <w:tabs>
          <w:tab w:val="num" w:pos="3240"/>
        </w:tabs>
        <w:ind w:left="3240" w:hanging="360"/>
      </w:pPr>
      <w:rPr>
        <w:rFonts w:ascii="Times New Roman" w:hAnsi="Times New Roman" w:cs="Times New Roman" w:hint="default"/>
      </w:rPr>
    </w:lvl>
    <w:lvl w:ilvl="5" w:tplc="5DD887F6">
      <w:start w:val="1"/>
      <w:numFmt w:val="bullet"/>
      <w:lvlText w:val="•"/>
      <w:lvlJc w:val="left"/>
      <w:pPr>
        <w:tabs>
          <w:tab w:val="num" w:pos="3960"/>
        </w:tabs>
        <w:ind w:left="3960" w:hanging="360"/>
      </w:pPr>
      <w:rPr>
        <w:rFonts w:ascii="Times New Roman" w:hAnsi="Times New Roman" w:cs="Times New Roman" w:hint="default"/>
      </w:rPr>
    </w:lvl>
    <w:lvl w:ilvl="6" w:tplc="60FC127E">
      <w:start w:val="1"/>
      <w:numFmt w:val="bullet"/>
      <w:lvlText w:val="•"/>
      <w:lvlJc w:val="left"/>
      <w:pPr>
        <w:tabs>
          <w:tab w:val="num" w:pos="4680"/>
        </w:tabs>
        <w:ind w:left="4680" w:hanging="360"/>
      </w:pPr>
      <w:rPr>
        <w:rFonts w:ascii="Times New Roman" w:hAnsi="Times New Roman" w:cs="Times New Roman" w:hint="default"/>
      </w:rPr>
    </w:lvl>
    <w:lvl w:ilvl="7" w:tplc="B1FA6F94">
      <w:start w:val="1"/>
      <w:numFmt w:val="bullet"/>
      <w:lvlText w:val="•"/>
      <w:lvlJc w:val="left"/>
      <w:pPr>
        <w:tabs>
          <w:tab w:val="num" w:pos="5400"/>
        </w:tabs>
        <w:ind w:left="5400" w:hanging="360"/>
      </w:pPr>
      <w:rPr>
        <w:rFonts w:ascii="Times New Roman" w:hAnsi="Times New Roman" w:cs="Times New Roman" w:hint="default"/>
      </w:rPr>
    </w:lvl>
    <w:lvl w:ilvl="8" w:tplc="D898FAC6">
      <w:start w:val="1"/>
      <w:numFmt w:val="bullet"/>
      <w:lvlText w:val="•"/>
      <w:lvlJc w:val="left"/>
      <w:pPr>
        <w:tabs>
          <w:tab w:val="num" w:pos="6120"/>
        </w:tabs>
        <w:ind w:left="6120" w:hanging="360"/>
      </w:pPr>
      <w:rPr>
        <w:rFonts w:ascii="Times New Roman" w:hAnsi="Times New Roman" w:cs="Times New Roman" w:hint="default"/>
      </w:rPr>
    </w:lvl>
  </w:abstractNum>
  <w:abstractNum w:abstractNumId="6" w15:restartNumberingAfterBreak="0">
    <w:nsid w:val="3D005FB0"/>
    <w:multiLevelType w:val="hybridMultilevel"/>
    <w:tmpl w:val="E018AF46"/>
    <w:lvl w:ilvl="0" w:tplc="0A78EAF2">
      <w:start w:val="1"/>
      <w:numFmt w:val="bullet"/>
      <w:pStyle w:val="TableTextBullet"/>
      <w:lvlText w:val=""/>
      <w:lvlJc w:val="left"/>
      <w:pPr>
        <w:tabs>
          <w:tab w:val="num" w:pos="360"/>
        </w:tabs>
        <w:ind w:left="360" w:hanging="360"/>
      </w:pPr>
      <w:rPr>
        <w:rFonts w:ascii="Wingdings" w:hAnsi="Wingdings" w:hint="default"/>
        <w:color w:val="auto"/>
        <w:position w:val="4"/>
        <w:sz w:val="12"/>
        <w:szCs w:val="12"/>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BB76B0"/>
    <w:multiLevelType w:val="hybridMultilevel"/>
    <w:tmpl w:val="3C748C8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8" w15:restartNumberingAfterBreak="0">
    <w:nsid w:val="70194B19"/>
    <w:multiLevelType w:val="multilevel"/>
    <w:tmpl w:val="135064B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color w:val="auto"/>
      </w:r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767664B3"/>
    <w:multiLevelType w:val="hybridMultilevel"/>
    <w:tmpl w:val="DB32A67A"/>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8D962916">
      <w:start w:val="1"/>
      <w:numFmt w:val="bullet"/>
      <w:lvlText w:val=""/>
      <w:lvlJc w:val="left"/>
      <w:pPr>
        <w:tabs>
          <w:tab w:val="num" w:pos="1800"/>
        </w:tabs>
        <w:ind w:left="1800" w:hanging="360"/>
      </w:pPr>
      <w:rPr>
        <w:rFonts w:ascii="Wingdings" w:hAnsi="Wingdings" w:hint="default"/>
      </w:rPr>
    </w:lvl>
    <w:lvl w:ilvl="3" w:tplc="91D0640A">
      <w:start w:val="1"/>
      <w:numFmt w:val="bullet"/>
      <w:lvlText w:val=""/>
      <w:lvlJc w:val="left"/>
      <w:pPr>
        <w:tabs>
          <w:tab w:val="num" w:pos="2520"/>
        </w:tabs>
        <w:ind w:left="2520" w:hanging="360"/>
      </w:pPr>
      <w:rPr>
        <w:rFonts w:ascii="Wingdings" w:hAnsi="Wingdings" w:hint="default"/>
      </w:rPr>
    </w:lvl>
    <w:lvl w:ilvl="4" w:tplc="3F6C9CF8">
      <w:start w:val="1"/>
      <w:numFmt w:val="bullet"/>
      <w:lvlText w:val=""/>
      <w:lvlJc w:val="left"/>
      <w:pPr>
        <w:tabs>
          <w:tab w:val="num" w:pos="3240"/>
        </w:tabs>
        <w:ind w:left="3240" w:hanging="360"/>
      </w:pPr>
      <w:rPr>
        <w:rFonts w:ascii="Wingdings" w:hAnsi="Wingdings" w:hint="default"/>
      </w:rPr>
    </w:lvl>
    <w:lvl w:ilvl="5" w:tplc="65E212EA">
      <w:start w:val="1"/>
      <w:numFmt w:val="bullet"/>
      <w:lvlText w:val=""/>
      <w:lvlJc w:val="left"/>
      <w:pPr>
        <w:tabs>
          <w:tab w:val="num" w:pos="3960"/>
        </w:tabs>
        <w:ind w:left="3960" w:hanging="360"/>
      </w:pPr>
      <w:rPr>
        <w:rFonts w:ascii="Wingdings" w:hAnsi="Wingdings" w:hint="default"/>
      </w:rPr>
    </w:lvl>
    <w:lvl w:ilvl="6" w:tplc="05ECA412">
      <w:start w:val="1"/>
      <w:numFmt w:val="bullet"/>
      <w:lvlText w:val=""/>
      <w:lvlJc w:val="left"/>
      <w:pPr>
        <w:tabs>
          <w:tab w:val="num" w:pos="4680"/>
        </w:tabs>
        <w:ind w:left="4680" w:hanging="360"/>
      </w:pPr>
      <w:rPr>
        <w:rFonts w:ascii="Wingdings" w:hAnsi="Wingdings" w:hint="default"/>
      </w:rPr>
    </w:lvl>
    <w:lvl w:ilvl="7" w:tplc="ECCAAB3C">
      <w:start w:val="1"/>
      <w:numFmt w:val="bullet"/>
      <w:lvlText w:val=""/>
      <w:lvlJc w:val="left"/>
      <w:pPr>
        <w:tabs>
          <w:tab w:val="num" w:pos="5400"/>
        </w:tabs>
        <w:ind w:left="5400" w:hanging="360"/>
      </w:pPr>
      <w:rPr>
        <w:rFonts w:ascii="Wingdings" w:hAnsi="Wingdings" w:hint="default"/>
      </w:rPr>
    </w:lvl>
    <w:lvl w:ilvl="8" w:tplc="ADE24AC6">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DD3698A"/>
    <w:multiLevelType w:val="hybridMultilevel"/>
    <w:tmpl w:val="639E26F8"/>
    <w:lvl w:ilvl="0" w:tplc="04090001">
      <w:start w:val="1"/>
      <w:numFmt w:val="bullet"/>
      <w:lvlText w:val=""/>
      <w:lvlJc w:val="left"/>
      <w:pPr>
        <w:tabs>
          <w:tab w:val="num" w:pos="360"/>
        </w:tabs>
        <w:ind w:left="360" w:hanging="360"/>
      </w:pPr>
      <w:rPr>
        <w:rFonts w:ascii="Symbol" w:hAnsi="Symbol" w:hint="default"/>
      </w:rPr>
    </w:lvl>
    <w:lvl w:ilvl="1" w:tplc="D62E5352">
      <w:start w:val="1"/>
      <w:numFmt w:val="bullet"/>
      <w:lvlText w:val="•"/>
      <w:lvlJc w:val="left"/>
      <w:pPr>
        <w:tabs>
          <w:tab w:val="num" w:pos="1080"/>
        </w:tabs>
        <w:ind w:left="1080" w:hanging="360"/>
      </w:pPr>
      <w:rPr>
        <w:rFonts w:ascii="Arial" w:hAnsi="Arial" w:cs="Times New Roman" w:hint="default"/>
      </w:rPr>
    </w:lvl>
    <w:lvl w:ilvl="2" w:tplc="EB64DD58">
      <w:start w:val="1"/>
      <w:numFmt w:val="bullet"/>
      <w:lvlText w:val="•"/>
      <w:lvlJc w:val="left"/>
      <w:pPr>
        <w:tabs>
          <w:tab w:val="num" w:pos="1800"/>
        </w:tabs>
        <w:ind w:left="1800" w:hanging="360"/>
      </w:pPr>
      <w:rPr>
        <w:rFonts w:ascii="Arial" w:hAnsi="Arial" w:cs="Times New Roman" w:hint="default"/>
      </w:rPr>
    </w:lvl>
    <w:lvl w:ilvl="3" w:tplc="059EDE42">
      <w:start w:val="1"/>
      <w:numFmt w:val="bullet"/>
      <w:lvlText w:val="•"/>
      <w:lvlJc w:val="left"/>
      <w:pPr>
        <w:tabs>
          <w:tab w:val="num" w:pos="2520"/>
        </w:tabs>
        <w:ind w:left="2520" w:hanging="360"/>
      </w:pPr>
      <w:rPr>
        <w:rFonts w:ascii="Arial" w:hAnsi="Arial" w:cs="Times New Roman" w:hint="default"/>
      </w:rPr>
    </w:lvl>
    <w:lvl w:ilvl="4" w:tplc="3AA4FB30">
      <w:start w:val="1"/>
      <w:numFmt w:val="bullet"/>
      <w:lvlText w:val="•"/>
      <w:lvlJc w:val="left"/>
      <w:pPr>
        <w:tabs>
          <w:tab w:val="num" w:pos="3240"/>
        </w:tabs>
        <w:ind w:left="3240" w:hanging="360"/>
      </w:pPr>
      <w:rPr>
        <w:rFonts w:ascii="Arial" w:hAnsi="Arial" w:cs="Times New Roman" w:hint="default"/>
      </w:rPr>
    </w:lvl>
    <w:lvl w:ilvl="5" w:tplc="F2F2F18C">
      <w:start w:val="1"/>
      <w:numFmt w:val="bullet"/>
      <w:lvlText w:val="•"/>
      <w:lvlJc w:val="left"/>
      <w:pPr>
        <w:tabs>
          <w:tab w:val="num" w:pos="3960"/>
        </w:tabs>
        <w:ind w:left="3960" w:hanging="360"/>
      </w:pPr>
      <w:rPr>
        <w:rFonts w:ascii="Arial" w:hAnsi="Arial" w:cs="Times New Roman" w:hint="default"/>
      </w:rPr>
    </w:lvl>
    <w:lvl w:ilvl="6" w:tplc="1C6EF96E">
      <w:start w:val="1"/>
      <w:numFmt w:val="bullet"/>
      <w:lvlText w:val="•"/>
      <w:lvlJc w:val="left"/>
      <w:pPr>
        <w:tabs>
          <w:tab w:val="num" w:pos="4680"/>
        </w:tabs>
        <w:ind w:left="4680" w:hanging="360"/>
      </w:pPr>
      <w:rPr>
        <w:rFonts w:ascii="Arial" w:hAnsi="Arial" w:cs="Times New Roman" w:hint="default"/>
      </w:rPr>
    </w:lvl>
    <w:lvl w:ilvl="7" w:tplc="AE3CD618">
      <w:start w:val="1"/>
      <w:numFmt w:val="bullet"/>
      <w:lvlText w:val="•"/>
      <w:lvlJc w:val="left"/>
      <w:pPr>
        <w:tabs>
          <w:tab w:val="num" w:pos="5400"/>
        </w:tabs>
        <w:ind w:left="5400" w:hanging="360"/>
      </w:pPr>
      <w:rPr>
        <w:rFonts w:ascii="Arial" w:hAnsi="Arial" w:cs="Times New Roman" w:hint="default"/>
      </w:rPr>
    </w:lvl>
    <w:lvl w:ilvl="8" w:tplc="0A223BFE">
      <w:start w:val="1"/>
      <w:numFmt w:val="bullet"/>
      <w:lvlText w:val="•"/>
      <w:lvlJc w:val="left"/>
      <w:pPr>
        <w:tabs>
          <w:tab w:val="num" w:pos="6120"/>
        </w:tabs>
        <w:ind w:left="6120" w:hanging="360"/>
      </w:pPr>
      <w:rPr>
        <w:rFonts w:ascii="Arial" w:hAnsi="Arial" w:cs="Times New Roman" w:hint="default"/>
      </w:rPr>
    </w:lvl>
  </w:abstractNum>
  <w:abstractNum w:abstractNumId="11" w15:restartNumberingAfterBreak="0">
    <w:nsid w:val="7F2D447B"/>
    <w:multiLevelType w:val="hybridMultilevel"/>
    <w:tmpl w:val="60924E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6"/>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9"/>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7"/>
    <w:lvlOverride w:ilvl="0"/>
    <w:lvlOverride w:ilvl="1"/>
    <w:lvlOverride w:ilvl="2"/>
    <w:lvlOverride w:ilvl="3"/>
    <w:lvlOverride w:ilvl="4"/>
    <w:lvlOverride w:ilvl="5"/>
    <w:lvlOverride w:ilvl="6"/>
    <w:lvlOverride w:ilvl="7"/>
    <w:lvlOverride w:ilvl="8"/>
  </w:num>
  <w:num w:numId="8">
    <w:abstractNumId w:val="11"/>
    <w:lvlOverride w:ilvl="0"/>
    <w:lvlOverride w:ilvl="1"/>
    <w:lvlOverride w:ilvl="2"/>
    <w:lvlOverride w:ilvl="3"/>
    <w:lvlOverride w:ilvl="4"/>
    <w:lvlOverride w:ilvl="5"/>
    <w:lvlOverride w:ilvl="6"/>
    <w:lvlOverride w:ilvl="7"/>
    <w:lvlOverride w:ilvl="8"/>
  </w:num>
  <w:num w:numId="9">
    <w:abstractNumId w:val="1"/>
    <w:lvlOverride w:ilvl="0"/>
    <w:lvlOverride w:ilvl="1"/>
    <w:lvlOverride w:ilvl="2"/>
    <w:lvlOverride w:ilvl="3"/>
    <w:lvlOverride w:ilvl="4"/>
    <w:lvlOverride w:ilvl="5"/>
    <w:lvlOverride w:ilvl="6"/>
    <w:lvlOverride w:ilvl="7"/>
    <w:lvlOverride w:ilvl="8"/>
  </w:num>
  <w:num w:numId="10">
    <w:abstractNumId w:val="4"/>
    <w:lvlOverride w:ilvl="0"/>
    <w:lvlOverride w:ilvl="1"/>
    <w:lvlOverride w:ilvl="2"/>
    <w:lvlOverride w:ilvl="3"/>
    <w:lvlOverride w:ilvl="4"/>
    <w:lvlOverride w:ilvl="5"/>
    <w:lvlOverride w:ilvl="6"/>
    <w:lvlOverride w:ilvl="7"/>
    <w:lvlOverride w:ilvl="8"/>
  </w:num>
  <w:num w:numId="11">
    <w:abstractNumId w:val="10"/>
    <w:lvlOverride w:ilvl="0"/>
    <w:lvlOverride w:ilvl="1"/>
    <w:lvlOverride w:ilvl="2"/>
    <w:lvlOverride w:ilvl="3"/>
    <w:lvlOverride w:ilvl="4"/>
    <w:lvlOverride w:ilvl="5"/>
    <w:lvlOverride w:ilvl="6"/>
    <w:lvlOverride w:ilvl="7"/>
    <w:lvlOverride w:ilvl="8"/>
  </w:num>
  <w:num w:numId="12">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09"/>
    <w:rsid w:val="000F56A6"/>
    <w:rsid w:val="001D516F"/>
    <w:rsid w:val="00225AE0"/>
    <w:rsid w:val="00307009"/>
    <w:rsid w:val="004B3CAE"/>
    <w:rsid w:val="00544A7D"/>
    <w:rsid w:val="005D1EC4"/>
    <w:rsid w:val="00721650"/>
    <w:rsid w:val="008043C1"/>
    <w:rsid w:val="00816EB1"/>
    <w:rsid w:val="00935AE0"/>
    <w:rsid w:val="00993CFC"/>
    <w:rsid w:val="00AF4542"/>
    <w:rsid w:val="00B51A1C"/>
    <w:rsid w:val="00DB7764"/>
    <w:rsid w:val="00EF7E64"/>
    <w:rsid w:val="00F45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3E338-7673-4B02-B77E-AA188DBC7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BodyText"/>
    <w:link w:val="Heading1Char"/>
    <w:qFormat/>
    <w:rsid w:val="00307009"/>
    <w:pPr>
      <w:keepNext/>
      <w:pageBreakBefore/>
      <w:numPr>
        <w:numId w:val="1"/>
      </w:numPr>
      <w:tabs>
        <w:tab w:val="clear" w:pos="432"/>
        <w:tab w:val="left" w:pos="0"/>
        <w:tab w:val="left" w:pos="720"/>
      </w:tabs>
      <w:spacing w:before="360" w:after="240" w:line="240" w:lineRule="auto"/>
      <w:ind w:left="720" w:hanging="720"/>
      <w:outlineLvl w:val="0"/>
    </w:pPr>
    <w:rPr>
      <w:rFonts w:ascii="Arial" w:eastAsia="Times New Roman" w:hAnsi="Arial" w:cs="Arial"/>
      <w:b/>
      <w:bCs/>
      <w:color w:val="00B2EF"/>
      <w:sz w:val="44"/>
      <w:szCs w:val="44"/>
      <w:lang w:eastAsia="en-GB"/>
    </w:rPr>
  </w:style>
  <w:style w:type="paragraph" w:styleId="Heading2">
    <w:name w:val="heading 2"/>
    <w:basedOn w:val="Normal"/>
    <w:next w:val="BodyText"/>
    <w:link w:val="Heading2Char"/>
    <w:semiHidden/>
    <w:unhideWhenUsed/>
    <w:qFormat/>
    <w:rsid w:val="00307009"/>
    <w:pPr>
      <w:keepNext/>
      <w:numPr>
        <w:ilvl w:val="1"/>
        <w:numId w:val="1"/>
      </w:numPr>
      <w:tabs>
        <w:tab w:val="left" w:pos="0"/>
        <w:tab w:val="left" w:pos="720"/>
      </w:tabs>
      <w:spacing w:before="360" w:after="60" w:line="240" w:lineRule="auto"/>
      <w:outlineLvl w:val="1"/>
    </w:pPr>
    <w:rPr>
      <w:rFonts w:ascii="Arial" w:eastAsia="Times New Roman" w:hAnsi="Arial" w:cs="Arial"/>
      <w:b/>
      <w:bCs/>
      <w:iCs/>
      <w:lang w:eastAsia="en-GB"/>
    </w:rPr>
  </w:style>
  <w:style w:type="paragraph" w:styleId="Heading3">
    <w:name w:val="heading 3"/>
    <w:basedOn w:val="Normal"/>
    <w:next w:val="BodyText"/>
    <w:link w:val="Heading3Char"/>
    <w:semiHidden/>
    <w:unhideWhenUsed/>
    <w:qFormat/>
    <w:rsid w:val="00307009"/>
    <w:pPr>
      <w:keepNext/>
      <w:numPr>
        <w:ilvl w:val="2"/>
        <w:numId w:val="1"/>
      </w:numPr>
      <w:tabs>
        <w:tab w:val="left" w:pos="0"/>
      </w:tabs>
      <w:spacing w:before="240" w:after="60" w:line="240" w:lineRule="auto"/>
      <w:outlineLvl w:val="2"/>
    </w:pPr>
    <w:rPr>
      <w:rFonts w:ascii="Arial" w:eastAsia="Times New Roman" w:hAnsi="Arial" w:cs="Arial"/>
      <w:b/>
      <w:bCs/>
      <w:color w:val="808080"/>
      <w:lang w:eastAsia="en-GB"/>
    </w:rPr>
  </w:style>
  <w:style w:type="paragraph" w:styleId="Heading4">
    <w:name w:val="heading 4"/>
    <w:basedOn w:val="Normal"/>
    <w:next w:val="BodyText"/>
    <w:link w:val="Heading4Char"/>
    <w:semiHidden/>
    <w:unhideWhenUsed/>
    <w:qFormat/>
    <w:rsid w:val="00307009"/>
    <w:pPr>
      <w:keepNext/>
      <w:numPr>
        <w:ilvl w:val="3"/>
        <w:numId w:val="1"/>
      </w:numPr>
      <w:tabs>
        <w:tab w:val="left" w:pos="0"/>
        <w:tab w:val="left" w:pos="720"/>
      </w:tabs>
      <w:spacing w:before="120" w:after="120" w:line="240" w:lineRule="auto"/>
      <w:ind w:left="720" w:hanging="720"/>
      <w:outlineLvl w:val="3"/>
    </w:pPr>
    <w:rPr>
      <w:rFonts w:ascii="Arial" w:eastAsia="Times New Roman" w:hAnsi="Arial" w:cs="Times New Roman"/>
      <w:b/>
      <w:bCs/>
      <w:color w:val="00B2EF"/>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7009"/>
    <w:rPr>
      <w:rFonts w:ascii="Arial" w:eastAsia="Times New Roman" w:hAnsi="Arial" w:cs="Arial"/>
      <w:b/>
      <w:bCs/>
      <w:color w:val="00B2EF"/>
      <w:sz w:val="44"/>
      <w:szCs w:val="44"/>
      <w:lang w:eastAsia="en-GB"/>
    </w:rPr>
  </w:style>
  <w:style w:type="character" w:customStyle="1" w:styleId="Heading2Char">
    <w:name w:val="Heading 2 Char"/>
    <w:basedOn w:val="DefaultParagraphFont"/>
    <w:link w:val="Heading2"/>
    <w:semiHidden/>
    <w:rsid w:val="00307009"/>
    <w:rPr>
      <w:rFonts w:ascii="Arial" w:eastAsia="Times New Roman" w:hAnsi="Arial" w:cs="Arial"/>
      <w:b/>
      <w:bCs/>
      <w:iCs/>
      <w:lang w:eastAsia="en-GB"/>
    </w:rPr>
  </w:style>
  <w:style w:type="character" w:customStyle="1" w:styleId="Heading3Char">
    <w:name w:val="Heading 3 Char"/>
    <w:basedOn w:val="DefaultParagraphFont"/>
    <w:link w:val="Heading3"/>
    <w:semiHidden/>
    <w:rsid w:val="00307009"/>
    <w:rPr>
      <w:rFonts w:ascii="Arial" w:eastAsia="Times New Roman" w:hAnsi="Arial" w:cs="Arial"/>
      <w:b/>
      <w:bCs/>
      <w:color w:val="808080"/>
      <w:lang w:eastAsia="en-GB"/>
    </w:rPr>
  </w:style>
  <w:style w:type="character" w:customStyle="1" w:styleId="Heading4Char">
    <w:name w:val="Heading 4 Char"/>
    <w:basedOn w:val="DefaultParagraphFont"/>
    <w:link w:val="Heading4"/>
    <w:semiHidden/>
    <w:rsid w:val="00307009"/>
    <w:rPr>
      <w:rFonts w:ascii="Arial" w:eastAsia="Times New Roman" w:hAnsi="Arial" w:cs="Times New Roman"/>
      <w:b/>
      <w:bCs/>
      <w:color w:val="00B2EF"/>
      <w:sz w:val="20"/>
      <w:szCs w:val="20"/>
      <w:lang w:eastAsia="en-GB"/>
    </w:rPr>
  </w:style>
  <w:style w:type="paragraph" w:styleId="BodyText">
    <w:name w:val="Body Text"/>
    <w:aliases w:val="Body Text Char1,Char1 Char,Char1,1body,BodText,bt,body text,Body ...,Body Text Char Char,bt Char Char,BODY TEXT Char Cha..."/>
    <w:basedOn w:val="Normal"/>
    <w:link w:val="BodyTextChar"/>
    <w:uiPriority w:val="99"/>
    <w:semiHidden/>
    <w:unhideWhenUsed/>
    <w:qFormat/>
    <w:rsid w:val="00307009"/>
    <w:pPr>
      <w:spacing w:before="120" w:after="120" w:line="240" w:lineRule="auto"/>
    </w:pPr>
    <w:rPr>
      <w:rFonts w:ascii="Arial" w:eastAsia="Times New Roman" w:hAnsi="Arial" w:cs="Times New Roman"/>
      <w:sz w:val="21"/>
      <w:szCs w:val="21"/>
      <w:lang w:eastAsia="en-GB"/>
    </w:rPr>
  </w:style>
  <w:style w:type="character" w:customStyle="1" w:styleId="BodyTextChar">
    <w:name w:val="Body Text Char"/>
    <w:aliases w:val="Body Text Char1 Char,Char1 Char Char,Char1 Char1,1body Char,BodText Char,bt Char,body text Char,Body ... Char,Body Text Char Char Char,bt Char Char Char,BODY TEXT Char Cha... Char"/>
    <w:basedOn w:val="DefaultParagraphFont"/>
    <w:link w:val="BodyText"/>
    <w:uiPriority w:val="99"/>
    <w:semiHidden/>
    <w:rsid w:val="00307009"/>
    <w:rPr>
      <w:rFonts w:ascii="Arial" w:eastAsia="Times New Roman" w:hAnsi="Arial" w:cs="Times New Roman"/>
      <w:sz w:val="21"/>
      <w:szCs w:val="21"/>
      <w:lang w:eastAsia="en-GB"/>
    </w:rPr>
  </w:style>
  <w:style w:type="paragraph" w:styleId="ListBullet">
    <w:name w:val="List Bullet"/>
    <w:aliases w:val="List Bullet Char,List Bullet Char1 Char,List Bullet Char2 Char Char,List Bullet Char1 Char Char1 Char,List Bullet Char Char Char Char1 Char,List Bullet Char2 Char Char1 Char Char Char,List Bullet Char1 Char Char Char1 Char Char Char,Char,Ch"/>
    <w:basedOn w:val="Normal"/>
    <w:semiHidden/>
    <w:unhideWhenUsed/>
    <w:qFormat/>
    <w:rsid w:val="00307009"/>
    <w:pPr>
      <w:numPr>
        <w:numId w:val="2"/>
      </w:numPr>
      <w:spacing w:before="120" w:after="120" w:line="240" w:lineRule="auto"/>
    </w:pPr>
    <w:rPr>
      <w:rFonts w:ascii="Arial" w:eastAsia="Times New Roman" w:hAnsi="Arial" w:cs="Times New Roman"/>
      <w:sz w:val="21"/>
      <w:szCs w:val="21"/>
      <w:lang w:eastAsia="en-GB"/>
    </w:rPr>
  </w:style>
  <w:style w:type="paragraph" w:styleId="ListParagraph">
    <w:name w:val="List Paragraph"/>
    <w:basedOn w:val="Normal"/>
    <w:uiPriority w:val="34"/>
    <w:qFormat/>
    <w:rsid w:val="00307009"/>
    <w:pPr>
      <w:spacing w:after="60" w:line="276" w:lineRule="auto"/>
      <w:ind w:left="720"/>
      <w:contextualSpacing/>
      <w:jc w:val="both"/>
    </w:pPr>
    <w:rPr>
      <w:rFonts w:ascii="Calibri" w:eastAsia="Calibri" w:hAnsi="Calibri" w:cs="Arial"/>
      <w:sz w:val="20"/>
      <w:lang w:val="en-GB"/>
    </w:rPr>
  </w:style>
  <w:style w:type="character" w:customStyle="1" w:styleId="TableTitleChar">
    <w:name w:val="Table Title Char"/>
    <w:link w:val="TableTitle"/>
    <w:locked/>
    <w:rsid w:val="00307009"/>
    <w:rPr>
      <w:rFonts w:ascii="Arial" w:hAnsi="Arial" w:cs="Arial"/>
      <w:b/>
      <w:sz w:val="21"/>
      <w:szCs w:val="18"/>
      <w:lang w:eastAsia="en-GB"/>
    </w:rPr>
  </w:style>
  <w:style w:type="paragraph" w:customStyle="1" w:styleId="TableTitle">
    <w:name w:val="Table Title"/>
    <w:basedOn w:val="Normal"/>
    <w:link w:val="TableTitleChar"/>
    <w:qFormat/>
    <w:rsid w:val="00307009"/>
    <w:pPr>
      <w:spacing w:before="60" w:after="120" w:line="240" w:lineRule="auto"/>
    </w:pPr>
    <w:rPr>
      <w:rFonts w:ascii="Arial" w:hAnsi="Arial" w:cs="Arial"/>
      <w:b/>
      <w:sz w:val="21"/>
      <w:szCs w:val="18"/>
      <w:lang w:eastAsia="en-GB"/>
    </w:rPr>
  </w:style>
  <w:style w:type="character" w:customStyle="1" w:styleId="TableTextChar">
    <w:name w:val="Table Text Char"/>
    <w:aliases w:val="tt Char,table Body Text Char,table text Char,Table Text Char1,tt Char1,table Body Text Char1,table text Char1,table text Char Char"/>
    <w:link w:val="TableText"/>
    <w:locked/>
    <w:rsid w:val="00307009"/>
    <w:rPr>
      <w:rFonts w:ascii="Arial" w:hAnsi="Arial" w:cs="Arial"/>
      <w:sz w:val="18"/>
      <w:szCs w:val="18"/>
      <w:lang w:eastAsia="en-GB"/>
    </w:rPr>
  </w:style>
  <w:style w:type="paragraph" w:customStyle="1" w:styleId="TableText">
    <w:name w:val="Table Text"/>
    <w:aliases w:val="table text,tt,table Body Text,Bulleted,Symbol (symbol),Left:  0.25&quot;,Hanging:  0.25&quot;,tt tt,Table text,table text + Arial Narrow,Bold"/>
    <w:basedOn w:val="BodyText"/>
    <w:link w:val="TableTextChar"/>
    <w:qFormat/>
    <w:rsid w:val="00307009"/>
    <w:pPr>
      <w:spacing w:before="60" w:after="60"/>
    </w:pPr>
    <w:rPr>
      <w:rFonts w:eastAsiaTheme="minorHAnsi" w:cs="Arial"/>
      <w:sz w:val="18"/>
      <w:szCs w:val="18"/>
    </w:rPr>
  </w:style>
  <w:style w:type="character" w:customStyle="1" w:styleId="TableTextBulletChar">
    <w:name w:val="Table Text Bullet Char"/>
    <w:link w:val="TableTextBullet"/>
    <w:locked/>
    <w:rsid w:val="00307009"/>
    <w:rPr>
      <w:rFonts w:ascii="Arial" w:hAnsi="Arial"/>
      <w:sz w:val="18"/>
      <w:szCs w:val="18"/>
      <w:lang w:eastAsia="en-GB"/>
    </w:rPr>
  </w:style>
  <w:style w:type="paragraph" w:customStyle="1" w:styleId="TableTextBullet">
    <w:name w:val="Table Text Bullet"/>
    <w:basedOn w:val="TableText"/>
    <w:link w:val="TableTextBulletChar"/>
    <w:qFormat/>
    <w:rsid w:val="00307009"/>
    <w:pPr>
      <w:numPr>
        <w:numId w:val="3"/>
      </w:numPr>
    </w:pPr>
    <w:rPr>
      <w:rFonts w:cstheme="minorBidi"/>
    </w:rPr>
  </w:style>
  <w:style w:type="paragraph" w:customStyle="1" w:styleId="TableTextBullet2">
    <w:name w:val="Table Text Bullet 2"/>
    <w:basedOn w:val="TableText"/>
    <w:rsid w:val="00307009"/>
    <w:pPr>
      <w:numPr>
        <w:numId w:val="4"/>
      </w:numPr>
      <w:tabs>
        <w:tab w:val="num" w:pos="360"/>
      </w:tabs>
      <w:ind w:left="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33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2586</Words>
  <Characters>14745</Characters>
  <Application>Microsoft Office Word</Application>
  <DocSecurity>0</DocSecurity>
  <Lines>122</Lines>
  <Paragraphs>34</Paragraphs>
  <ScaleCrop>false</ScaleCrop>
  <Company/>
  <LinksUpToDate>false</LinksUpToDate>
  <CharactersWithSpaces>17297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PURAB Ravi</dc:creator>
  <cp:keywords/>
  <dc:description/>
  <cp:lastModifiedBy>PURAB Ravi</cp:lastModifiedBy>
  <cp:revision>1</cp:revision>
  <dcterms:created xsi:type="dcterms:W3CDTF">2017-09-21T12:44:00Z</dcterms:created>
  <dcterms:modified xsi:type="dcterms:W3CDTF">2017-09-21T12:44:00Z</dcterms:modified>
</cp:coreProperties>
</file>