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BF9" w:rsidRDefault="007F5BF9" w:rsidP="007F5BF9">
      <w:pPr>
        <w:pStyle w:val="Heading2"/>
        <w:tabs>
          <w:tab w:val="clear" w:pos="576"/>
        </w:tabs>
        <w:ind w:left="720" w:hanging="720"/>
        <w:rPr>
          <w:sz w:val="28"/>
          <w:szCs w:val="28"/>
        </w:rPr>
      </w:pPr>
      <w:bookmarkStart w:id="0" w:name="_Toc484708030"/>
      <w:r>
        <w:rPr>
          <w:sz w:val="28"/>
          <w:szCs w:val="28"/>
        </w:rPr>
        <w:t>Transition</w:t>
      </w:r>
      <w:bookmarkEnd w:id="0"/>
      <w:r>
        <w:rPr>
          <w:sz w:val="28"/>
          <w:szCs w:val="28"/>
        </w:rPr>
        <w:t xml:space="preserve"> </w:t>
      </w:r>
    </w:p>
    <w:p w:rsidR="007F5BF9" w:rsidRDefault="007F5BF9" w:rsidP="007F5BF9">
      <w:pPr>
        <w:pStyle w:val="BodyText"/>
      </w:pPr>
    </w:p>
    <w:p w:rsidR="007F5BF9" w:rsidRPr="007F5BF9" w:rsidRDefault="007F5BF9" w:rsidP="007F5BF9">
      <w:pPr>
        <w:pStyle w:val="BodyText"/>
      </w:pPr>
    </w:p>
    <w:p w:rsidR="007F5BF9" w:rsidRDefault="007F5BF9" w:rsidP="007F5BF9">
      <w:pPr>
        <w:pStyle w:val="BodyText"/>
      </w:pPr>
      <w:r>
        <w:t>IBM’s proven transition approach will make transition smooth and risk-free. IBMs transition method has been used but customized to the &lt;&lt;Client&gt;&gt; requirements. Special care has been taken for the knowledge transfer of critical modules. IBM will solve Tickets during trainings to avoid ticket backlog and speeding up of training.</w:t>
      </w:r>
    </w:p>
    <w:p w:rsidR="007F5BF9" w:rsidRDefault="007F5BF9" w:rsidP="007F5BF9">
      <w:pPr>
        <w:pStyle w:val="BodyText"/>
        <w:jc w:val="both"/>
      </w:pPr>
      <w:r>
        <w:t>IBM Will leverage the transition model that would be ideal for repetitive processes to make the transition happen in smooth and less risky. We will request</w:t>
      </w:r>
      <w:r>
        <w:rPr>
          <w:rFonts w:ascii="Century Gothic" w:eastAsia="Century Gothic" w:hAnsi="Century Gothic" w:cs="Century Gothic"/>
          <w:color w:val="44546A"/>
          <w:sz w:val="24"/>
          <w:szCs w:val="24"/>
          <w:lang w:eastAsia="en-US"/>
        </w:rPr>
        <w:t xml:space="preserve"> </w:t>
      </w:r>
      <w:r>
        <w:t>&lt;&lt;Client&gt;&gt; SMEs to be available throughout the transition period to ensure smooth transition. It will also ensure reduced risk for business critical applications. IBM will also provide its expertise to mitigate various conditions, e.g., longer wait for productivity gain, risk of missing important hands-on opportunity due to longer wait for perform phase, unavailability of key resources throughout the transition period.</w:t>
      </w:r>
    </w:p>
    <w:p w:rsidR="007F5BF9" w:rsidRDefault="007F5BF9" w:rsidP="007F5BF9">
      <w:pPr>
        <w:pStyle w:val="BodyText"/>
      </w:pPr>
    </w:p>
    <w:p w:rsidR="007F5BF9" w:rsidRDefault="007F5BF9" w:rsidP="007F5BF9">
      <w:pPr>
        <w:pStyle w:val="Heading3"/>
        <w:rPr>
          <w:color w:val="auto"/>
          <w:sz w:val="24"/>
          <w:szCs w:val="24"/>
        </w:rPr>
      </w:pPr>
      <w:bookmarkStart w:id="1" w:name="_Toc484708031"/>
      <w:r>
        <w:rPr>
          <w:color w:val="auto"/>
          <w:sz w:val="24"/>
          <w:szCs w:val="24"/>
        </w:rPr>
        <w:t>Agile Transition Methodology</w:t>
      </w:r>
      <w:bookmarkEnd w:id="1"/>
    </w:p>
    <w:p w:rsidR="007F5BF9" w:rsidRDefault="007F5BF9" w:rsidP="007F5BF9">
      <w:pPr>
        <w:jc w:val="both"/>
        <w:rPr>
          <w:rFonts w:cs="Arial"/>
          <w:sz w:val="20"/>
          <w:szCs w:val="20"/>
        </w:rPr>
      </w:pPr>
      <w:r>
        <w:rPr>
          <w:rFonts w:cs="Arial"/>
          <w:sz w:val="20"/>
          <w:szCs w:val="20"/>
        </w:rPr>
        <w:t xml:space="preserve">IBM is proposing the agile methodology by blending Agile Scrum principles to define Transition plan suitable for iterative and incremental Agile scenarios. </w:t>
      </w:r>
    </w:p>
    <w:p w:rsidR="007F5BF9" w:rsidRDefault="007F5BF9" w:rsidP="007F5BF9">
      <w:pPr>
        <w:jc w:val="both"/>
        <w:rPr>
          <w:rFonts w:cs="Arial"/>
          <w:sz w:val="20"/>
          <w:szCs w:val="20"/>
        </w:rPr>
      </w:pPr>
      <w:r>
        <w:rPr>
          <w:rFonts w:cs="Arial"/>
          <w:sz w:val="20"/>
          <w:szCs w:val="20"/>
        </w:rPr>
        <w:t xml:space="preserve">IBM has considerable experience of transitioning of critical Applications from an ongoing support phases. IBM is proposing the option to follow IBM agile methodology for transition at &lt;&lt;Client&gt;&gt;. IBM Agile is an iterative, incremental framework hence, transition can be tailored with IBM's Agile Scrum method as a base. </w:t>
      </w:r>
    </w:p>
    <w:p w:rsidR="007F5BF9" w:rsidRDefault="007F5BF9" w:rsidP="007F5BF9">
      <w:pPr>
        <w:jc w:val="both"/>
        <w:rPr>
          <w:rFonts w:cs="Arial"/>
          <w:sz w:val="20"/>
          <w:szCs w:val="20"/>
        </w:rPr>
      </w:pPr>
      <w:r>
        <w:rPr>
          <w:rFonts w:cs="Arial"/>
          <w:sz w:val="20"/>
          <w:szCs w:val="20"/>
        </w:rPr>
        <w:t xml:space="preserve">All transition phases and activities will be planned as small sprints. Assessment inputs from previous phase are taken into consideration during the Sprint planning. Team will be exposed to hands on activities aligning with the Sprint / Iteration cycle. </w:t>
      </w:r>
    </w:p>
    <w:p w:rsidR="007F5BF9" w:rsidRDefault="007F5BF9" w:rsidP="007F5BF9">
      <w:pPr>
        <w:pStyle w:val="BodyText"/>
      </w:pPr>
      <w:r>
        <w:t>IBM’s Agile Knowledge Transfer Method (by each application in an Epic or Feature)</w:t>
      </w:r>
    </w:p>
    <w:p w:rsidR="007F5BF9" w:rsidRDefault="007F5BF9" w:rsidP="007F5BF9">
      <w:pPr>
        <w:pStyle w:val="BodyText"/>
      </w:pPr>
      <w:r>
        <w:rPr>
          <w:noProof/>
          <w:lang w:eastAsia="en-US"/>
        </w:rPr>
        <w:drawing>
          <wp:inline distT="0" distB="0" distL="0" distR="0">
            <wp:extent cx="5943600" cy="2910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10840"/>
                    </a:xfrm>
                    <a:prstGeom prst="rect">
                      <a:avLst/>
                    </a:prstGeom>
                    <a:noFill/>
                    <a:ln>
                      <a:noFill/>
                    </a:ln>
                  </pic:spPr>
                </pic:pic>
              </a:graphicData>
            </a:graphic>
          </wp:inline>
        </w:drawing>
      </w:r>
    </w:p>
    <w:p w:rsidR="007F5BF9" w:rsidRDefault="007F5BF9" w:rsidP="007F5BF9">
      <w:pPr>
        <w:pStyle w:val="BodyText"/>
      </w:pPr>
    </w:p>
    <w:p w:rsidR="007F5BF9" w:rsidRDefault="007F5BF9" w:rsidP="007F5BF9">
      <w:pPr>
        <w:pStyle w:val="Heading3"/>
        <w:rPr>
          <w:color w:val="auto"/>
          <w:sz w:val="24"/>
          <w:szCs w:val="24"/>
        </w:rPr>
      </w:pPr>
      <w:bookmarkStart w:id="2" w:name="_Toc484708032"/>
      <w:r>
        <w:rPr>
          <w:color w:val="auto"/>
          <w:sz w:val="24"/>
          <w:szCs w:val="24"/>
        </w:rPr>
        <w:lastRenderedPageBreak/>
        <w:t>Transition Plan and Approach</w:t>
      </w:r>
      <w:bookmarkEnd w:id="2"/>
    </w:p>
    <w:p w:rsidR="007F5BF9" w:rsidRDefault="007F5BF9" w:rsidP="007F5BF9">
      <w:pPr>
        <w:pStyle w:val="BodyText"/>
      </w:pPr>
      <w:r>
        <w:t xml:space="preserve">The entire transition will be executed using Agile Methodology in several sprints linked to Epics. This ensures early readiness of </w:t>
      </w:r>
    </w:p>
    <w:p w:rsidR="007F5BF9" w:rsidRDefault="007F5BF9" w:rsidP="007F5BF9">
      <w:pPr>
        <w:pStyle w:val="BodyText"/>
        <w:numPr>
          <w:ilvl w:val="0"/>
          <w:numId w:val="2"/>
        </w:numPr>
      </w:pPr>
      <w:r>
        <w:t>Few areas / modules which can be supported sooner than steady state from KT point of view</w:t>
      </w:r>
    </w:p>
    <w:p w:rsidR="007F5BF9" w:rsidRDefault="007F5BF9" w:rsidP="007F5BF9">
      <w:pPr>
        <w:pStyle w:val="BodyText"/>
        <w:numPr>
          <w:ilvl w:val="0"/>
          <w:numId w:val="2"/>
        </w:numPr>
      </w:pPr>
      <w:r>
        <w:t>Few services can be established (like Event Management) much earlier by absorbing the As-Is best practices from Service Transition point of view</w:t>
      </w:r>
    </w:p>
    <w:p w:rsidR="007F5BF9" w:rsidRDefault="007F5BF9" w:rsidP="007F5BF9">
      <w:pPr>
        <w:pStyle w:val="BodyText"/>
      </w:pPr>
      <w:r>
        <w:t>This being a new implementation project, availability of historic ticket data is very minimal. Hence IBM is proposing to kick start the knowledge Transfer (KT) activities from the beginning of UAT Phase</w:t>
      </w:r>
    </w:p>
    <w:p w:rsidR="007F5BF9" w:rsidRDefault="007F5BF9" w:rsidP="007F5BF9">
      <w:pPr>
        <w:pStyle w:val="BodyText"/>
        <w:numPr>
          <w:ilvl w:val="0"/>
          <w:numId w:val="3"/>
        </w:numPr>
      </w:pPr>
      <w:r>
        <w:t>IBM resources are aligned to get engaged with incumbent team for learning &amp; Shadowing in UAT &amp; Hyper Care periods to get adequate exposure on real time issues</w:t>
      </w:r>
    </w:p>
    <w:p w:rsidR="007F5BF9" w:rsidRDefault="007F5BF9" w:rsidP="007F5BF9">
      <w:pPr>
        <w:pStyle w:val="BodyText"/>
        <w:numPr>
          <w:ilvl w:val="0"/>
          <w:numId w:val="3"/>
        </w:numPr>
      </w:pPr>
      <w:r>
        <w:t>As an entry criteria to kick start KT, IBM Management would engage &lt;&lt;Client&gt;&gt; Application owner to get formal sign off from  incumbent implementation team on</w:t>
      </w:r>
    </w:p>
    <w:p w:rsidR="007F5BF9" w:rsidRDefault="007F5BF9" w:rsidP="007F5BF9">
      <w:pPr>
        <w:pStyle w:val="BodyText"/>
        <w:numPr>
          <w:ilvl w:val="1"/>
          <w:numId w:val="4"/>
        </w:numPr>
      </w:pPr>
      <w:r>
        <w:t xml:space="preserve">All UAT test cases to confirm that all agreed functionalities are deployed &amp; are working as per &lt;&lt;Client&gt;&gt;’s expectation </w:t>
      </w:r>
    </w:p>
    <w:p w:rsidR="007F5BF9" w:rsidRDefault="007F5BF9" w:rsidP="007F5BF9">
      <w:pPr>
        <w:pStyle w:val="BodyText"/>
        <w:numPr>
          <w:ilvl w:val="1"/>
          <w:numId w:val="4"/>
        </w:numPr>
      </w:pPr>
      <w:r>
        <w:t>The Test summary report to ensure that all defects reported in UAT &amp; Hyper phases are resolved by implementation team and validated by &lt;&lt;Client&gt;&gt; end users</w:t>
      </w:r>
    </w:p>
    <w:p w:rsidR="007F5BF9" w:rsidRDefault="007F5BF9" w:rsidP="007F5BF9">
      <w:pPr>
        <w:pStyle w:val="BodyText"/>
      </w:pPr>
    </w:p>
    <w:p w:rsidR="007F5BF9" w:rsidRDefault="007F5BF9" w:rsidP="007F5BF9">
      <w:pPr>
        <w:pStyle w:val="BodyText"/>
      </w:pPr>
      <w:r>
        <w:rPr>
          <w:noProof/>
          <w:lang w:eastAsia="en-US"/>
        </w:rPr>
        <w:drawing>
          <wp:inline distT="0" distB="0" distL="0" distR="0">
            <wp:extent cx="5951220" cy="3619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1220" cy="3619500"/>
                    </a:xfrm>
                    <a:prstGeom prst="rect">
                      <a:avLst/>
                    </a:prstGeom>
                    <a:noFill/>
                    <a:ln>
                      <a:noFill/>
                    </a:ln>
                  </pic:spPr>
                </pic:pic>
              </a:graphicData>
            </a:graphic>
          </wp:inline>
        </w:drawing>
      </w:r>
    </w:p>
    <w:p w:rsidR="007F5BF9" w:rsidRDefault="007F5BF9" w:rsidP="007F5BF9">
      <w:pPr>
        <w:pStyle w:val="Heading3"/>
        <w:rPr>
          <w:color w:val="auto"/>
          <w:sz w:val="24"/>
          <w:szCs w:val="24"/>
        </w:rPr>
      </w:pPr>
      <w:bookmarkStart w:id="3" w:name="_Toc484708033"/>
      <w:r>
        <w:rPr>
          <w:color w:val="auto"/>
          <w:sz w:val="24"/>
          <w:szCs w:val="24"/>
        </w:rPr>
        <w:t>Transition Activities</w:t>
      </w:r>
      <w:bookmarkEnd w:id="3"/>
    </w:p>
    <w:p w:rsidR="007F5BF9" w:rsidRDefault="007F5BF9" w:rsidP="007F5BF9">
      <w:pPr>
        <w:pStyle w:val="BodyText"/>
        <w:jc w:val="both"/>
      </w:pPr>
      <w:r>
        <w:t xml:space="preserve">IBM will also leverage Agile Method which is an alternative to traditional model. </w:t>
      </w:r>
    </w:p>
    <w:p w:rsidR="007F5BF9" w:rsidRDefault="007F5BF9" w:rsidP="007F5BF9">
      <w:pPr>
        <w:pStyle w:val="BodyText"/>
        <w:jc w:val="both"/>
      </w:pPr>
      <w:r>
        <w:t>While implementing Agile Method, the “Plan” phase includes service backlog and sprint plans covering training Plan, EPIC Plan, staffing plan and risk mitigation plan. Phase “</w:t>
      </w:r>
      <w:r>
        <w:rPr>
          <w:bCs/>
        </w:rPr>
        <w:t xml:space="preserve">Learn” will be covering </w:t>
      </w:r>
      <w:r>
        <w:t xml:space="preserve">Draft </w:t>
      </w:r>
      <w:r>
        <w:lastRenderedPageBreak/>
        <w:t>Application Information Document, Draft Application Support Control Plan, D2D Session Recording Repository and Learning and Performance Metrics.</w:t>
      </w:r>
      <w:r>
        <w:rPr>
          <w:rFonts w:ascii="Century Gothic" w:eastAsia="Century Gothic" w:hAnsi="Century Gothic" w:cs="Century Gothic"/>
          <w:b/>
          <w:bCs/>
          <w:color w:val="44546A"/>
          <w:kern w:val="24"/>
          <w:lang w:eastAsia="en-US"/>
        </w:rPr>
        <w:t xml:space="preserve"> </w:t>
      </w:r>
      <w:r>
        <w:t>Phase “Perform” will be including IBM Practitioner Knowledge Assessment, Final Application Information Document, Final Application Support &amp; Control Plan and Steady State Delivery Organization.</w:t>
      </w:r>
    </w:p>
    <w:p w:rsidR="007F5BF9" w:rsidRDefault="007F5BF9" w:rsidP="007F5BF9">
      <w:pPr>
        <w:pStyle w:val="BodyText"/>
        <w:jc w:val="both"/>
      </w:pPr>
      <w:r>
        <w:t>Agile is a proven and flexible transition approach which provides the flexibility to choose the activities and then time-box those to have full control. Next Generation transition capabilities of Agile transformation approach ensures the benefits including quicker productivity gains, faster transition completion, reduced transition cost, maturing on customer confidence, quicker KT gap determination, reduced risks and observing transition effectiveness in quicker manner.</w:t>
      </w:r>
    </w:p>
    <w:p w:rsidR="007F5BF9" w:rsidRDefault="007F5BF9" w:rsidP="007F5BF9">
      <w:pPr>
        <w:pStyle w:val="BodyText"/>
        <w:jc w:val="both"/>
      </w:pPr>
      <w:r>
        <w:t>As availability of historic data is minimal, IBM is proposing to start the knowledge Transfer (KT) activities from the beginning of UAT Phase. Intent is to get engaged with incumbent team for learning &amp; Shadowing in UAT &amp; Hyper Care periods to get adequate exposure on real time issues. High level Transition Plan &amp; Approach is as follows:</w:t>
      </w:r>
    </w:p>
    <w:p w:rsidR="007F5BF9" w:rsidRDefault="007F5BF9" w:rsidP="007F5BF9">
      <w:pPr>
        <w:pStyle w:val="BodyText"/>
        <w:jc w:val="both"/>
      </w:pPr>
      <w:r>
        <w:t>IBM’s Agile Knowledge Transfer Method (by each Module) is depicted in the below diagram:</w:t>
      </w:r>
    </w:p>
    <w:p w:rsidR="007F5BF9" w:rsidRDefault="007F5BF9" w:rsidP="007F5BF9">
      <w:pPr>
        <w:pStyle w:val="BodyText"/>
        <w:jc w:val="both"/>
      </w:pPr>
    </w:p>
    <w:p w:rsidR="007F5BF9" w:rsidRDefault="007F5BF9" w:rsidP="007F5BF9">
      <w:pPr>
        <w:pStyle w:val="BodyText"/>
        <w:jc w:val="both"/>
      </w:pPr>
    </w:p>
    <w:p w:rsidR="007F5BF9" w:rsidRDefault="007F5BF9" w:rsidP="007F5BF9">
      <w:pPr>
        <w:pStyle w:val="BodyText"/>
        <w:jc w:val="both"/>
      </w:pPr>
    </w:p>
    <w:p w:rsidR="007F5BF9" w:rsidRDefault="007F5BF9" w:rsidP="007F5BF9">
      <w:pPr>
        <w:pStyle w:val="BodyText"/>
        <w:jc w:val="both"/>
      </w:pPr>
      <w:r>
        <w:rPr>
          <w:noProof/>
          <w:lang w:eastAsia="en-US"/>
        </w:rPr>
        <w:drawing>
          <wp:inline distT="0" distB="0" distL="0" distR="0">
            <wp:extent cx="5943600" cy="2941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41320"/>
                    </a:xfrm>
                    <a:prstGeom prst="rect">
                      <a:avLst/>
                    </a:prstGeom>
                    <a:noFill/>
                    <a:ln>
                      <a:noFill/>
                    </a:ln>
                  </pic:spPr>
                </pic:pic>
              </a:graphicData>
            </a:graphic>
          </wp:inline>
        </w:drawing>
      </w:r>
    </w:p>
    <w:p w:rsidR="007F5BF9" w:rsidRDefault="007F5BF9" w:rsidP="007F5BF9">
      <w:pPr>
        <w:pStyle w:val="Heading3"/>
        <w:rPr>
          <w:color w:val="auto"/>
          <w:sz w:val="24"/>
          <w:szCs w:val="24"/>
        </w:rPr>
      </w:pPr>
      <w:bookmarkStart w:id="4" w:name="_Toc484708034"/>
      <w:r>
        <w:rPr>
          <w:color w:val="auto"/>
          <w:sz w:val="24"/>
          <w:szCs w:val="24"/>
        </w:rPr>
        <w:t>Application Transition Plan</w:t>
      </w:r>
      <w:bookmarkEnd w:id="4"/>
    </w:p>
    <w:p w:rsidR="007F5BF9" w:rsidRDefault="007F5BF9" w:rsidP="007F5BF9">
      <w:pPr>
        <w:pStyle w:val="BodyText"/>
        <w:jc w:val="both"/>
      </w:pPr>
      <w:r>
        <w:t>Application Transition Plan will be according to the timelines shown in the figure below:</w:t>
      </w:r>
    </w:p>
    <w:p w:rsidR="007F5BF9" w:rsidRDefault="007F5BF9" w:rsidP="007F5BF9">
      <w:pPr>
        <w:pStyle w:val="BodyText"/>
        <w:jc w:val="both"/>
        <w:rPr>
          <w:noProof/>
          <w:lang w:eastAsia="en-US"/>
        </w:rPr>
      </w:pPr>
      <w:r>
        <w:rPr>
          <w:noProof/>
          <w:lang w:eastAsia="en-US"/>
        </w:rPr>
        <w:lastRenderedPageBreak/>
        <w:drawing>
          <wp:inline distT="0" distB="0" distL="0" distR="0">
            <wp:extent cx="5935980" cy="24307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430780"/>
                    </a:xfrm>
                    <a:prstGeom prst="rect">
                      <a:avLst/>
                    </a:prstGeom>
                    <a:noFill/>
                    <a:ln>
                      <a:noFill/>
                    </a:ln>
                  </pic:spPr>
                </pic:pic>
              </a:graphicData>
            </a:graphic>
          </wp:inline>
        </w:drawing>
      </w:r>
    </w:p>
    <w:p w:rsidR="007F5BF9" w:rsidRDefault="007F5BF9" w:rsidP="007F5BF9">
      <w:pPr>
        <w:pStyle w:val="BodyText"/>
        <w:jc w:val="both"/>
        <w:rPr>
          <w:b/>
          <w:bCs/>
        </w:rPr>
      </w:pPr>
      <w:r>
        <w:rPr>
          <w:noProof/>
          <w:lang w:eastAsia="en-US"/>
        </w:rPr>
        <w:drawing>
          <wp:inline distT="0" distB="0" distL="0" distR="0">
            <wp:extent cx="5951220" cy="525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1220" cy="525780"/>
                    </a:xfrm>
                    <a:prstGeom prst="rect">
                      <a:avLst/>
                    </a:prstGeom>
                    <a:noFill/>
                    <a:ln>
                      <a:noFill/>
                    </a:ln>
                  </pic:spPr>
                </pic:pic>
              </a:graphicData>
            </a:graphic>
          </wp:inline>
        </w:drawing>
      </w:r>
    </w:p>
    <w:p w:rsidR="007F5BF9" w:rsidRDefault="007F5BF9" w:rsidP="007F5BF9">
      <w:pPr>
        <w:pStyle w:val="BodyText"/>
        <w:jc w:val="both"/>
      </w:pPr>
    </w:p>
    <w:p w:rsidR="007F5BF9" w:rsidRDefault="007F5BF9" w:rsidP="007F5BF9">
      <w:pPr>
        <w:pStyle w:val="Heading3"/>
        <w:rPr>
          <w:color w:val="auto"/>
          <w:sz w:val="24"/>
          <w:szCs w:val="24"/>
        </w:rPr>
      </w:pPr>
      <w:bookmarkStart w:id="5" w:name="_Toc484708035"/>
      <w:r>
        <w:rPr>
          <w:color w:val="auto"/>
          <w:sz w:val="24"/>
          <w:szCs w:val="24"/>
        </w:rPr>
        <w:t>Service Transition Plan</w:t>
      </w:r>
      <w:bookmarkEnd w:id="5"/>
    </w:p>
    <w:p w:rsidR="007F5BF9" w:rsidRDefault="007F5BF9" w:rsidP="007F5BF9">
      <w:pPr>
        <w:pStyle w:val="BodyText"/>
      </w:pPr>
      <w:r>
        <w:t>Service Transition will be carried out using Agile Methodology, in two sprints:</w:t>
      </w:r>
    </w:p>
    <w:p w:rsidR="007F5BF9" w:rsidRDefault="007F5BF9" w:rsidP="007F5BF9">
      <w:pPr>
        <w:pStyle w:val="BodyText"/>
        <w:numPr>
          <w:ilvl w:val="0"/>
          <w:numId w:val="5"/>
        </w:numPr>
      </w:pPr>
      <w:r>
        <w:rPr>
          <w:bCs/>
        </w:rPr>
        <w:t>Sprint 1 – Establishing &lt;&lt;Client&gt;&gt; AMS Processes like</w:t>
      </w:r>
      <w:r>
        <w:rPr>
          <w:b/>
          <w:bCs/>
        </w:rPr>
        <w:t xml:space="preserve"> </w:t>
      </w:r>
      <w:r>
        <w:t>Incident Management, Problem Management, Service Request fulfilment,  Minor/Major Enhancement, Asset &amp; Config., Availability and ITSM Processes</w:t>
      </w:r>
    </w:p>
    <w:p w:rsidR="007F5BF9" w:rsidRDefault="007F5BF9" w:rsidP="007F5BF9">
      <w:pPr>
        <w:pStyle w:val="BodyText"/>
        <w:numPr>
          <w:ilvl w:val="0"/>
          <w:numId w:val="5"/>
        </w:numPr>
      </w:pPr>
      <w:r>
        <w:rPr>
          <w:bCs/>
        </w:rPr>
        <w:t>Sprint 2 – Establishing &lt;&lt;Client&gt;&gt; CF &amp; AO Processes like</w:t>
      </w:r>
      <w:r>
        <w:rPr>
          <w:b/>
          <w:bCs/>
        </w:rPr>
        <w:t xml:space="preserve"> </w:t>
      </w:r>
      <w:r>
        <w:t>Event, Knowledge, Capacity, Change, Release &amp; Service Level Management Processes</w:t>
      </w:r>
    </w:p>
    <w:p w:rsidR="007F5BF9" w:rsidRDefault="007F5BF9" w:rsidP="007F5BF9">
      <w:pPr>
        <w:pStyle w:val="BodyText"/>
      </w:pPr>
      <w:r>
        <w:rPr>
          <w:bCs/>
        </w:rPr>
        <w:t>There will be four main phases</w:t>
      </w:r>
      <w:r>
        <w:rPr>
          <w:b/>
          <w:bCs/>
        </w:rPr>
        <w:t xml:space="preserve"> </w:t>
      </w:r>
      <w:r>
        <w:t>to follow, using Agile method;</w:t>
      </w:r>
    </w:p>
    <w:p w:rsidR="007F5BF9" w:rsidRDefault="007F5BF9" w:rsidP="007F5BF9">
      <w:pPr>
        <w:pStyle w:val="BodyText"/>
        <w:numPr>
          <w:ilvl w:val="1"/>
          <w:numId w:val="5"/>
        </w:numPr>
      </w:pPr>
      <w:r>
        <w:t>MAW</w:t>
      </w:r>
    </w:p>
    <w:p w:rsidR="007F5BF9" w:rsidRDefault="007F5BF9" w:rsidP="007F5BF9">
      <w:pPr>
        <w:pStyle w:val="BodyText"/>
        <w:numPr>
          <w:ilvl w:val="1"/>
          <w:numId w:val="5"/>
        </w:numPr>
      </w:pPr>
      <w:r>
        <w:t>Define &amp; Document</w:t>
      </w:r>
    </w:p>
    <w:p w:rsidR="007F5BF9" w:rsidRDefault="007F5BF9" w:rsidP="007F5BF9">
      <w:pPr>
        <w:pStyle w:val="BodyText"/>
        <w:numPr>
          <w:ilvl w:val="1"/>
          <w:numId w:val="5"/>
        </w:numPr>
      </w:pPr>
      <w:r>
        <w:t>Implement (Process)</w:t>
      </w:r>
    </w:p>
    <w:p w:rsidR="007F5BF9" w:rsidRDefault="007F5BF9" w:rsidP="007F5BF9">
      <w:pPr>
        <w:pStyle w:val="BodyText"/>
        <w:numPr>
          <w:ilvl w:val="1"/>
          <w:numId w:val="5"/>
        </w:numPr>
      </w:pPr>
      <w:r>
        <w:t>Handover</w:t>
      </w:r>
    </w:p>
    <w:p w:rsidR="007F5BF9" w:rsidRDefault="007F5BF9" w:rsidP="007F5BF9">
      <w:pPr>
        <w:pStyle w:val="BodyText"/>
        <w:numPr>
          <w:ilvl w:val="0"/>
          <w:numId w:val="5"/>
        </w:numPr>
      </w:pPr>
      <w:r>
        <w:t>Each Process area is a story by itself and expected with defined outcomes.</w:t>
      </w:r>
    </w:p>
    <w:p w:rsidR="007F5BF9" w:rsidRDefault="007F5BF9" w:rsidP="007F5BF9">
      <w:pPr>
        <w:pStyle w:val="BodyText"/>
        <w:numPr>
          <w:ilvl w:val="0"/>
          <w:numId w:val="5"/>
        </w:numPr>
      </w:pPr>
      <w:r>
        <w:t>Some process area has common and dependent factor on another process and hence we can combine and form agile sprints, from its evaluation till implementation.</w:t>
      </w:r>
    </w:p>
    <w:p w:rsidR="007F5BF9" w:rsidRDefault="007F5BF9" w:rsidP="007F5BF9">
      <w:pPr>
        <w:pStyle w:val="BodyText"/>
        <w:numPr>
          <w:ilvl w:val="0"/>
          <w:numId w:val="5"/>
        </w:numPr>
      </w:pPr>
      <w:r>
        <w:t xml:space="preserve">An early assessment and evaluation is must against each process, if we would like “As-Is” readiness or “New State/To-Be” readiness </w:t>
      </w:r>
    </w:p>
    <w:p w:rsidR="007F5BF9" w:rsidRDefault="007F5BF9" w:rsidP="007F5BF9">
      <w:pPr>
        <w:pStyle w:val="BodyText"/>
      </w:pPr>
    </w:p>
    <w:p w:rsidR="007F5BF9" w:rsidRDefault="007F5BF9" w:rsidP="007F5BF9">
      <w:pPr>
        <w:pStyle w:val="BodyText"/>
        <w:rPr>
          <w:noProof/>
          <w:lang w:eastAsia="en-US"/>
        </w:rPr>
      </w:pPr>
      <w:r>
        <w:rPr>
          <w:noProof/>
          <w:lang w:eastAsia="en-US"/>
        </w:rPr>
        <w:lastRenderedPageBreak/>
        <w:drawing>
          <wp:inline distT="0" distB="0" distL="0" distR="0">
            <wp:extent cx="5943600" cy="3627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27120"/>
                    </a:xfrm>
                    <a:prstGeom prst="rect">
                      <a:avLst/>
                    </a:prstGeom>
                    <a:noFill/>
                    <a:ln>
                      <a:noFill/>
                    </a:ln>
                  </pic:spPr>
                </pic:pic>
              </a:graphicData>
            </a:graphic>
          </wp:inline>
        </w:drawing>
      </w:r>
    </w:p>
    <w:p w:rsidR="007F5BF9" w:rsidRDefault="007F5BF9" w:rsidP="007F5BF9">
      <w:pPr>
        <w:pStyle w:val="BodyText"/>
        <w:rPr>
          <w:i/>
        </w:rPr>
      </w:pPr>
      <w:r>
        <w:rPr>
          <w:noProof/>
          <w:lang w:eastAsia="en-US"/>
        </w:rPr>
        <w:t xml:space="preserve">                                      </w:t>
      </w:r>
      <w:r>
        <w:rPr>
          <w:i/>
        </w:rPr>
        <w:t>Service Transition – In Agile Model</w:t>
      </w:r>
    </w:p>
    <w:p w:rsidR="007F5BF9" w:rsidRDefault="007F5BF9" w:rsidP="007F5BF9">
      <w:pPr>
        <w:pStyle w:val="BodyText"/>
      </w:pPr>
    </w:p>
    <w:p w:rsidR="007F5BF9" w:rsidRDefault="007F5BF9" w:rsidP="007F5BF9">
      <w:pPr>
        <w:pStyle w:val="BodyText"/>
      </w:pPr>
    </w:p>
    <w:p w:rsidR="007F5BF9" w:rsidRDefault="007F5BF9" w:rsidP="007F5BF9">
      <w:pPr>
        <w:pStyle w:val="BodyText"/>
        <w:rPr>
          <w:b/>
        </w:rPr>
      </w:pPr>
      <w:r>
        <w:rPr>
          <w:b/>
        </w:rPr>
        <w:t>Tasks and Deliverables: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2"/>
        <w:gridCol w:w="4688"/>
      </w:tblGrid>
      <w:tr w:rsidR="007F5BF9" w:rsidTr="007F5BF9">
        <w:tc>
          <w:tcPr>
            <w:tcW w:w="4788" w:type="dxa"/>
            <w:tcBorders>
              <w:top w:val="single" w:sz="4" w:space="0" w:color="auto"/>
              <w:left w:val="single" w:sz="4" w:space="0" w:color="auto"/>
              <w:bottom w:val="single" w:sz="12" w:space="0" w:color="auto"/>
              <w:right w:val="single" w:sz="4" w:space="0" w:color="auto"/>
            </w:tcBorders>
            <w:shd w:val="clear" w:color="auto" w:fill="BFBFBF"/>
            <w:hideMark/>
          </w:tcPr>
          <w:p w:rsidR="007F5BF9" w:rsidRDefault="007F5BF9">
            <w:pPr>
              <w:pStyle w:val="BodyText"/>
            </w:pPr>
            <w:r>
              <w:t>Tasks</w:t>
            </w:r>
          </w:p>
        </w:tc>
        <w:tc>
          <w:tcPr>
            <w:tcW w:w="4788" w:type="dxa"/>
            <w:tcBorders>
              <w:top w:val="single" w:sz="4" w:space="0" w:color="auto"/>
              <w:left w:val="single" w:sz="4" w:space="0" w:color="auto"/>
              <w:bottom w:val="single" w:sz="12" w:space="0" w:color="auto"/>
              <w:right w:val="single" w:sz="4" w:space="0" w:color="auto"/>
            </w:tcBorders>
            <w:shd w:val="clear" w:color="auto" w:fill="BFBFBF"/>
            <w:hideMark/>
          </w:tcPr>
          <w:p w:rsidR="007F5BF9" w:rsidRDefault="007F5BF9">
            <w:pPr>
              <w:pStyle w:val="BodyText"/>
            </w:pPr>
            <w:r>
              <w:t>Deliverables</w:t>
            </w:r>
          </w:p>
        </w:tc>
      </w:tr>
      <w:tr w:rsidR="007F5BF9" w:rsidTr="007F5BF9">
        <w:tc>
          <w:tcPr>
            <w:tcW w:w="9576" w:type="dxa"/>
            <w:gridSpan w:val="2"/>
            <w:tcBorders>
              <w:top w:val="single" w:sz="4" w:space="0" w:color="auto"/>
              <w:left w:val="single" w:sz="4" w:space="0" w:color="auto"/>
              <w:bottom w:val="single" w:sz="4" w:space="0" w:color="auto"/>
              <w:right w:val="single" w:sz="4" w:space="0" w:color="auto"/>
            </w:tcBorders>
            <w:hideMark/>
          </w:tcPr>
          <w:p w:rsidR="007F5BF9" w:rsidRDefault="007F5BF9">
            <w:pPr>
              <w:pStyle w:val="BodyText"/>
              <w:rPr>
                <w:b/>
              </w:rPr>
            </w:pPr>
            <w:r>
              <w:rPr>
                <w:b/>
              </w:rPr>
              <w:t>Method Adoption Workshop</w:t>
            </w:r>
          </w:p>
        </w:tc>
      </w:tr>
      <w:tr w:rsidR="007F5BF9" w:rsidTr="007F5BF9">
        <w:tc>
          <w:tcPr>
            <w:tcW w:w="4788" w:type="dxa"/>
            <w:tcBorders>
              <w:top w:val="single" w:sz="4" w:space="0" w:color="auto"/>
              <w:left w:val="single" w:sz="4" w:space="0" w:color="auto"/>
              <w:bottom w:val="single" w:sz="4" w:space="0" w:color="auto"/>
              <w:right w:val="single" w:sz="4" w:space="0" w:color="auto"/>
            </w:tcBorders>
          </w:tcPr>
          <w:p w:rsidR="007F5BF9" w:rsidRDefault="007F5BF9" w:rsidP="000642F3">
            <w:pPr>
              <w:pStyle w:val="BodyText"/>
              <w:numPr>
                <w:ilvl w:val="0"/>
                <w:numId w:val="6"/>
              </w:numPr>
            </w:pPr>
            <w:r>
              <w:t>Process Framework</w:t>
            </w:r>
          </w:p>
          <w:p w:rsidR="007F5BF9" w:rsidRDefault="007F5BF9" w:rsidP="000642F3">
            <w:pPr>
              <w:pStyle w:val="BodyText"/>
              <w:numPr>
                <w:ilvl w:val="0"/>
                <w:numId w:val="6"/>
              </w:numPr>
            </w:pPr>
            <w:r>
              <w:t>SLAs (if already configured)</w:t>
            </w:r>
          </w:p>
          <w:p w:rsidR="007F5BF9" w:rsidRDefault="007F5BF9" w:rsidP="000642F3">
            <w:pPr>
              <w:pStyle w:val="BodyText"/>
              <w:numPr>
                <w:ilvl w:val="0"/>
                <w:numId w:val="6"/>
              </w:numPr>
            </w:pPr>
            <w:r>
              <w:t>Tools (if implemented and Operational)</w:t>
            </w:r>
          </w:p>
          <w:p w:rsidR="007F5BF9" w:rsidRDefault="007F5BF9">
            <w:pPr>
              <w:pStyle w:val="BodyText"/>
            </w:pPr>
          </w:p>
        </w:tc>
        <w:tc>
          <w:tcPr>
            <w:tcW w:w="4788" w:type="dxa"/>
            <w:tcBorders>
              <w:top w:val="single" w:sz="4" w:space="0" w:color="auto"/>
              <w:left w:val="single" w:sz="4" w:space="0" w:color="auto"/>
              <w:bottom w:val="single" w:sz="4" w:space="0" w:color="auto"/>
              <w:right w:val="single" w:sz="4" w:space="0" w:color="auto"/>
            </w:tcBorders>
          </w:tcPr>
          <w:p w:rsidR="007F5BF9" w:rsidRDefault="007F5BF9" w:rsidP="000642F3">
            <w:pPr>
              <w:pStyle w:val="BodyText"/>
              <w:numPr>
                <w:ilvl w:val="0"/>
                <w:numId w:val="7"/>
              </w:numPr>
            </w:pPr>
            <w:r>
              <w:t>Gaps and Plan of Actions for delivering Standard Operational Processes (SOP)</w:t>
            </w:r>
          </w:p>
          <w:p w:rsidR="007F5BF9" w:rsidRDefault="007F5BF9" w:rsidP="000642F3">
            <w:pPr>
              <w:pStyle w:val="BodyText"/>
              <w:numPr>
                <w:ilvl w:val="0"/>
                <w:numId w:val="7"/>
              </w:numPr>
            </w:pPr>
            <w:r>
              <w:t>Gaps and Plan of Actions for understanding pre-configured SLAs &amp; Reporting formats (if available)</w:t>
            </w:r>
          </w:p>
          <w:p w:rsidR="007F5BF9" w:rsidRDefault="007F5BF9" w:rsidP="000642F3">
            <w:pPr>
              <w:pStyle w:val="BodyText"/>
              <w:numPr>
                <w:ilvl w:val="0"/>
                <w:numId w:val="7"/>
              </w:numPr>
            </w:pPr>
            <w:r>
              <w:t>Gaps and action plans on tools for ticket handling</w:t>
            </w:r>
          </w:p>
          <w:p w:rsidR="007F5BF9" w:rsidRDefault="007F5BF9">
            <w:pPr>
              <w:pStyle w:val="BodyText"/>
            </w:pPr>
          </w:p>
        </w:tc>
      </w:tr>
      <w:tr w:rsidR="007F5BF9" w:rsidTr="007F5BF9">
        <w:tc>
          <w:tcPr>
            <w:tcW w:w="9576" w:type="dxa"/>
            <w:gridSpan w:val="2"/>
            <w:tcBorders>
              <w:top w:val="single" w:sz="4" w:space="0" w:color="auto"/>
              <w:left w:val="single" w:sz="4" w:space="0" w:color="auto"/>
              <w:bottom w:val="single" w:sz="4" w:space="0" w:color="auto"/>
              <w:right w:val="single" w:sz="4" w:space="0" w:color="auto"/>
            </w:tcBorders>
            <w:hideMark/>
          </w:tcPr>
          <w:p w:rsidR="007F5BF9" w:rsidRDefault="007F5BF9">
            <w:pPr>
              <w:pStyle w:val="BodyText"/>
              <w:rPr>
                <w:b/>
              </w:rPr>
            </w:pPr>
            <w:r>
              <w:rPr>
                <w:b/>
              </w:rPr>
              <w:t>Define and Document</w:t>
            </w:r>
          </w:p>
        </w:tc>
      </w:tr>
      <w:tr w:rsidR="007F5BF9" w:rsidTr="007F5BF9">
        <w:tc>
          <w:tcPr>
            <w:tcW w:w="4788" w:type="dxa"/>
            <w:tcBorders>
              <w:top w:val="single" w:sz="4" w:space="0" w:color="auto"/>
              <w:left w:val="single" w:sz="4" w:space="0" w:color="auto"/>
              <w:bottom w:val="single" w:sz="4" w:space="0" w:color="auto"/>
              <w:right w:val="single" w:sz="4" w:space="0" w:color="auto"/>
            </w:tcBorders>
          </w:tcPr>
          <w:p w:rsidR="007F5BF9" w:rsidRDefault="007F5BF9">
            <w:pPr>
              <w:pStyle w:val="BodyText"/>
            </w:pPr>
            <w:r>
              <w:t>Define and document SOPs, as per the scope identified</w:t>
            </w:r>
          </w:p>
          <w:p w:rsidR="007F5BF9" w:rsidRDefault="007F5BF9">
            <w:pPr>
              <w:pStyle w:val="BodyText"/>
            </w:pPr>
          </w:p>
        </w:tc>
        <w:tc>
          <w:tcPr>
            <w:tcW w:w="4788" w:type="dxa"/>
            <w:tcBorders>
              <w:top w:val="single" w:sz="4" w:space="0" w:color="auto"/>
              <w:left w:val="single" w:sz="4" w:space="0" w:color="auto"/>
              <w:bottom w:val="single" w:sz="4" w:space="0" w:color="auto"/>
              <w:right w:val="single" w:sz="4" w:space="0" w:color="auto"/>
            </w:tcBorders>
          </w:tcPr>
          <w:p w:rsidR="007F5BF9" w:rsidRDefault="007F5BF9" w:rsidP="000642F3">
            <w:pPr>
              <w:pStyle w:val="BodyText"/>
              <w:numPr>
                <w:ilvl w:val="0"/>
                <w:numId w:val="8"/>
              </w:numPr>
            </w:pPr>
            <w:r>
              <w:t>PFDs &amp; Process Description documents with associated artefacts</w:t>
            </w:r>
          </w:p>
          <w:p w:rsidR="007F5BF9" w:rsidRDefault="007F5BF9" w:rsidP="000642F3">
            <w:pPr>
              <w:pStyle w:val="BodyText"/>
              <w:numPr>
                <w:ilvl w:val="0"/>
                <w:numId w:val="8"/>
              </w:numPr>
            </w:pPr>
            <w:r>
              <w:t>Documented As-Is SLA Framework</w:t>
            </w:r>
          </w:p>
          <w:p w:rsidR="007F5BF9" w:rsidRDefault="007F5BF9" w:rsidP="000642F3">
            <w:pPr>
              <w:pStyle w:val="BodyText"/>
              <w:numPr>
                <w:ilvl w:val="0"/>
                <w:numId w:val="8"/>
              </w:numPr>
            </w:pPr>
            <w:r>
              <w:lastRenderedPageBreak/>
              <w:t>Report on tools (Gaps and  Recommendations)</w:t>
            </w:r>
          </w:p>
          <w:p w:rsidR="007F5BF9" w:rsidRDefault="007F5BF9">
            <w:pPr>
              <w:pStyle w:val="BodyText"/>
            </w:pPr>
          </w:p>
        </w:tc>
      </w:tr>
      <w:tr w:rsidR="007F5BF9" w:rsidTr="007F5BF9">
        <w:tc>
          <w:tcPr>
            <w:tcW w:w="9576" w:type="dxa"/>
            <w:gridSpan w:val="2"/>
            <w:tcBorders>
              <w:top w:val="single" w:sz="4" w:space="0" w:color="auto"/>
              <w:left w:val="single" w:sz="4" w:space="0" w:color="auto"/>
              <w:bottom w:val="single" w:sz="4" w:space="0" w:color="auto"/>
              <w:right w:val="single" w:sz="4" w:space="0" w:color="auto"/>
            </w:tcBorders>
            <w:hideMark/>
          </w:tcPr>
          <w:p w:rsidR="007F5BF9" w:rsidRDefault="007F5BF9">
            <w:pPr>
              <w:pStyle w:val="BodyText"/>
              <w:rPr>
                <w:b/>
              </w:rPr>
            </w:pPr>
            <w:r>
              <w:rPr>
                <w:b/>
              </w:rPr>
              <w:lastRenderedPageBreak/>
              <w:t>Training Phase</w:t>
            </w:r>
          </w:p>
        </w:tc>
      </w:tr>
      <w:tr w:rsidR="007F5BF9" w:rsidTr="007F5BF9">
        <w:tc>
          <w:tcPr>
            <w:tcW w:w="4788" w:type="dxa"/>
            <w:tcBorders>
              <w:top w:val="single" w:sz="4" w:space="0" w:color="auto"/>
              <w:left w:val="single" w:sz="4" w:space="0" w:color="auto"/>
              <w:bottom w:val="single" w:sz="4" w:space="0" w:color="auto"/>
              <w:right w:val="single" w:sz="4" w:space="0" w:color="auto"/>
            </w:tcBorders>
          </w:tcPr>
          <w:p w:rsidR="007F5BF9" w:rsidRDefault="007F5BF9">
            <w:pPr>
              <w:pStyle w:val="BodyText"/>
            </w:pPr>
            <w:r>
              <w:t xml:space="preserve">Train the  Delivery Teams on </w:t>
            </w:r>
          </w:p>
          <w:p w:rsidR="007F5BF9" w:rsidRDefault="007F5BF9" w:rsidP="000642F3">
            <w:pPr>
              <w:pStyle w:val="BodyText"/>
              <w:numPr>
                <w:ilvl w:val="0"/>
                <w:numId w:val="9"/>
              </w:numPr>
            </w:pPr>
            <w:r>
              <w:t>SOPs (Both AM &amp; AD)</w:t>
            </w:r>
          </w:p>
          <w:p w:rsidR="007F5BF9" w:rsidRDefault="007F5BF9" w:rsidP="000642F3">
            <w:pPr>
              <w:pStyle w:val="BodyText"/>
              <w:numPr>
                <w:ilvl w:val="0"/>
                <w:numId w:val="9"/>
              </w:numPr>
            </w:pPr>
            <w:r>
              <w:t>SLAs (As-Is) &amp; Tool usage</w:t>
            </w:r>
          </w:p>
          <w:p w:rsidR="007F5BF9" w:rsidRDefault="007F5BF9">
            <w:pPr>
              <w:pStyle w:val="BodyText"/>
            </w:pPr>
          </w:p>
        </w:tc>
        <w:tc>
          <w:tcPr>
            <w:tcW w:w="4788" w:type="dxa"/>
            <w:tcBorders>
              <w:top w:val="single" w:sz="4" w:space="0" w:color="auto"/>
              <w:left w:val="single" w:sz="4" w:space="0" w:color="auto"/>
              <w:bottom w:val="single" w:sz="4" w:space="0" w:color="auto"/>
              <w:right w:val="single" w:sz="4" w:space="0" w:color="auto"/>
            </w:tcBorders>
          </w:tcPr>
          <w:p w:rsidR="007F5BF9" w:rsidRDefault="007F5BF9">
            <w:pPr>
              <w:pStyle w:val="BodyText"/>
            </w:pPr>
            <w:r>
              <w:t>Training the Delivery teams on</w:t>
            </w:r>
          </w:p>
          <w:p w:rsidR="007F5BF9" w:rsidRDefault="007F5BF9" w:rsidP="000642F3">
            <w:pPr>
              <w:pStyle w:val="BodyText"/>
              <w:numPr>
                <w:ilvl w:val="0"/>
                <w:numId w:val="10"/>
              </w:numPr>
            </w:pPr>
            <w:r>
              <w:t>Newly developed / refined Processes</w:t>
            </w:r>
          </w:p>
          <w:p w:rsidR="007F5BF9" w:rsidRDefault="007F5BF9" w:rsidP="000642F3">
            <w:pPr>
              <w:pStyle w:val="BodyText"/>
              <w:numPr>
                <w:ilvl w:val="0"/>
                <w:numId w:val="10"/>
              </w:numPr>
            </w:pPr>
            <w:r>
              <w:t>As-Is SLA Framework / Tool Usage</w:t>
            </w:r>
          </w:p>
          <w:p w:rsidR="007F5BF9" w:rsidRDefault="007F5BF9">
            <w:pPr>
              <w:pStyle w:val="BodyText"/>
              <w:ind w:left="360"/>
            </w:pPr>
          </w:p>
        </w:tc>
      </w:tr>
      <w:tr w:rsidR="007F5BF9" w:rsidTr="007F5BF9">
        <w:tc>
          <w:tcPr>
            <w:tcW w:w="9576" w:type="dxa"/>
            <w:gridSpan w:val="2"/>
            <w:tcBorders>
              <w:top w:val="single" w:sz="4" w:space="0" w:color="auto"/>
              <w:left w:val="single" w:sz="4" w:space="0" w:color="auto"/>
              <w:bottom w:val="single" w:sz="4" w:space="0" w:color="auto"/>
              <w:right w:val="single" w:sz="4" w:space="0" w:color="auto"/>
            </w:tcBorders>
            <w:hideMark/>
          </w:tcPr>
          <w:p w:rsidR="007F5BF9" w:rsidRDefault="007F5BF9">
            <w:pPr>
              <w:pStyle w:val="BodyText"/>
              <w:rPr>
                <w:b/>
              </w:rPr>
            </w:pPr>
            <w:r>
              <w:rPr>
                <w:b/>
              </w:rPr>
              <w:t>Implementation Phase</w:t>
            </w:r>
          </w:p>
        </w:tc>
      </w:tr>
      <w:tr w:rsidR="007F5BF9" w:rsidTr="007F5BF9">
        <w:tc>
          <w:tcPr>
            <w:tcW w:w="4788" w:type="dxa"/>
            <w:tcBorders>
              <w:top w:val="single" w:sz="4" w:space="0" w:color="auto"/>
              <w:left w:val="single" w:sz="4" w:space="0" w:color="auto"/>
              <w:bottom w:val="single" w:sz="4" w:space="0" w:color="auto"/>
              <w:right w:val="single" w:sz="4" w:space="0" w:color="auto"/>
            </w:tcBorders>
          </w:tcPr>
          <w:p w:rsidR="007F5BF9" w:rsidRDefault="007F5BF9">
            <w:pPr>
              <w:pStyle w:val="BodyText"/>
            </w:pPr>
            <w:r>
              <w:t>Implement and roll out the defined processes</w:t>
            </w:r>
          </w:p>
          <w:p w:rsidR="007F5BF9" w:rsidRDefault="007F5BF9">
            <w:pPr>
              <w:pStyle w:val="BodyText"/>
            </w:pPr>
          </w:p>
        </w:tc>
        <w:tc>
          <w:tcPr>
            <w:tcW w:w="4788" w:type="dxa"/>
            <w:tcBorders>
              <w:top w:val="single" w:sz="4" w:space="0" w:color="auto"/>
              <w:left w:val="single" w:sz="4" w:space="0" w:color="auto"/>
              <w:bottom w:val="single" w:sz="4" w:space="0" w:color="auto"/>
              <w:right w:val="single" w:sz="4" w:space="0" w:color="auto"/>
            </w:tcBorders>
          </w:tcPr>
          <w:p w:rsidR="007F5BF9" w:rsidRDefault="007F5BF9">
            <w:pPr>
              <w:pStyle w:val="BodyText"/>
            </w:pPr>
            <w:r>
              <w:t>Resources start working as defined</w:t>
            </w:r>
          </w:p>
          <w:p w:rsidR="007F5BF9" w:rsidRDefault="007F5BF9">
            <w:pPr>
              <w:pStyle w:val="BodyText"/>
              <w:ind w:left="360"/>
            </w:pPr>
          </w:p>
        </w:tc>
      </w:tr>
    </w:tbl>
    <w:p w:rsidR="007F5BF9" w:rsidRDefault="007F5BF9" w:rsidP="007F5BF9">
      <w:pPr>
        <w:pStyle w:val="BodyText"/>
        <w:ind w:left="360"/>
      </w:pPr>
    </w:p>
    <w:p w:rsidR="007F5BF9" w:rsidRDefault="007F5BF9" w:rsidP="007F5BF9">
      <w:pPr>
        <w:pStyle w:val="BodyText"/>
      </w:pPr>
      <w:r>
        <w:rPr>
          <w:b/>
        </w:rPr>
        <w:t>Timeline for the service transition will be as</w:t>
      </w:r>
      <w:r>
        <w:t>:</w:t>
      </w:r>
    </w:p>
    <w:p w:rsidR="007F5BF9" w:rsidRDefault="007F5BF9" w:rsidP="007F5BF9">
      <w:pPr>
        <w:pStyle w:val="BodyText"/>
        <w:rPr>
          <w:noProof/>
          <w:lang w:eastAsia="en-US"/>
        </w:rPr>
      </w:pPr>
      <w:r>
        <w:rPr>
          <w:noProof/>
          <w:lang w:eastAsia="en-US"/>
        </w:rPr>
        <w:drawing>
          <wp:inline distT="0" distB="0" distL="0" distR="0">
            <wp:extent cx="5943600" cy="822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822960"/>
                    </a:xfrm>
                    <a:prstGeom prst="rect">
                      <a:avLst/>
                    </a:prstGeom>
                    <a:noFill/>
                    <a:ln>
                      <a:noFill/>
                    </a:ln>
                  </pic:spPr>
                </pic:pic>
              </a:graphicData>
            </a:graphic>
          </wp:inline>
        </w:drawing>
      </w:r>
    </w:p>
    <w:p w:rsidR="007F5BF9" w:rsidRDefault="007F5BF9" w:rsidP="007F5BF9">
      <w:pPr>
        <w:pStyle w:val="BodyText"/>
      </w:pPr>
      <w:r>
        <w:rPr>
          <w:noProof/>
          <w:lang w:eastAsia="en-US"/>
        </w:rPr>
        <w:drawing>
          <wp:inline distT="0" distB="0" distL="0" distR="0">
            <wp:extent cx="595122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1220" cy="1028700"/>
                    </a:xfrm>
                    <a:prstGeom prst="rect">
                      <a:avLst/>
                    </a:prstGeom>
                    <a:noFill/>
                    <a:ln>
                      <a:noFill/>
                    </a:ln>
                  </pic:spPr>
                </pic:pic>
              </a:graphicData>
            </a:graphic>
          </wp:inline>
        </w:drawing>
      </w:r>
    </w:p>
    <w:p w:rsidR="007F5BF9" w:rsidRDefault="007F5BF9" w:rsidP="007F5BF9">
      <w:pPr>
        <w:pStyle w:val="BodyText"/>
      </w:pPr>
    </w:p>
    <w:p w:rsidR="007F5BF9" w:rsidRDefault="007F5BF9" w:rsidP="007F5BF9">
      <w:pPr>
        <w:pStyle w:val="Heading3"/>
        <w:rPr>
          <w:noProof/>
          <w:lang w:eastAsia="en-US"/>
        </w:rPr>
      </w:pPr>
      <w:bookmarkStart w:id="6" w:name="_Toc484708036"/>
      <w:r>
        <w:rPr>
          <w:color w:val="auto"/>
          <w:sz w:val="24"/>
          <w:szCs w:val="24"/>
        </w:rPr>
        <w:t>Transition Assumptions and Risks</w:t>
      </w:r>
      <w:bookmarkEnd w:id="6"/>
    </w:p>
    <w:p w:rsidR="007F5BF9" w:rsidRDefault="007F5BF9" w:rsidP="007F5BF9">
      <w:pPr>
        <w:pStyle w:val="BodyText"/>
        <w:jc w:val="both"/>
        <w:rPr>
          <w:bCs/>
          <w:lang w:val="en-GB"/>
        </w:rPr>
      </w:pPr>
      <w:r>
        <w:rPr>
          <w:bCs/>
          <w:lang w:val="en-GB"/>
        </w:rPr>
        <w:t>Transition Risks and Mitigations are outlined in the table below:</w:t>
      </w:r>
    </w:p>
    <w:p w:rsidR="007F5BF9" w:rsidRDefault="007F5BF9" w:rsidP="007F5BF9">
      <w:pPr>
        <w:pStyle w:val="BodyText"/>
        <w:jc w:val="both"/>
        <w:rPr>
          <w:bCs/>
          <w:lang w:val="en-GB"/>
        </w:rPr>
      </w:pPr>
    </w:p>
    <w:tbl>
      <w:tblPr>
        <w:tblW w:w="1043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545"/>
        <w:gridCol w:w="3401"/>
        <w:gridCol w:w="5486"/>
      </w:tblGrid>
      <w:tr w:rsidR="007F5BF9" w:rsidTr="007F5BF9">
        <w:trPr>
          <w:trHeight w:val="287"/>
        </w:trPr>
        <w:tc>
          <w:tcPr>
            <w:tcW w:w="1413" w:type="dxa"/>
            <w:tcBorders>
              <w:top w:val="single" w:sz="4" w:space="0" w:color="auto"/>
              <w:left w:val="single" w:sz="4" w:space="0" w:color="auto"/>
              <w:bottom w:val="single" w:sz="4" w:space="0" w:color="auto"/>
              <w:right w:val="single" w:sz="4" w:space="0" w:color="auto"/>
            </w:tcBorders>
            <w:shd w:val="clear" w:color="auto" w:fill="D9D9D9"/>
            <w:tcMar>
              <w:top w:w="54" w:type="dxa"/>
              <w:left w:w="108" w:type="dxa"/>
              <w:bottom w:w="54" w:type="dxa"/>
              <w:right w:w="108" w:type="dxa"/>
            </w:tcMar>
            <w:hideMark/>
          </w:tcPr>
          <w:p w:rsidR="007F5BF9" w:rsidRDefault="007F5BF9">
            <w:pPr>
              <w:pStyle w:val="BodyText"/>
              <w:ind w:left="360"/>
              <w:jc w:val="center"/>
              <w:rPr>
                <w:bCs/>
              </w:rPr>
            </w:pPr>
            <w:r>
              <w:rPr>
                <w:b/>
                <w:bCs/>
                <w:lang w:val="en-GB"/>
              </w:rPr>
              <w:t>Definition</w:t>
            </w:r>
          </w:p>
        </w:tc>
        <w:tc>
          <w:tcPr>
            <w:tcW w:w="3440" w:type="dxa"/>
            <w:tcBorders>
              <w:top w:val="single" w:sz="4" w:space="0" w:color="auto"/>
              <w:left w:val="single" w:sz="4" w:space="0" w:color="auto"/>
              <w:bottom w:val="single" w:sz="4" w:space="0" w:color="auto"/>
              <w:right w:val="single" w:sz="4" w:space="0" w:color="auto"/>
            </w:tcBorders>
            <w:shd w:val="clear" w:color="auto" w:fill="D9D9D9"/>
            <w:tcMar>
              <w:top w:w="54" w:type="dxa"/>
              <w:left w:w="108" w:type="dxa"/>
              <w:bottom w:w="54" w:type="dxa"/>
              <w:right w:w="108" w:type="dxa"/>
            </w:tcMar>
            <w:hideMark/>
          </w:tcPr>
          <w:p w:rsidR="007F5BF9" w:rsidRDefault="007F5BF9">
            <w:pPr>
              <w:pStyle w:val="BodyText"/>
              <w:ind w:left="360"/>
              <w:jc w:val="center"/>
              <w:rPr>
                <w:bCs/>
              </w:rPr>
            </w:pPr>
            <w:r>
              <w:rPr>
                <w:b/>
                <w:bCs/>
                <w:lang w:val="en-GB"/>
              </w:rPr>
              <w:t>Description</w:t>
            </w:r>
          </w:p>
        </w:tc>
        <w:tc>
          <w:tcPr>
            <w:tcW w:w="5579" w:type="dxa"/>
            <w:tcBorders>
              <w:top w:val="single" w:sz="4" w:space="0" w:color="auto"/>
              <w:left w:val="single" w:sz="4" w:space="0" w:color="auto"/>
              <w:bottom w:val="single" w:sz="4" w:space="0" w:color="auto"/>
              <w:right w:val="single" w:sz="4" w:space="0" w:color="auto"/>
            </w:tcBorders>
            <w:shd w:val="clear" w:color="auto" w:fill="D9D9D9"/>
            <w:tcMar>
              <w:top w:w="54" w:type="dxa"/>
              <w:left w:w="108" w:type="dxa"/>
              <w:bottom w:w="54" w:type="dxa"/>
              <w:right w:w="108" w:type="dxa"/>
            </w:tcMar>
            <w:hideMark/>
          </w:tcPr>
          <w:p w:rsidR="007F5BF9" w:rsidRDefault="007F5BF9">
            <w:pPr>
              <w:pStyle w:val="BodyText"/>
              <w:ind w:left="360"/>
              <w:jc w:val="center"/>
              <w:rPr>
                <w:bCs/>
              </w:rPr>
            </w:pPr>
            <w:r>
              <w:rPr>
                <w:b/>
                <w:bCs/>
                <w:lang w:val="en-GB"/>
              </w:rPr>
              <w:t>Risk Mitigation</w:t>
            </w:r>
          </w:p>
        </w:tc>
      </w:tr>
      <w:tr w:rsidR="007F5BF9" w:rsidTr="007F5BF9">
        <w:trPr>
          <w:trHeight w:val="541"/>
        </w:trPr>
        <w:tc>
          <w:tcPr>
            <w:tcW w:w="1413" w:type="dxa"/>
            <w:tcBorders>
              <w:top w:val="single" w:sz="4" w:space="0" w:color="auto"/>
              <w:left w:val="single" w:sz="4" w:space="0" w:color="auto"/>
              <w:bottom w:val="single" w:sz="4" w:space="0" w:color="auto"/>
              <w:right w:val="single" w:sz="4" w:space="0" w:color="auto"/>
            </w:tcBorders>
            <w:tcMar>
              <w:top w:w="11" w:type="dxa"/>
              <w:left w:w="11" w:type="dxa"/>
              <w:bottom w:w="0" w:type="dxa"/>
              <w:right w:w="11" w:type="dxa"/>
            </w:tcMar>
            <w:hideMark/>
          </w:tcPr>
          <w:p w:rsidR="007F5BF9" w:rsidRDefault="007F5BF9">
            <w:pPr>
              <w:pStyle w:val="BodyText"/>
              <w:rPr>
                <w:bCs/>
                <w:lang w:val="en-GB"/>
              </w:rPr>
            </w:pPr>
            <w:r>
              <w:rPr>
                <w:bCs/>
                <w:lang w:val="en-GB"/>
              </w:rPr>
              <w:t>Process knowledge gaps</w:t>
            </w:r>
          </w:p>
        </w:tc>
        <w:tc>
          <w:tcPr>
            <w:tcW w:w="3440" w:type="dxa"/>
            <w:tcBorders>
              <w:top w:val="single" w:sz="4" w:space="0" w:color="auto"/>
              <w:left w:val="single" w:sz="4" w:space="0" w:color="auto"/>
              <w:bottom w:val="single" w:sz="4" w:space="0" w:color="auto"/>
              <w:right w:val="single" w:sz="4" w:space="0" w:color="auto"/>
            </w:tcBorders>
            <w:hideMark/>
          </w:tcPr>
          <w:p w:rsidR="007F5BF9" w:rsidRDefault="007F5BF9">
            <w:pPr>
              <w:pStyle w:val="BodyText"/>
              <w:rPr>
                <w:bCs/>
              </w:rPr>
            </w:pPr>
            <w:r>
              <w:rPr>
                <w:bCs/>
                <w:lang w:val="en-GB"/>
              </w:rPr>
              <w:t>Incomplete and out of sync process documentation and reliance on people for such knowledge</w:t>
            </w:r>
          </w:p>
        </w:tc>
        <w:tc>
          <w:tcPr>
            <w:tcW w:w="5579" w:type="dxa"/>
            <w:tcBorders>
              <w:top w:val="single" w:sz="4" w:space="0" w:color="auto"/>
              <w:left w:val="single" w:sz="4" w:space="0" w:color="auto"/>
              <w:bottom w:val="single" w:sz="4" w:space="0" w:color="auto"/>
              <w:right w:val="single" w:sz="4" w:space="0" w:color="auto"/>
            </w:tcBorders>
            <w:tcMar>
              <w:top w:w="11" w:type="dxa"/>
              <w:left w:w="11" w:type="dxa"/>
              <w:bottom w:w="0" w:type="dxa"/>
              <w:right w:w="11" w:type="dxa"/>
            </w:tcMar>
            <w:hideMark/>
          </w:tcPr>
          <w:p w:rsidR="007F5BF9" w:rsidRDefault="007F5BF9">
            <w:pPr>
              <w:pStyle w:val="BodyText"/>
              <w:rPr>
                <w:bCs/>
                <w:lang w:val="en-GB"/>
              </w:rPr>
            </w:pPr>
            <w:r>
              <w:rPr>
                <w:bCs/>
                <w:lang w:val="en-GB"/>
              </w:rPr>
              <w:t>Define transformation plan for updating and maintaining process knowledge</w:t>
            </w:r>
          </w:p>
        </w:tc>
      </w:tr>
      <w:tr w:rsidR="007F5BF9" w:rsidTr="007F5BF9">
        <w:trPr>
          <w:trHeight w:val="806"/>
        </w:trPr>
        <w:tc>
          <w:tcPr>
            <w:tcW w:w="1413" w:type="dxa"/>
            <w:tcBorders>
              <w:top w:val="single" w:sz="4" w:space="0" w:color="auto"/>
              <w:left w:val="single" w:sz="4" w:space="0" w:color="auto"/>
              <w:bottom w:val="single" w:sz="4" w:space="0" w:color="auto"/>
              <w:right w:val="single" w:sz="4" w:space="0" w:color="auto"/>
            </w:tcBorders>
            <w:tcMar>
              <w:top w:w="11" w:type="dxa"/>
              <w:left w:w="11" w:type="dxa"/>
              <w:bottom w:w="0" w:type="dxa"/>
              <w:right w:w="11" w:type="dxa"/>
            </w:tcMar>
            <w:hideMark/>
          </w:tcPr>
          <w:p w:rsidR="007F5BF9" w:rsidRDefault="007F5BF9">
            <w:pPr>
              <w:pStyle w:val="BodyText"/>
              <w:rPr>
                <w:bCs/>
                <w:lang w:val="en-GB"/>
              </w:rPr>
            </w:pPr>
            <w:r>
              <w:rPr>
                <w:bCs/>
                <w:lang w:val="en-GB"/>
              </w:rPr>
              <w:t>SMEs unavailability</w:t>
            </w:r>
          </w:p>
        </w:tc>
        <w:tc>
          <w:tcPr>
            <w:tcW w:w="3440" w:type="dxa"/>
            <w:tcBorders>
              <w:top w:val="single" w:sz="4" w:space="0" w:color="auto"/>
              <w:left w:val="single" w:sz="4" w:space="0" w:color="auto"/>
              <w:bottom w:val="single" w:sz="4" w:space="0" w:color="auto"/>
              <w:right w:val="single" w:sz="4" w:space="0" w:color="auto"/>
            </w:tcBorders>
            <w:tcMar>
              <w:top w:w="11" w:type="dxa"/>
              <w:left w:w="11" w:type="dxa"/>
              <w:bottom w:w="0" w:type="dxa"/>
              <w:right w:w="11" w:type="dxa"/>
            </w:tcMar>
            <w:hideMark/>
          </w:tcPr>
          <w:p w:rsidR="007F5BF9" w:rsidRDefault="007F5BF9">
            <w:pPr>
              <w:pStyle w:val="BodyText"/>
              <w:rPr>
                <w:bCs/>
                <w:lang w:val="en-GB"/>
              </w:rPr>
            </w:pPr>
            <w:r>
              <w:rPr>
                <w:bCs/>
                <w:lang w:val="en-GB"/>
              </w:rPr>
              <w:t>Limited availability &amp; access to SMEs, stakeholders and process owners</w:t>
            </w:r>
          </w:p>
        </w:tc>
        <w:tc>
          <w:tcPr>
            <w:tcW w:w="5579" w:type="dxa"/>
            <w:tcBorders>
              <w:top w:val="single" w:sz="4" w:space="0" w:color="auto"/>
              <w:left w:val="single" w:sz="4" w:space="0" w:color="auto"/>
              <w:bottom w:val="single" w:sz="4" w:space="0" w:color="auto"/>
              <w:right w:val="single" w:sz="4" w:space="0" w:color="auto"/>
            </w:tcBorders>
            <w:tcMar>
              <w:top w:w="11" w:type="dxa"/>
              <w:left w:w="11" w:type="dxa"/>
              <w:bottom w:w="0" w:type="dxa"/>
              <w:right w:w="11" w:type="dxa"/>
            </w:tcMar>
            <w:hideMark/>
          </w:tcPr>
          <w:p w:rsidR="007F5BF9" w:rsidRDefault="007F5BF9">
            <w:pPr>
              <w:pStyle w:val="BodyText"/>
              <w:rPr>
                <w:bCs/>
                <w:lang w:val="en-GB"/>
              </w:rPr>
            </w:pPr>
            <w:r>
              <w:rPr>
                <w:bCs/>
                <w:lang w:val="en-GB"/>
              </w:rPr>
              <w:t>Reinforce with support from IBM SME’s, bringing in experience and best practices in this area. Bring in “Two in the Box” (Delivery lead and SME for each business area) concept for transition and transformation</w:t>
            </w:r>
          </w:p>
        </w:tc>
      </w:tr>
      <w:tr w:rsidR="007F5BF9" w:rsidTr="007F5BF9">
        <w:trPr>
          <w:trHeight w:val="491"/>
        </w:trPr>
        <w:tc>
          <w:tcPr>
            <w:tcW w:w="1413" w:type="dxa"/>
            <w:tcBorders>
              <w:top w:val="single" w:sz="4" w:space="0" w:color="auto"/>
              <w:left w:val="single" w:sz="4" w:space="0" w:color="auto"/>
              <w:bottom w:val="single" w:sz="4" w:space="0" w:color="auto"/>
              <w:right w:val="single" w:sz="4" w:space="0" w:color="auto"/>
            </w:tcBorders>
            <w:tcMar>
              <w:top w:w="11" w:type="dxa"/>
              <w:left w:w="11" w:type="dxa"/>
              <w:bottom w:w="0" w:type="dxa"/>
              <w:right w:w="11" w:type="dxa"/>
            </w:tcMar>
            <w:hideMark/>
          </w:tcPr>
          <w:p w:rsidR="007F5BF9" w:rsidRDefault="007F5BF9">
            <w:pPr>
              <w:pStyle w:val="BodyText"/>
              <w:rPr>
                <w:bCs/>
                <w:lang w:val="en-GB"/>
              </w:rPr>
            </w:pPr>
            <w:r>
              <w:rPr>
                <w:bCs/>
                <w:lang w:val="en-GB"/>
              </w:rPr>
              <w:lastRenderedPageBreak/>
              <w:t>Engagement</w:t>
            </w:r>
          </w:p>
        </w:tc>
        <w:tc>
          <w:tcPr>
            <w:tcW w:w="3440" w:type="dxa"/>
            <w:tcBorders>
              <w:top w:val="single" w:sz="4" w:space="0" w:color="auto"/>
              <w:left w:val="single" w:sz="4" w:space="0" w:color="auto"/>
              <w:bottom w:val="single" w:sz="4" w:space="0" w:color="auto"/>
              <w:right w:val="single" w:sz="4" w:space="0" w:color="auto"/>
            </w:tcBorders>
            <w:tcMar>
              <w:top w:w="11" w:type="dxa"/>
              <w:left w:w="11" w:type="dxa"/>
              <w:bottom w:w="0" w:type="dxa"/>
              <w:right w:w="11" w:type="dxa"/>
            </w:tcMar>
            <w:hideMark/>
          </w:tcPr>
          <w:p w:rsidR="007F5BF9" w:rsidRDefault="007F5BF9">
            <w:pPr>
              <w:pStyle w:val="BodyText"/>
              <w:rPr>
                <w:bCs/>
                <w:lang w:val="en-GB"/>
              </w:rPr>
            </w:pPr>
            <w:r>
              <w:rPr>
                <w:bCs/>
                <w:lang w:val="en-GB"/>
              </w:rPr>
              <w:t>Limited Stakeholder Engagement</w:t>
            </w:r>
          </w:p>
        </w:tc>
        <w:tc>
          <w:tcPr>
            <w:tcW w:w="5579" w:type="dxa"/>
            <w:tcBorders>
              <w:top w:val="single" w:sz="4" w:space="0" w:color="auto"/>
              <w:left w:val="single" w:sz="4" w:space="0" w:color="auto"/>
              <w:bottom w:val="single" w:sz="4" w:space="0" w:color="auto"/>
              <w:right w:val="single" w:sz="4" w:space="0" w:color="auto"/>
            </w:tcBorders>
            <w:tcMar>
              <w:top w:w="11" w:type="dxa"/>
              <w:left w:w="11" w:type="dxa"/>
              <w:bottom w:w="0" w:type="dxa"/>
              <w:right w:w="11" w:type="dxa"/>
            </w:tcMar>
            <w:hideMark/>
          </w:tcPr>
          <w:p w:rsidR="007F5BF9" w:rsidRDefault="007F5BF9">
            <w:pPr>
              <w:pStyle w:val="BodyText"/>
              <w:rPr>
                <w:bCs/>
                <w:lang w:val="en-GB"/>
              </w:rPr>
            </w:pPr>
            <w:r>
              <w:rPr>
                <w:bCs/>
                <w:lang w:val="en-GB"/>
              </w:rPr>
              <w:t>Define stakeholder map and develop engagement plan with approval milestones for each transition acceptance</w:t>
            </w:r>
          </w:p>
        </w:tc>
      </w:tr>
      <w:tr w:rsidR="007F5BF9" w:rsidTr="007F5BF9">
        <w:trPr>
          <w:trHeight w:val="594"/>
        </w:trPr>
        <w:tc>
          <w:tcPr>
            <w:tcW w:w="1413" w:type="dxa"/>
            <w:tcBorders>
              <w:top w:val="single" w:sz="4" w:space="0" w:color="auto"/>
              <w:left w:val="single" w:sz="4" w:space="0" w:color="auto"/>
              <w:bottom w:val="single" w:sz="4" w:space="0" w:color="auto"/>
              <w:right w:val="single" w:sz="4" w:space="0" w:color="auto"/>
            </w:tcBorders>
            <w:tcMar>
              <w:top w:w="11" w:type="dxa"/>
              <w:left w:w="11" w:type="dxa"/>
              <w:bottom w:w="0" w:type="dxa"/>
              <w:right w:w="11" w:type="dxa"/>
            </w:tcMar>
            <w:hideMark/>
          </w:tcPr>
          <w:p w:rsidR="007F5BF9" w:rsidRDefault="007F5BF9">
            <w:pPr>
              <w:pStyle w:val="BodyText"/>
              <w:rPr>
                <w:bCs/>
                <w:lang w:val="en-GB"/>
              </w:rPr>
            </w:pPr>
            <w:r>
              <w:rPr>
                <w:bCs/>
                <w:lang w:val="en-GB"/>
              </w:rPr>
              <w:t>Documentation</w:t>
            </w:r>
          </w:p>
        </w:tc>
        <w:tc>
          <w:tcPr>
            <w:tcW w:w="3440" w:type="dxa"/>
            <w:tcBorders>
              <w:top w:val="single" w:sz="4" w:space="0" w:color="auto"/>
              <w:left w:val="single" w:sz="4" w:space="0" w:color="auto"/>
              <w:bottom w:val="single" w:sz="4" w:space="0" w:color="auto"/>
              <w:right w:val="single" w:sz="4" w:space="0" w:color="auto"/>
            </w:tcBorders>
            <w:tcMar>
              <w:top w:w="11" w:type="dxa"/>
              <w:left w:w="11" w:type="dxa"/>
              <w:bottom w:w="0" w:type="dxa"/>
              <w:right w:w="11" w:type="dxa"/>
            </w:tcMar>
            <w:hideMark/>
          </w:tcPr>
          <w:p w:rsidR="007F5BF9" w:rsidRDefault="007F5BF9">
            <w:pPr>
              <w:pStyle w:val="BodyText"/>
              <w:rPr>
                <w:bCs/>
                <w:lang w:val="en-GB"/>
              </w:rPr>
            </w:pPr>
            <w:r>
              <w:rPr>
                <w:bCs/>
                <w:lang w:val="en-GB"/>
              </w:rPr>
              <w:t>Lack of technical documentation of apps and processes</w:t>
            </w:r>
          </w:p>
        </w:tc>
        <w:tc>
          <w:tcPr>
            <w:tcW w:w="5579" w:type="dxa"/>
            <w:tcBorders>
              <w:top w:val="single" w:sz="4" w:space="0" w:color="auto"/>
              <w:left w:val="single" w:sz="4" w:space="0" w:color="auto"/>
              <w:bottom w:val="single" w:sz="4" w:space="0" w:color="auto"/>
              <w:right w:val="single" w:sz="4" w:space="0" w:color="auto"/>
            </w:tcBorders>
            <w:tcMar>
              <w:top w:w="11" w:type="dxa"/>
              <w:left w:w="11" w:type="dxa"/>
              <w:bottom w:w="0" w:type="dxa"/>
              <w:right w:w="11" w:type="dxa"/>
            </w:tcMar>
            <w:hideMark/>
          </w:tcPr>
          <w:p w:rsidR="007F5BF9" w:rsidRDefault="007F5BF9">
            <w:pPr>
              <w:pStyle w:val="BodyText"/>
              <w:rPr>
                <w:bCs/>
                <w:lang w:val="en-GB"/>
              </w:rPr>
            </w:pPr>
            <w:r>
              <w:rPr>
                <w:bCs/>
                <w:lang w:val="en-GB"/>
              </w:rPr>
              <w:t>Support using documentation tools/Assets within IBM</w:t>
            </w:r>
          </w:p>
        </w:tc>
      </w:tr>
      <w:tr w:rsidR="007F5BF9" w:rsidTr="007F5BF9">
        <w:trPr>
          <w:trHeight w:val="491"/>
        </w:trPr>
        <w:tc>
          <w:tcPr>
            <w:tcW w:w="1413" w:type="dxa"/>
            <w:tcBorders>
              <w:top w:val="single" w:sz="4" w:space="0" w:color="auto"/>
              <w:left w:val="single" w:sz="4" w:space="0" w:color="auto"/>
              <w:bottom w:val="single" w:sz="4" w:space="0" w:color="auto"/>
              <w:right w:val="single" w:sz="4" w:space="0" w:color="auto"/>
            </w:tcBorders>
            <w:tcMar>
              <w:top w:w="11" w:type="dxa"/>
              <w:left w:w="11" w:type="dxa"/>
              <w:bottom w:w="0" w:type="dxa"/>
              <w:right w:w="11" w:type="dxa"/>
            </w:tcMar>
            <w:hideMark/>
          </w:tcPr>
          <w:p w:rsidR="007F5BF9" w:rsidRDefault="007F5BF9">
            <w:pPr>
              <w:pStyle w:val="BodyText"/>
              <w:rPr>
                <w:bCs/>
                <w:lang w:val="en-GB"/>
              </w:rPr>
            </w:pPr>
            <w:r>
              <w:rPr>
                <w:bCs/>
                <w:lang w:val="en-GB"/>
              </w:rPr>
              <w:t>Landscape</w:t>
            </w:r>
          </w:p>
        </w:tc>
        <w:tc>
          <w:tcPr>
            <w:tcW w:w="3440" w:type="dxa"/>
            <w:tcBorders>
              <w:top w:val="single" w:sz="4" w:space="0" w:color="auto"/>
              <w:left w:val="single" w:sz="4" w:space="0" w:color="auto"/>
              <w:bottom w:val="single" w:sz="4" w:space="0" w:color="auto"/>
              <w:right w:val="single" w:sz="4" w:space="0" w:color="auto"/>
            </w:tcBorders>
            <w:tcMar>
              <w:top w:w="11" w:type="dxa"/>
              <w:left w:w="11" w:type="dxa"/>
              <w:bottom w:w="0" w:type="dxa"/>
              <w:right w:w="11" w:type="dxa"/>
            </w:tcMar>
            <w:hideMark/>
          </w:tcPr>
          <w:p w:rsidR="007F5BF9" w:rsidRDefault="007F5BF9">
            <w:pPr>
              <w:pStyle w:val="BodyText"/>
              <w:rPr>
                <w:bCs/>
                <w:lang w:val="en-GB"/>
              </w:rPr>
            </w:pPr>
            <w:r>
              <w:rPr>
                <w:bCs/>
                <w:lang w:val="en-GB"/>
              </w:rPr>
              <w:t>Limited Testing Landscape Availability</w:t>
            </w:r>
          </w:p>
        </w:tc>
        <w:tc>
          <w:tcPr>
            <w:tcW w:w="5579" w:type="dxa"/>
            <w:tcBorders>
              <w:top w:val="single" w:sz="4" w:space="0" w:color="auto"/>
              <w:left w:val="single" w:sz="4" w:space="0" w:color="auto"/>
              <w:bottom w:val="single" w:sz="4" w:space="0" w:color="auto"/>
              <w:right w:val="single" w:sz="4" w:space="0" w:color="auto"/>
            </w:tcBorders>
            <w:tcMar>
              <w:top w:w="11" w:type="dxa"/>
              <w:left w:w="11" w:type="dxa"/>
              <w:bottom w:w="0" w:type="dxa"/>
              <w:right w:w="11" w:type="dxa"/>
            </w:tcMar>
            <w:hideMark/>
          </w:tcPr>
          <w:p w:rsidR="007F5BF9" w:rsidRDefault="007F5BF9">
            <w:pPr>
              <w:pStyle w:val="BodyText"/>
              <w:rPr>
                <w:bCs/>
                <w:lang w:val="en-GB"/>
              </w:rPr>
            </w:pPr>
            <w:r>
              <w:rPr>
                <w:bCs/>
                <w:lang w:val="en-GB"/>
              </w:rPr>
              <w:t>Introduction of Regression testing environment in the landscape &amp; consider Testing as a service.</w:t>
            </w:r>
          </w:p>
        </w:tc>
      </w:tr>
      <w:tr w:rsidR="007F5BF9" w:rsidTr="007F5BF9">
        <w:trPr>
          <w:trHeight w:val="594"/>
        </w:trPr>
        <w:tc>
          <w:tcPr>
            <w:tcW w:w="1413" w:type="dxa"/>
            <w:tcBorders>
              <w:top w:val="single" w:sz="4" w:space="0" w:color="auto"/>
              <w:left w:val="single" w:sz="4" w:space="0" w:color="auto"/>
              <w:bottom w:val="single" w:sz="4" w:space="0" w:color="auto"/>
              <w:right w:val="single" w:sz="4" w:space="0" w:color="auto"/>
            </w:tcBorders>
            <w:tcMar>
              <w:top w:w="11" w:type="dxa"/>
              <w:left w:w="11" w:type="dxa"/>
              <w:bottom w:w="0" w:type="dxa"/>
              <w:right w:w="11" w:type="dxa"/>
            </w:tcMar>
            <w:hideMark/>
          </w:tcPr>
          <w:p w:rsidR="007F5BF9" w:rsidRDefault="007F5BF9">
            <w:pPr>
              <w:pStyle w:val="BodyText"/>
              <w:rPr>
                <w:bCs/>
                <w:lang w:val="en-GB"/>
              </w:rPr>
            </w:pPr>
            <w:r>
              <w:rPr>
                <w:bCs/>
                <w:lang w:val="en-GB"/>
              </w:rPr>
              <w:t>Planning</w:t>
            </w:r>
          </w:p>
        </w:tc>
        <w:tc>
          <w:tcPr>
            <w:tcW w:w="3440" w:type="dxa"/>
            <w:tcBorders>
              <w:top w:val="single" w:sz="4" w:space="0" w:color="auto"/>
              <w:left w:val="single" w:sz="4" w:space="0" w:color="auto"/>
              <w:bottom w:val="single" w:sz="4" w:space="0" w:color="auto"/>
              <w:right w:val="single" w:sz="4" w:space="0" w:color="auto"/>
            </w:tcBorders>
            <w:tcMar>
              <w:top w:w="11" w:type="dxa"/>
              <w:left w:w="11" w:type="dxa"/>
              <w:bottom w:w="0" w:type="dxa"/>
              <w:right w:w="11" w:type="dxa"/>
            </w:tcMar>
            <w:hideMark/>
          </w:tcPr>
          <w:p w:rsidR="007F5BF9" w:rsidRDefault="007F5BF9">
            <w:pPr>
              <w:pStyle w:val="BodyText"/>
              <w:rPr>
                <w:bCs/>
                <w:lang w:val="en-GB"/>
              </w:rPr>
            </w:pPr>
            <w:r>
              <w:rPr>
                <w:bCs/>
                <w:lang w:val="en-GB"/>
              </w:rPr>
              <w:t>Lack / absence of suitable plan</w:t>
            </w:r>
          </w:p>
        </w:tc>
        <w:tc>
          <w:tcPr>
            <w:tcW w:w="5579" w:type="dxa"/>
            <w:tcBorders>
              <w:top w:val="single" w:sz="4" w:space="0" w:color="auto"/>
              <w:left w:val="single" w:sz="4" w:space="0" w:color="auto"/>
              <w:bottom w:val="single" w:sz="4" w:space="0" w:color="auto"/>
              <w:right w:val="single" w:sz="4" w:space="0" w:color="auto"/>
            </w:tcBorders>
            <w:tcMar>
              <w:top w:w="11" w:type="dxa"/>
              <w:left w:w="11" w:type="dxa"/>
              <w:bottom w:w="0" w:type="dxa"/>
              <w:right w:w="11" w:type="dxa"/>
            </w:tcMar>
            <w:hideMark/>
          </w:tcPr>
          <w:p w:rsidR="007F5BF9" w:rsidRDefault="007F5BF9">
            <w:pPr>
              <w:pStyle w:val="BodyText"/>
              <w:rPr>
                <w:bCs/>
                <w:lang w:val="en-GB"/>
              </w:rPr>
            </w:pPr>
            <w:r>
              <w:rPr>
                <w:bCs/>
                <w:lang w:val="en-GB"/>
              </w:rPr>
              <w:t>Utilize IBM’s Transition Centre of Excellence Assets / Best practices</w:t>
            </w:r>
          </w:p>
        </w:tc>
      </w:tr>
      <w:tr w:rsidR="007F5BF9" w:rsidTr="007F5BF9">
        <w:trPr>
          <w:trHeight w:val="285"/>
        </w:trPr>
        <w:tc>
          <w:tcPr>
            <w:tcW w:w="1413" w:type="dxa"/>
            <w:tcBorders>
              <w:top w:val="single" w:sz="4" w:space="0" w:color="auto"/>
              <w:left w:val="single" w:sz="4" w:space="0" w:color="auto"/>
              <w:bottom w:val="single" w:sz="4" w:space="0" w:color="auto"/>
              <w:right w:val="single" w:sz="4" w:space="0" w:color="auto"/>
            </w:tcBorders>
            <w:tcMar>
              <w:top w:w="11" w:type="dxa"/>
              <w:left w:w="11" w:type="dxa"/>
              <w:bottom w:w="0" w:type="dxa"/>
              <w:right w:w="11" w:type="dxa"/>
            </w:tcMar>
            <w:hideMark/>
          </w:tcPr>
          <w:p w:rsidR="007F5BF9" w:rsidRDefault="007F5BF9">
            <w:pPr>
              <w:pStyle w:val="BodyText"/>
              <w:rPr>
                <w:bCs/>
                <w:lang w:val="en-GB"/>
              </w:rPr>
            </w:pPr>
            <w:r>
              <w:rPr>
                <w:bCs/>
                <w:lang w:val="en-GB"/>
              </w:rPr>
              <w:t>Governance</w:t>
            </w:r>
          </w:p>
        </w:tc>
        <w:tc>
          <w:tcPr>
            <w:tcW w:w="3440" w:type="dxa"/>
            <w:tcBorders>
              <w:top w:val="single" w:sz="4" w:space="0" w:color="auto"/>
              <w:left w:val="single" w:sz="4" w:space="0" w:color="auto"/>
              <w:bottom w:val="single" w:sz="4" w:space="0" w:color="auto"/>
              <w:right w:val="single" w:sz="4" w:space="0" w:color="auto"/>
            </w:tcBorders>
            <w:tcMar>
              <w:top w:w="11" w:type="dxa"/>
              <w:left w:w="11" w:type="dxa"/>
              <w:bottom w:w="0" w:type="dxa"/>
              <w:right w:w="11" w:type="dxa"/>
            </w:tcMar>
            <w:hideMark/>
          </w:tcPr>
          <w:p w:rsidR="007F5BF9" w:rsidRDefault="007F5BF9">
            <w:pPr>
              <w:pStyle w:val="BodyText"/>
              <w:rPr>
                <w:bCs/>
                <w:lang w:val="en-GB"/>
              </w:rPr>
            </w:pPr>
            <w:r>
              <w:rPr>
                <w:bCs/>
                <w:lang w:val="en-GB"/>
              </w:rPr>
              <w:t>Lack of clear roles</w:t>
            </w:r>
          </w:p>
        </w:tc>
        <w:tc>
          <w:tcPr>
            <w:tcW w:w="5579" w:type="dxa"/>
            <w:tcBorders>
              <w:top w:val="single" w:sz="4" w:space="0" w:color="auto"/>
              <w:left w:val="single" w:sz="4" w:space="0" w:color="auto"/>
              <w:bottom w:val="single" w:sz="4" w:space="0" w:color="auto"/>
              <w:right w:val="single" w:sz="4" w:space="0" w:color="auto"/>
            </w:tcBorders>
            <w:tcMar>
              <w:top w:w="11" w:type="dxa"/>
              <w:left w:w="11" w:type="dxa"/>
              <w:bottom w:w="0" w:type="dxa"/>
              <w:right w:w="11" w:type="dxa"/>
            </w:tcMar>
            <w:hideMark/>
          </w:tcPr>
          <w:p w:rsidR="007F5BF9" w:rsidRDefault="007F5BF9">
            <w:pPr>
              <w:pStyle w:val="BodyText"/>
              <w:rPr>
                <w:bCs/>
                <w:lang w:val="en-GB"/>
              </w:rPr>
            </w:pPr>
            <w:r>
              <w:rPr>
                <w:bCs/>
                <w:lang w:val="en-GB"/>
              </w:rPr>
              <w:t>Create Transition Governance board, Incumbent and IBM with well define RACI matrix for each phase</w:t>
            </w:r>
          </w:p>
        </w:tc>
      </w:tr>
      <w:tr w:rsidR="007F5BF9" w:rsidTr="007F5BF9">
        <w:trPr>
          <w:trHeight w:val="974"/>
        </w:trPr>
        <w:tc>
          <w:tcPr>
            <w:tcW w:w="141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7F5BF9" w:rsidRDefault="007F5BF9">
            <w:pPr>
              <w:pStyle w:val="BodyText"/>
              <w:rPr>
                <w:bCs/>
                <w:lang w:val="en-GB"/>
              </w:rPr>
            </w:pPr>
            <w:r>
              <w:rPr>
                <w:bCs/>
                <w:lang w:val="en-GB"/>
              </w:rPr>
              <w:t>Knowledge transfer</w:t>
            </w:r>
          </w:p>
        </w:tc>
        <w:tc>
          <w:tcPr>
            <w:tcW w:w="3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7F5BF9" w:rsidRDefault="007F5BF9">
            <w:pPr>
              <w:pStyle w:val="BodyText"/>
              <w:rPr>
                <w:bCs/>
                <w:lang w:val="en-GB"/>
              </w:rPr>
            </w:pPr>
            <w:r>
              <w:rPr>
                <w:bCs/>
                <w:lang w:val="en-GB"/>
              </w:rPr>
              <w:t>Incumbent SMEs, contractors may not support the transition of work to IBM. This has the potential to delay transition and hinder current work commitments</w:t>
            </w:r>
          </w:p>
        </w:tc>
        <w:tc>
          <w:tcPr>
            <w:tcW w:w="55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7F5BF9" w:rsidRDefault="007F5BF9">
            <w:pPr>
              <w:pStyle w:val="BodyText"/>
              <w:rPr>
                <w:bCs/>
                <w:lang w:val="en-GB"/>
              </w:rPr>
            </w:pPr>
            <w:r>
              <w:rPr>
                <w:bCs/>
                <w:lang w:val="en-GB"/>
              </w:rPr>
              <w:t>Define exit criteria and governance structure with contractors and &lt;&lt;Client&gt;&gt; stakeholders with attachment of financial aspects of transition</w:t>
            </w:r>
          </w:p>
        </w:tc>
      </w:tr>
      <w:tr w:rsidR="007F5BF9" w:rsidTr="007F5BF9">
        <w:trPr>
          <w:trHeight w:val="964"/>
        </w:trPr>
        <w:tc>
          <w:tcPr>
            <w:tcW w:w="141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7F5BF9" w:rsidRDefault="007F5BF9">
            <w:pPr>
              <w:pStyle w:val="BodyText"/>
              <w:rPr>
                <w:bCs/>
                <w:lang w:val="en-GB"/>
              </w:rPr>
            </w:pPr>
            <w:r>
              <w:rPr>
                <w:bCs/>
                <w:lang w:val="en-GB"/>
              </w:rPr>
              <w:t>Environment</w:t>
            </w:r>
          </w:p>
        </w:tc>
        <w:tc>
          <w:tcPr>
            <w:tcW w:w="3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7F5BF9" w:rsidRDefault="007F5BF9">
            <w:pPr>
              <w:pStyle w:val="BodyText"/>
              <w:rPr>
                <w:bCs/>
                <w:lang w:val="en-GB"/>
              </w:rPr>
            </w:pPr>
            <w:r>
              <w:rPr>
                <w:bCs/>
                <w:lang w:val="en-GB"/>
              </w:rPr>
              <w:t>Readiness for transition</w:t>
            </w:r>
          </w:p>
        </w:tc>
        <w:tc>
          <w:tcPr>
            <w:tcW w:w="557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7F5BF9" w:rsidRDefault="007F5BF9">
            <w:pPr>
              <w:pStyle w:val="BodyText"/>
              <w:rPr>
                <w:bCs/>
                <w:lang w:val="en-GB"/>
              </w:rPr>
            </w:pPr>
            <w:r>
              <w:rPr>
                <w:bCs/>
                <w:lang w:val="en-GB"/>
              </w:rPr>
              <w:t>Mapping of server, applications, network to be validated from ‘As is’ and ‘To be’ perspective. Specific risk mitigation plan will be worked out</w:t>
            </w:r>
          </w:p>
        </w:tc>
      </w:tr>
    </w:tbl>
    <w:p w:rsidR="007F5BF9" w:rsidRDefault="007F5BF9" w:rsidP="007F5BF9">
      <w:pPr>
        <w:pStyle w:val="BodyText"/>
      </w:pPr>
    </w:p>
    <w:p w:rsidR="003B56DC" w:rsidRDefault="007F5BF9">
      <w:bookmarkStart w:id="7" w:name="_GoBack"/>
      <w:bookmarkEnd w:id="7"/>
    </w:p>
    <w:sectPr w:rsidR="003B5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C1848"/>
    <w:multiLevelType w:val="hybridMultilevel"/>
    <w:tmpl w:val="8124D7DA"/>
    <w:lvl w:ilvl="0" w:tplc="04090001">
      <w:start w:val="1"/>
      <w:numFmt w:val="bullet"/>
      <w:lvlText w:val=""/>
      <w:lvlJc w:val="left"/>
      <w:pPr>
        <w:tabs>
          <w:tab w:val="num" w:pos="720"/>
        </w:tabs>
        <w:ind w:left="720" w:hanging="360"/>
      </w:pPr>
      <w:rPr>
        <w:rFonts w:ascii="Symbol" w:hAnsi="Symbol" w:hint="default"/>
      </w:rPr>
    </w:lvl>
    <w:lvl w:ilvl="1" w:tplc="13F600D2">
      <w:start w:val="1"/>
      <w:numFmt w:val="bullet"/>
      <w:lvlText w:val="•"/>
      <w:lvlJc w:val="left"/>
      <w:pPr>
        <w:tabs>
          <w:tab w:val="num" w:pos="1440"/>
        </w:tabs>
        <w:ind w:left="1440" w:hanging="360"/>
      </w:pPr>
      <w:rPr>
        <w:rFonts w:ascii="Arial" w:hAnsi="Arial" w:cs="Times New Roman" w:hint="default"/>
      </w:rPr>
    </w:lvl>
    <w:lvl w:ilvl="2" w:tplc="EFBEEE2C">
      <w:start w:val="1"/>
      <w:numFmt w:val="bullet"/>
      <w:lvlText w:val="•"/>
      <w:lvlJc w:val="left"/>
      <w:pPr>
        <w:tabs>
          <w:tab w:val="num" w:pos="2160"/>
        </w:tabs>
        <w:ind w:left="2160" w:hanging="360"/>
      </w:pPr>
      <w:rPr>
        <w:rFonts w:ascii="Arial" w:hAnsi="Arial" w:cs="Times New Roman" w:hint="default"/>
      </w:rPr>
    </w:lvl>
    <w:lvl w:ilvl="3" w:tplc="AC2468C0">
      <w:start w:val="1"/>
      <w:numFmt w:val="bullet"/>
      <w:lvlText w:val="•"/>
      <w:lvlJc w:val="left"/>
      <w:pPr>
        <w:tabs>
          <w:tab w:val="num" w:pos="2880"/>
        </w:tabs>
        <w:ind w:left="2880" w:hanging="360"/>
      </w:pPr>
      <w:rPr>
        <w:rFonts w:ascii="Arial" w:hAnsi="Arial" w:cs="Times New Roman" w:hint="default"/>
      </w:rPr>
    </w:lvl>
    <w:lvl w:ilvl="4" w:tplc="104CB86C">
      <w:start w:val="1"/>
      <w:numFmt w:val="bullet"/>
      <w:lvlText w:val="•"/>
      <w:lvlJc w:val="left"/>
      <w:pPr>
        <w:tabs>
          <w:tab w:val="num" w:pos="3600"/>
        </w:tabs>
        <w:ind w:left="3600" w:hanging="360"/>
      </w:pPr>
      <w:rPr>
        <w:rFonts w:ascii="Arial" w:hAnsi="Arial" w:cs="Times New Roman" w:hint="default"/>
      </w:rPr>
    </w:lvl>
    <w:lvl w:ilvl="5" w:tplc="7EC6E0A4">
      <w:start w:val="1"/>
      <w:numFmt w:val="bullet"/>
      <w:lvlText w:val="•"/>
      <w:lvlJc w:val="left"/>
      <w:pPr>
        <w:tabs>
          <w:tab w:val="num" w:pos="4320"/>
        </w:tabs>
        <w:ind w:left="4320" w:hanging="360"/>
      </w:pPr>
      <w:rPr>
        <w:rFonts w:ascii="Arial" w:hAnsi="Arial" w:cs="Times New Roman" w:hint="default"/>
      </w:rPr>
    </w:lvl>
    <w:lvl w:ilvl="6" w:tplc="78829826">
      <w:start w:val="1"/>
      <w:numFmt w:val="bullet"/>
      <w:lvlText w:val="•"/>
      <w:lvlJc w:val="left"/>
      <w:pPr>
        <w:tabs>
          <w:tab w:val="num" w:pos="5040"/>
        </w:tabs>
        <w:ind w:left="5040" w:hanging="360"/>
      </w:pPr>
      <w:rPr>
        <w:rFonts w:ascii="Arial" w:hAnsi="Arial" w:cs="Times New Roman" w:hint="default"/>
      </w:rPr>
    </w:lvl>
    <w:lvl w:ilvl="7" w:tplc="66A2D436">
      <w:start w:val="1"/>
      <w:numFmt w:val="bullet"/>
      <w:lvlText w:val="•"/>
      <w:lvlJc w:val="left"/>
      <w:pPr>
        <w:tabs>
          <w:tab w:val="num" w:pos="5760"/>
        </w:tabs>
        <w:ind w:left="5760" w:hanging="360"/>
      </w:pPr>
      <w:rPr>
        <w:rFonts w:ascii="Arial" w:hAnsi="Arial" w:cs="Times New Roman" w:hint="default"/>
      </w:rPr>
    </w:lvl>
    <w:lvl w:ilvl="8" w:tplc="D09EDB10">
      <w:start w:val="1"/>
      <w:numFmt w:val="bullet"/>
      <w:lvlText w:val="•"/>
      <w:lvlJc w:val="left"/>
      <w:pPr>
        <w:tabs>
          <w:tab w:val="num" w:pos="6480"/>
        </w:tabs>
        <w:ind w:left="6480" w:hanging="360"/>
      </w:pPr>
      <w:rPr>
        <w:rFonts w:ascii="Arial" w:hAnsi="Arial" w:cs="Times New Roman" w:hint="default"/>
      </w:rPr>
    </w:lvl>
  </w:abstractNum>
  <w:abstractNum w:abstractNumId="1" w15:restartNumberingAfterBreak="0">
    <w:nsid w:val="06341791"/>
    <w:multiLevelType w:val="hybridMultilevel"/>
    <w:tmpl w:val="AD0073F4"/>
    <w:lvl w:ilvl="0" w:tplc="0E10ED5C">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920CE4A">
      <w:start w:val="1"/>
      <w:numFmt w:val="bullet"/>
      <w:lvlText w:val=""/>
      <w:lvlJc w:val="left"/>
      <w:pPr>
        <w:tabs>
          <w:tab w:val="num" w:pos="2160"/>
        </w:tabs>
        <w:ind w:left="2160" w:hanging="360"/>
      </w:pPr>
      <w:rPr>
        <w:rFonts w:ascii="Wingdings" w:hAnsi="Wingdings" w:hint="default"/>
      </w:rPr>
    </w:lvl>
    <w:lvl w:ilvl="3" w:tplc="9E72F50A">
      <w:start w:val="1"/>
      <w:numFmt w:val="bullet"/>
      <w:lvlText w:val=""/>
      <w:lvlJc w:val="left"/>
      <w:pPr>
        <w:tabs>
          <w:tab w:val="num" w:pos="2880"/>
        </w:tabs>
        <w:ind w:left="2880" w:hanging="360"/>
      </w:pPr>
      <w:rPr>
        <w:rFonts w:ascii="Wingdings" w:hAnsi="Wingdings" w:hint="default"/>
      </w:rPr>
    </w:lvl>
    <w:lvl w:ilvl="4" w:tplc="385EF458">
      <w:start w:val="1"/>
      <w:numFmt w:val="bullet"/>
      <w:lvlText w:val=""/>
      <w:lvlJc w:val="left"/>
      <w:pPr>
        <w:tabs>
          <w:tab w:val="num" w:pos="3600"/>
        </w:tabs>
        <w:ind w:left="3600" w:hanging="360"/>
      </w:pPr>
      <w:rPr>
        <w:rFonts w:ascii="Wingdings" w:hAnsi="Wingdings" w:hint="default"/>
      </w:rPr>
    </w:lvl>
    <w:lvl w:ilvl="5" w:tplc="866E92CA">
      <w:start w:val="1"/>
      <w:numFmt w:val="bullet"/>
      <w:lvlText w:val=""/>
      <w:lvlJc w:val="left"/>
      <w:pPr>
        <w:tabs>
          <w:tab w:val="num" w:pos="4320"/>
        </w:tabs>
        <w:ind w:left="4320" w:hanging="360"/>
      </w:pPr>
      <w:rPr>
        <w:rFonts w:ascii="Wingdings" w:hAnsi="Wingdings" w:hint="default"/>
      </w:rPr>
    </w:lvl>
    <w:lvl w:ilvl="6" w:tplc="F4F63B3A">
      <w:start w:val="1"/>
      <w:numFmt w:val="bullet"/>
      <w:lvlText w:val=""/>
      <w:lvlJc w:val="left"/>
      <w:pPr>
        <w:tabs>
          <w:tab w:val="num" w:pos="5040"/>
        </w:tabs>
        <w:ind w:left="5040" w:hanging="360"/>
      </w:pPr>
      <w:rPr>
        <w:rFonts w:ascii="Wingdings" w:hAnsi="Wingdings" w:hint="default"/>
      </w:rPr>
    </w:lvl>
    <w:lvl w:ilvl="7" w:tplc="801C35A8">
      <w:start w:val="1"/>
      <w:numFmt w:val="bullet"/>
      <w:lvlText w:val=""/>
      <w:lvlJc w:val="left"/>
      <w:pPr>
        <w:tabs>
          <w:tab w:val="num" w:pos="5760"/>
        </w:tabs>
        <w:ind w:left="5760" w:hanging="360"/>
      </w:pPr>
      <w:rPr>
        <w:rFonts w:ascii="Wingdings" w:hAnsi="Wingdings" w:hint="default"/>
      </w:rPr>
    </w:lvl>
    <w:lvl w:ilvl="8" w:tplc="C8E4633E">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C96096"/>
    <w:multiLevelType w:val="hybridMultilevel"/>
    <w:tmpl w:val="6D9ECB5C"/>
    <w:lvl w:ilvl="0" w:tplc="04090001">
      <w:start w:val="1"/>
      <w:numFmt w:val="bullet"/>
      <w:lvlText w:val=""/>
      <w:lvlJc w:val="left"/>
      <w:pPr>
        <w:tabs>
          <w:tab w:val="num" w:pos="360"/>
        </w:tabs>
        <w:ind w:left="360" w:hanging="360"/>
      </w:pPr>
      <w:rPr>
        <w:rFonts w:ascii="Symbol" w:hAnsi="Symbol" w:hint="default"/>
      </w:rPr>
    </w:lvl>
    <w:lvl w:ilvl="1" w:tplc="8320F784">
      <w:start w:val="1"/>
      <w:numFmt w:val="lowerLetter"/>
      <w:lvlText w:val="%2."/>
      <w:lvlJc w:val="left"/>
      <w:pPr>
        <w:tabs>
          <w:tab w:val="num" w:pos="1080"/>
        </w:tabs>
        <w:ind w:left="1080" w:hanging="360"/>
      </w:pPr>
    </w:lvl>
    <w:lvl w:ilvl="2" w:tplc="4D82C2A2">
      <w:start w:val="1"/>
      <w:numFmt w:val="lowerLetter"/>
      <w:lvlText w:val="%3."/>
      <w:lvlJc w:val="left"/>
      <w:pPr>
        <w:tabs>
          <w:tab w:val="num" w:pos="1800"/>
        </w:tabs>
        <w:ind w:left="1800" w:hanging="360"/>
      </w:pPr>
    </w:lvl>
    <w:lvl w:ilvl="3" w:tplc="79A05366">
      <w:start w:val="1"/>
      <w:numFmt w:val="lowerLetter"/>
      <w:lvlText w:val="%4."/>
      <w:lvlJc w:val="left"/>
      <w:pPr>
        <w:tabs>
          <w:tab w:val="num" w:pos="2520"/>
        </w:tabs>
        <w:ind w:left="2520" w:hanging="360"/>
      </w:pPr>
    </w:lvl>
    <w:lvl w:ilvl="4" w:tplc="DBF83D70">
      <w:start w:val="1"/>
      <w:numFmt w:val="lowerLetter"/>
      <w:lvlText w:val="%5."/>
      <w:lvlJc w:val="left"/>
      <w:pPr>
        <w:tabs>
          <w:tab w:val="num" w:pos="3240"/>
        </w:tabs>
        <w:ind w:left="3240" w:hanging="360"/>
      </w:pPr>
    </w:lvl>
    <w:lvl w:ilvl="5" w:tplc="7A06B4DC">
      <w:start w:val="1"/>
      <w:numFmt w:val="lowerLetter"/>
      <w:lvlText w:val="%6."/>
      <w:lvlJc w:val="left"/>
      <w:pPr>
        <w:tabs>
          <w:tab w:val="num" w:pos="3960"/>
        </w:tabs>
        <w:ind w:left="3960" w:hanging="360"/>
      </w:pPr>
    </w:lvl>
    <w:lvl w:ilvl="6" w:tplc="1452D08C">
      <w:start w:val="1"/>
      <w:numFmt w:val="lowerLetter"/>
      <w:lvlText w:val="%7."/>
      <w:lvlJc w:val="left"/>
      <w:pPr>
        <w:tabs>
          <w:tab w:val="num" w:pos="4680"/>
        </w:tabs>
        <w:ind w:left="4680" w:hanging="360"/>
      </w:pPr>
    </w:lvl>
    <w:lvl w:ilvl="7" w:tplc="2E8646A6">
      <w:start w:val="1"/>
      <w:numFmt w:val="lowerLetter"/>
      <w:lvlText w:val="%8."/>
      <w:lvlJc w:val="left"/>
      <w:pPr>
        <w:tabs>
          <w:tab w:val="num" w:pos="5400"/>
        </w:tabs>
        <w:ind w:left="5400" w:hanging="360"/>
      </w:pPr>
    </w:lvl>
    <w:lvl w:ilvl="8" w:tplc="B8C87890">
      <w:start w:val="1"/>
      <w:numFmt w:val="lowerLetter"/>
      <w:lvlText w:val="%9."/>
      <w:lvlJc w:val="left"/>
      <w:pPr>
        <w:tabs>
          <w:tab w:val="num" w:pos="6120"/>
        </w:tabs>
        <w:ind w:left="6120" w:hanging="360"/>
      </w:pPr>
    </w:lvl>
  </w:abstractNum>
  <w:abstractNum w:abstractNumId="3" w15:restartNumberingAfterBreak="0">
    <w:nsid w:val="1D230E59"/>
    <w:multiLevelType w:val="hybridMultilevel"/>
    <w:tmpl w:val="474CA108"/>
    <w:lvl w:ilvl="0" w:tplc="04090001">
      <w:start w:val="1"/>
      <w:numFmt w:val="bullet"/>
      <w:lvlText w:val=""/>
      <w:lvlJc w:val="left"/>
      <w:pPr>
        <w:tabs>
          <w:tab w:val="num" w:pos="360"/>
        </w:tabs>
        <w:ind w:left="360" w:hanging="360"/>
      </w:pPr>
      <w:rPr>
        <w:rFonts w:ascii="Symbol" w:hAnsi="Symbol" w:hint="default"/>
      </w:rPr>
    </w:lvl>
    <w:lvl w:ilvl="1" w:tplc="960A9F50">
      <w:start w:val="1"/>
      <w:numFmt w:val="decimal"/>
      <w:lvlText w:val="%2."/>
      <w:lvlJc w:val="left"/>
      <w:pPr>
        <w:tabs>
          <w:tab w:val="num" w:pos="1080"/>
        </w:tabs>
        <w:ind w:left="1080" w:hanging="360"/>
      </w:pPr>
    </w:lvl>
    <w:lvl w:ilvl="2" w:tplc="3998ED0A">
      <w:start w:val="1"/>
      <w:numFmt w:val="decimal"/>
      <w:lvlText w:val="%3."/>
      <w:lvlJc w:val="left"/>
      <w:pPr>
        <w:tabs>
          <w:tab w:val="num" w:pos="1800"/>
        </w:tabs>
        <w:ind w:left="1800" w:hanging="360"/>
      </w:pPr>
    </w:lvl>
    <w:lvl w:ilvl="3" w:tplc="19A2C958">
      <w:start w:val="1"/>
      <w:numFmt w:val="decimal"/>
      <w:lvlText w:val="%4."/>
      <w:lvlJc w:val="left"/>
      <w:pPr>
        <w:tabs>
          <w:tab w:val="num" w:pos="2520"/>
        </w:tabs>
        <w:ind w:left="2520" w:hanging="360"/>
      </w:pPr>
    </w:lvl>
    <w:lvl w:ilvl="4" w:tplc="F15022D6">
      <w:start w:val="1"/>
      <w:numFmt w:val="decimal"/>
      <w:lvlText w:val="%5."/>
      <w:lvlJc w:val="left"/>
      <w:pPr>
        <w:tabs>
          <w:tab w:val="num" w:pos="3240"/>
        </w:tabs>
        <w:ind w:left="3240" w:hanging="360"/>
      </w:pPr>
    </w:lvl>
    <w:lvl w:ilvl="5" w:tplc="B44C7A88">
      <w:start w:val="1"/>
      <w:numFmt w:val="decimal"/>
      <w:lvlText w:val="%6."/>
      <w:lvlJc w:val="left"/>
      <w:pPr>
        <w:tabs>
          <w:tab w:val="num" w:pos="3960"/>
        </w:tabs>
        <w:ind w:left="3960" w:hanging="360"/>
      </w:pPr>
    </w:lvl>
    <w:lvl w:ilvl="6" w:tplc="49B408A0">
      <w:start w:val="1"/>
      <w:numFmt w:val="decimal"/>
      <w:lvlText w:val="%7."/>
      <w:lvlJc w:val="left"/>
      <w:pPr>
        <w:tabs>
          <w:tab w:val="num" w:pos="4680"/>
        </w:tabs>
        <w:ind w:left="4680" w:hanging="360"/>
      </w:pPr>
    </w:lvl>
    <w:lvl w:ilvl="7" w:tplc="41A4B832">
      <w:start w:val="1"/>
      <w:numFmt w:val="decimal"/>
      <w:lvlText w:val="%8."/>
      <w:lvlJc w:val="left"/>
      <w:pPr>
        <w:tabs>
          <w:tab w:val="num" w:pos="5400"/>
        </w:tabs>
        <w:ind w:left="5400" w:hanging="360"/>
      </w:pPr>
    </w:lvl>
    <w:lvl w:ilvl="8" w:tplc="DB1E9E6E">
      <w:start w:val="1"/>
      <w:numFmt w:val="decimal"/>
      <w:lvlText w:val="%9."/>
      <w:lvlJc w:val="left"/>
      <w:pPr>
        <w:tabs>
          <w:tab w:val="num" w:pos="6120"/>
        </w:tabs>
        <w:ind w:left="6120" w:hanging="360"/>
      </w:pPr>
    </w:lvl>
  </w:abstractNum>
  <w:abstractNum w:abstractNumId="4" w15:restartNumberingAfterBreak="0">
    <w:nsid w:val="2B936A1A"/>
    <w:multiLevelType w:val="hybridMultilevel"/>
    <w:tmpl w:val="85ACA4B8"/>
    <w:lvl w:ilvl="0" w:tplc="04090001">
      <w:start w:val="1"/>
      <w:numFmt w:val="bullet"/>
      <w:lvlText w:val=""/>
      <w:lvlJc w:val="left"/>
      <w:pPr>
        <w:tabs>
          <w:tab w:val="num" w:pos="360"/>
        </w:tabs>
        <w:ind w:left="360" w:hanging="360"/>
      </w:pPr>
      <w:rPr>
        <w:rFonts w:ascii="Symbol" w:hAnsi="Symbol" w:hint="default"/>
      </w:rPr>
    </w:lvl>
    <w:lvl w:ilvl="1" w:tplc="5A5630DE">
      <w:start w:val="1"/>
      <w:numFmt w:val="decimal"/>
      <w:lvlText w:val="%2."/>
      <w:lvlJc w:val="left"/>
      <w:pPr>
        <w:tabs>
          <w:tab w:val="num" w:pos="1080"/>
        </w:tabs>
        <w:ind w:left="1080" w:hanging="360"/>
      </w:pPr>
    </w:lvl>
    <w:lvl w:ilvl="2" w:tplc="312CDBDE">
      <w:start w:val="1"/>
      <w:numFmt w:val="decimal"/>
      <w:lvlText w:val="%3."/>
      <w:lvlJc w:val="left"/>
      <w:pPr>
        <w:tabs>
          <w:tab w:val="num" w:pos="1800"/>
        </w:tabs>
        <w:ind w:left="1800" w:hanging="360"/>
      </w:pPr>
    </w:lvl>
    <w:lvl w:ilvl="3" w:tplc="6C3A8862">
      <w:start w:val="1"/>
      <w:numFmt w:val="decimal"/>
      <w:lvlText w:val="%4."/>
      <w:lvlJc w:val="left"/>
      <w:pPr>
        <w:tabs>
          <w:tab w:val="num" w:pos="2520"/>
        </w:tabs>
        <w:ind w:left="2520" w:hanging="360"/>
      </w:pPr>
    </w:lvl>
    <w:lvl w:ilvl="4" w:tplc="A71A0668">
      <w:start w:val="1"/>
      <w:numFmt w:val="decimal"/>
      <w:lvlText w:val="%5."/>
      <w:lvlJc w:val="left"/>
      <w:pPr>
        <w:tabs>
          <w:tab w:val="num" w:pos="3240"/>
        </w:tabs>
        <w:ind w:left="3240" w:hanging="360"/>
      </w:pPr>
    </w:lvl>
    <w:lvl w:ilvl="5" w:tplc="326A5A0A">
      <w:start w:val="1"/>
      <w:numFmt w:val="decimal"/>
      <w:lvlText w:val="%6."/>
      <w:lvlJc w:val="left"/>
      <w:pPr>
        <w:tabs>
          <w:tab w:val="num" w:pos="3960"/>
        </w:tabs>
        <w:ind w:left="3960" w:hanging="360"/>
      </w:pPr>
    </w:lvl>
    <w:lvl w:ilvl="6" w:tplc="9A427048">
      <w:start w:val="1"/>
      <w:numFmt w:val="decimal"/>
      <w:lvlText w:val="%7."/>
      <w:lvlJc w:val="left"/>
      <w:pPr>
        <w:tabs>
          <w:tab w:val="num" w:pos="4680"/>
        </w:tabs>
        <w:ind w:left="4680" w:hanging="360"/>
      </w:pPr>
    </w:lvl>
    <w:lvl w:ilvl="7" w:tplc="DE0C35C2">
      <w:start w:val="1"/>
      <w:numFmt w:val="decimal"/>
      <w:lvlText w:val="%8."/>
      <w:lvlJc w:val="left"/>
      <w:pPr>
        <w:tabs>
          <w:tab w:val="num" w:pos="5400"/>
        </w:tabs>
        <w:ind w:left="5400" w:hanging="360"/>
      </w:pPr>
    </w:lvl>
    <w:lvl w:ilvl="8" w:tplc="A6662C30">
      <w:start w:val="1"/>
      <w:numFmt w:val="decimal"/>
      <w:lvlText w:val="%9."/>
      <w:lvlJc w:val="left"/>
      <w:pPr>
        <w:tabs>
          <w:tab w:val="num" w:pos="6120"/>
        </w:tabs>
        <w:ind w:left="6120" w:hanging="360"/>
      </w:pPr>
    </w:lvl>
  </w:abstractNum>
  <w:abstractNum w:abstractNumId="5" w15:restartNumberingAfterBreak="0">
    <w:nsid w:val="3ABE3D0D"/>
    <w:multiLevelType w:val="hybridMultilevel"/>
    <w:tmpl w:val="AC8AB7CA"/>
    <w:lvl w:ilvl="0" w:tplc="04090001">
      <w:start w:val="1"/>
      <w:numFmt w:val="bullet"/>
      <w:lvlText w:val=""/>
      <w:lvlJc w:val="left"/>
      <w:pPr>
        <w:tabs>
          <w:tab w:val="num" w:pos="360"/>
        </w:tabs>
        <w:ind w:left="360" w:hanging="360"/>
      </w:pPr>
      <w:rPr>
        <w:rFonts w:ascii="Symbol" w:hAnsi="Symbol" w:hint="default"/>
      </w:rPr>
    </w:lvl>
    <w:lvl w:ilvl="1" w:tplc="F5ECF564">
      <w:start w:val="1"/>
      <w:numFmt w:val="decimal"/>
      <w:lvlText w:val="%2."/>
      <w:lvlJc w:val="left"/>
      <w:pPr>
        <w:tabs>
          <w:tab w:val="num" w:pos="1080"/>
        </w:tabs>
        <w:ind w:left="1080" w:hanging="360"/>
      </w:pPr>
    </w:lvl>
    <w:lvl w:ilvl="2" w:tplc="A810F394">
      <w:start w:val="1"/>
      <w:numFmt w:val="decimal"/>
      <w:lvlText w:val="%3."/>
      <w:lvlJc w:val="left"/>
      <w:pPr>
        <w:tabs>
          <w:tab w:val="num" w:pos="1800"/>
        </w:tabs>
        <w:ind w:left="1800" w:hanging="360"/>
      </w:pPr>
    </w:lvl>
    <w:lvl w:ilvl="3" w:tplc="3F76DEAA">
      <w:start w:val="1"/>
      <w:numFmt w:val="decimal"/>
      <w:lvlText w:val="%4."/>
      <w:lvlJc w:val="left"/>
      <w:pPr>
        <w:tabs>
          <w:tab w:val="num" w:pos="2520"/>
        </w:tabs>
        <w:ind w:left="2520" w:hanging="360"/>
      </w:pPr>
    </w:lvl>
    <w:lvl w:ilvl="4" w:tplc="B95A29A4">
      <w:start w:val="1"/>
      <w:numFmt w:val="decimal"/>
      <w:lvlText w:val="%5."/>
      <w:lvlJc w:val="left"/>
      <w:pPr>
        <w:tabs>
          <w:tab w:val="num" w:pos="3240"/>
        </w:tabs>
        <w:ind w:left="3240" w:hanging="360"/>
      </w:pPr>
    </w:lvl>
    <w:lvl w:ilvl="5" w:tplc="E4E6046C">
      <w:start w:val="1"/>
      <w:numFmt w:val="decimal"/>
      <w:lvlText w:val="%6."/>
      <w:lvlJc w:val="left"/>
      <w:pPr>
        <w:tabs>
          <w:tab w:val="num" w:pos="3960"/>
        </w:tabs>
        <w:ind w:left="3960" w:hanging="360"/>
      </w:pPr>
    </w:lvl>
    <w:lvl w:ilvl="6" w:tplc="1D84903E">
      <w:start w:val="1"/>
      <w:numFmt w:val="decimal"/>
      <w:lvlText w:val="%7."/>
      <w:lvlJc w:val="left"/>
      <w:pPr>
        <w:tabs>
          <w:tab w:val="num" w:pos="4680"/>
        </w:tabs>
        <w:ind w:left="4680" w:hanging="360"/>
      </w:pPr>
    </w:lvl>
    <w:lvl w:ilvl="7" w:tplc="154A0222">
      <w:start w:val="1"/>
      <w:numFmt w:val="decimal"/>
      <w:lvlText w:val="%8."/>
      <w:lvlJc w:val="left"/>
      <w:pPr>
        <w:tabs>
          <w:tab w:val="num" w:pos="5400"/>
        </w:tabs>
        <w:ind w:left="5400" w:hanging="360"/>
      </w:pPr>
    </w:lvl>
    <w:lvl w:ilvl="8" w:tplc="095A4490">
      <w:start w:val="1"/>
      <w:numFmt w:val="decimal"/>
      <w:lvlText w:val="%9."/>
      <w:lvlJc w:val="left"/>
      <w:pPr>
        <w:tabs>
          <w:tab w:val="num" w:pos="6120"/>
        </w:tabs>
        <w:ind w:left="6120" w:hanging="360"/>
      </w:pPr>
    </w:lvl>
  </w:abstractNum>
  <w:abstractNum w:abstractNumId="6" w15:restartNumberingAfterBreak="0">
    <w:nsid w:val="3DB86EE5"/>
    <w:multiLevelType w:val="hybridMultilevel"/>
    <w:tmpl w:val="1B6A0F48"/>
    <w:lvl w:ilvl="0" w:tplc="04090001">
      <w:start w:val="1"/>
      <w:numFmt w:val="bullet"/>
      <w:lvlText w:val=""/>
      <w:lvlJc w:val="left"/>
      <w:pPr>
        <w:tabs>
          <w:tab w:val="num" w:pos="360"/>
        </w:tabs>
        <w:ind w:left="360" w:hanging="360"/>
      </w:pPr>
      <w:rPr>
        <w:rFonts w:ascii="Symbol" w:hAnsi="Symbol" w:hint="default"/>
      </w:rPr>
    </w:lvl>
    <w:lvl w:ilvl="1" w:tplc="A6AEFC4E">
      <w:start w:val="106"/>
      <w:numFmt w:val="bullet"/>
      <w:lvlText w:val=""/>
      <w:lvlJc w:val="left"/>
      <w:pPr>
        <w:tabs>
          <w:tab w:val="num" w:pos="1080"/>
        </w:tabs>
        <w:ind w:left="1080" w:hanging="360"/>
      </w:pPr>
      <w:rPr>
        <w:rFonts w:ascii="Wingdings" w:hAnsi="Wingdings" w:hint="default"/>
      </w:rPr>
    </w:lvl>
    <w:lvl w:ilvl="2" w:tplc="F920CE4A">
      <w:start w:val="1"/>
      <w:numFmt w:val="bullet"/>
      <w:lvlText w:val=""/>
      <w:lvlJc w:val="left"/>
      <w:pPr>
        <w:tabs>
          <w:tab w:val="num" w:pos="1800"/>
        </w:tabs>
        <w:ind w:left="1800" w:hanging="360"/>
      </w:pPr>
      <w:rPr>
        <w:rFonts w:ascii="Wingdings" w:hAnsi="Wingdings" w:hint="default"/>
      </w:rPr>
    </w:lvl>
    <w:lvl w:ilvl="3" w:tplc="9E72F50A">
      <w:start w:val="1"/>
      <w:numFmt w:val="bullet"/>
      <w:lvlText w:val=""/>
      <w:lvlJc w:val="left"/>
      <w:pPr>
        <w:tabs>
          <w:tab w:val="num" w:pos="2520"/>
        </w:tabs>
        <w:ind w:left="2520" w:hanging="360"/>
      </w:pPr>
      <w:rPr>
        <w:rFonts w:ascii="Wingdings" w:hAnsi="Wingdings" w:hint="default"/>
      </w:rPr>
    </w:lvl>
    <w:lvl w:ilvl="4" w:tplc="385EF458">
      <w:start w:val="1"/>
      <w:numFmt w:val="bullet"/>
      <w:lvlText w:val=""/>
      <w:lvlJc w:val="left"/>
      <w:pPr>
        <w:tabs>
          <w:tab w:val="num" w:pos="3240"/>
        </w:tabs>
        <w:ind w:left="3240" w:hanging="360"/>
      </w:pPr>
      <w:rPr>
        <w:rFonts w:ascii="Wingdings" w:hAnsi="Wingdings" w:hint="default"/>
      </w:rPr>
    </w:lvl>
    <w:lvl w:ilvl="5" w:tplc="866E92CA">
      <w:start w:val="1"/>
      <w:numFmt w:val="bullet"/>
      <w:lvlText w:val=""/>
      <w:lvlJc w:val="left"/>
      <w:pPr>
        <w:tabs>
          <w:tab w:val="num" w:pos="3960"/>
        </w:tabs>
        <w:ind w:left="3960" w:hanging="360"/>
      </w:pPr>
      <w:rPr>
        <w:rFonts w:ascii="Wingdings" w:hAnsi="Wingdings" w:hint="default"/>
      </w:rPr>
    </w:lvl>
    <w:lvl w:ilvl="6" w:tplc="F4F63B3A">
      <w:start w:val="1"/>
      <w:numFmt w:val="bullet"/>
      <w:lvlText w:val=""/>
      <w:lvlJc w:val="left"/>
      <w:pPr>
        <w:tabs>
          <w:tab w:val="num" w:pos="4680"/>
        </w:tabs>
        <w:ind w:left="4680" w:hanging="360"/>
      </w:pPr>
      <w:rPr>
        <w:rFonts w:ascii="Wingdings" w:hAnsi="Wingdings" w:hint="default"/>
      </w:rPr>
    </w:lvl>
    <w:lvl w:ilvl="7" w:tplc="801C35A8">
      <w:start w:val="1"/>
      <w:numFmt w:val="bullet"/>
      <w:lvlText w:val=""/>
      <w:lvlJc w:val="left"/>
      <w:pPr>
        <w:tabs>
          <w:tab w:val="num" w:pos="5400"/>
        </w:tabs>
        <w:ind w:left="5400" w:hanging="360"/>
      </w:pPr>
      <w:rPr>
        <w:rFonts w:ascii="Wingdings" w:hAnsi="Wingdings" w:hint="default"/>
      </w:rPr>
    </w:lvl>
    <w:lvl w:ilvl="8" w:tplc="C8E4633E">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70194B19"/>
    <w:multiLevelType w:val="multilevel"/>
    <w:tmpl w:val="135064B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color w:val="auto"/>
      </w:r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7ACE71A8"/>
    <w:multiLevelType w:val="hybridMultilevel"/>
    <w:tmpl w:val="A80EBC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7BDD1822"/>
    <w:multiLevelType w:val="hybridMultilevel"/>
    <w:tmpl w:val="FBB0254C"/>
    <w:lvl w:ilvl="0" w:tplc="04090001">
      <w:start w:val="1"/>
      <w:numFmt w:val="bullet"/>
      <w:lvlText w:val=""/>
      <w:lvlJc w:val="left"/>
      <w:pPr>
        <w:tabs>
          <w:tab w:val="num" w:pos="360"/>
        </w:tabs>
        <w:ind w:left="360" w:hanging="360"/>
      </w:pPr>
      <w:rPr>
        <w:rFonts w:ascii="Symbol" w:hAnsi="Symbol" w:hint="default"/>
      </w:rPr>
    </w:lvl>
    <w:lvl w:ilvl="1" w:tplc="F25E817E">
      <w:start w:val="1"/>
      <w:numFmt w:val="decimal"/>
      <w:lvlText w:val="%2."/>
      <w:lvlJc w:val="left"/>
      <w:pPr>
        <w:tabs>
          <w:tab w:val="num" w:pos="1080"/>
        </w:tabs>
        <w:ind w:left="1080" w:hanging="360"/>
      </w:pPr>
    </w:lvl>
    <w:lvl w:ilvl="2" w:tplc="4AC28084">
      <w:start w:val="1"/>
      <w:numFmt w:val="decimal"/>
      <w:lvlText w:val="%3."/>
      <w:lvlJc w:val="left"/>
      <w:pPr>
        <w:tabs>
          <w:tab w:val="num" w:pos="1800"/>
        </w:tabs>
        <w:ind w:left="1800" w:hanging="360"/>
      </w:pPr>
    </w:lvl>
    <w:lvl w:ilvl="3" w:tplc="BC6E420C">
      <w:start w:val="1"/>
      <w:numFmt w:val="decimal"/>
      <w:lvlText w:val="%4."/>
      <w:lvlJc w:val="left"/>
      <w:pPr>
        <w:tabs>
          <w:tab w:val="num" w:pos="2520"/>
        </w:tabs>
        <w:ind w:left="2520" w:hanging="360"/>
      </w:pPr>
    </w:lvl>
    <w:lvl w:ilvl="4" w:tplc="21D087CE">
      <w:start w:val="1"/>
      <w:numFmt w:val="decimal"/>
      <w:lvlText w:val="%5."/>
      <w:lvlJc w:val="left"/>
      <w:pPr>
        <w:tabs>
          <w:tab w:val="num" w:pos="3240"/>
        </w:tabs>
        <w:ind w:left="3240" w:hanging="360"/>
      </w:pPr>
    </w:lvl>
    <w:lvl w:ilvl="5" w:tplc="7C4837EC">
      <w:start w:val="1"/>
      <w:numFmt w:val="decimal"/>
      <w:lvlText w:val="%6."/>
      <w:lvlJc w:val="left"/>
      <w:pPr>
        <w:tabs>
          <w:tab w:val="num" w:pos="3960"/>
        </w:tabs>
        <w:ind w:left="3960" w:hanging="360"/>
      </w:pPr>
    </w:lvl>
    <w:lvl w:ilvl="6" w:tplc="BE16C84E">
      <w:start w:val="1"/>
      <w:numFmt w:val="decimal"/>
      <w:lvlText w:val="%7."/>
      <w:lvlJc w:val="left"/>
      <w:pPr>
        <w:tabs>
          <w:tab w:val="num" w:pos="4680"/>
        </w:tabs>
        <w:ind w:left="4680" w:hanging="360"/>
      </w:pPr>
    </w:lvl>
    <w:lvl w:ilvl="7" w:tplc="F5E4F7E8">
      <w:start w:val="1"/>
      <w:numFmt w:val="decimal"/>
      <w:lvlText w:val="%8."/>
      <w:lvlJc w:val="left"/>
      <w:pPr>
        <w:tabs>
          <w:tab w:val="num" w:pos="5400"/>
        </w:tabs>
        <w:ind w:left="5400" w:hanging="360"/>
      </w:pPr>
    </w:lvl>
    <w:lvl w:ilvl="8" w:tplc="1DA4892C">
      <w:start w:val="1"/>
      <w:numFmt w:val="decimal"/>
      <w:lvlText w:val="%9."/>
      <w:lvlJc w:val="left"/>
      <w:pPr>
        <w:tabs>
          <w:tab w:val="num" w:pos="6120"/>
        </w:tabs>
        <w:ind w:left="6120" w:hanging="36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6"/>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8"/>
    <w:lvlOverride w:ilvl="0"/>
    <w:lvlOverride w:ilvl="1"/>
    <w:lvlOverride w:ilvl="2"/>
    <w:lvlOverride w:ilvl="3"/>
    <w:lvlOverride w:ilvl="4"/>
    <w:lvlOverride w:ilvl="5"/>
    <w:lvlOverride w:ilvl="6"/>
    <w:lvlOverride w:ilvl="7"/>
    <w:lvlOverride w:ilvl="8"/>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BF9"/>
    <w:rsid w:val="000F56A6"/>
    <w:rsid w:val="001D516F"/>
    <w:rsid w:val="00225AE0"/>
    <w:rsid w:val="004B3CAE"/>
    <w:rsid w:val="00544A7D"/>
    <w:rsid w:val="005D1EC4"/>
    <w:rsid w:val="00721650"/>
    <w:rsid w:val="007F5BF9"/>
    <w:rsid w:val="008043C1"/>
    <w:rsid w:val="00816EB1"/>
    <w:rsid w:val="00935AE0"/>
    <w:rsid w:val="00993CFC"/>
    <w:rsid w:val="00AF4542"/>
    <w:rsid w:val="00B51A1C"/>
    <w:rsid w:val="00DB7764"/>
    <w:rsid w:val="00EF7E64"/>
    <w:rsid w:val="00F45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EC7C44-8126-480A-AA1B-29CDE3EC0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BodyText"/>
    <w:link w:val="Heading1Char"/>
    <w:qFormat/>
    <w:rsid w:val="007F5BF9"/>
    <w:pPr>
      <w:keepNext/>
      <w:pageBreakBefore/>
      <w:numPr>
        <w:numId w:val="1"/>
      </w:numPr>
      <w:tabs>
        <w:tab w:val="clear" w:pos="432"/>
        <w:tab w:val="left" w:pos="0"/>
        <w:tab w:val="left" w:pos="720"/>
      </w:tabs>
      <w:spacing w:before="360" w:after="240" w:line="240" w:lineRule="auto"/>
      <w:ind w:left="720" w:hanging="720"/>
      <w:outlineLvl w:val="0"/>
    </w:pPr>
    <w:rPr>
      <w:rFonts w:ascii="Arial" w:eastAsia="Times New Roman" w:hAnsi="Arial" w:cs="Arial"/>
      <w:b/>
      <w:bCs/>
      <w:color w:val="00B2EF"/>
      <w:sz w:val="44"/>
      <w:szCs w:val="44"/>
      <w:lang w:eastAsia="en-GB"/>
    </w:rPr>
  </w:style>
  <w:style w:type="paragraph" w:styleId="Heading2">
    <w:name w:val="heading 2"/>
    <w:basedOn w:val="Normal"/>
    <w:next w:val="BodyText"/>
    <w:link w:val="Heading2Char"/>
    <w:semiHidden/>
    <w:unhideWhenUsed/>
    <w:qFormat/>
    <w:rsid w:val="007F5BF9"/>
    <w:pPr>
      <w:keepNext/>
      <w:numPr>
        <w:ilvl w:val="1"/>
        <w:numId w:val="1"/>
      </w:numPr>
      <w:tabs>
        <w:tab w:val="left" w:pos="0"/>
        <w:tab w:val="left" w:pos="720"/>
      </w:tabs>
      <w:spacing w:before="360" w:after="60" w:line="240" w:lineRule="auto"/>
      <w:outlineLvl w:val="1"/>
    </w:pPr>
    <w:rPr>
      <w:rFonts w:ascii="Arial" w:eastAsia="Times New Roman" w:hAnsi="Arial" w:cs="Arial"/>
      <w:b/>
      <w:bCs/>
      <w:iCs/>
      <w:lang w:eastAsia="en-GB"/>
    </w:rPr>
  </w:style>
  <w:style w:type="paragraph" w:styleId="Heading3">
    <w:name w:val="heading 3"/>
    <w:basedOn w:val="Normal"/>
    <w:next w:val="BodyText"/>
    <w:link w:val="Heading3Char"/>
    <w:semiHidden/>
    <w:unhideWhenUsed/>
    <w:qFormat/>
    <w:rsid w:val="007F5BF9"/>
    <w:pPr>
      <w:keepNext/>
      <w:numPr>
        <w:ilvl w:val="2"/>
        <w:numId w:val="1"/>
      </w:numPr>
      <w:tabs>
        <w:tab w:val="left" w:pos="0"/>
      </w:tabs>
      <w:spacing w:before="240" w:after="60" w:line="240" w:lineRule="auto"/>
      <w:outlineLvl w:val="2"/>
    </w:pPr>
    <w:rPr>
      <w:rFonts w:ascii="Arial" w:eastAsia="Times New Roman" w:hAnsi="Arial" w:cs="Arial"/>
      <w:b/>
      <w:bCs/>
      <w:color w:val="808080"/>
      <w:lang w:eastAsia="en-GB"/>
    </w:rPr>
  </w:style>
  <w:style w:type="paragraph" w:styleId="Heading4">
    <w:name w:val="heading 4"/>
    <w:basedOn w:val="Normal"/>
    <w:next w:val="BodyText"/>
    <w:link w:val="Heading4Char"/>
    <w:semiHidden/>
    <w:unhideWhenUsed/>
    <w:qFormat/>
    <w:rsid w:val="007F5BF9"/>
    <w:pPr>
      <w:keepNext/>
      <w:numPr>
        <w:ilvl w:val="3"/>
        <w:numId w:val="1"/>
      </w:numPr>
      <w:tabs>
        <w:tab w:val="left" w:pos="0"/>
        <w:tab w:val="left" w:pos="720"/>
      </w:tabs>
      <w:spacing w:before="120" w:after="120" w:line="240" w:lineRule="auto"/>
      <w:ind w:left="720" w:hanging="720"/>
      <w:outlineLvl w:val="3"/>
    </w:pPr>
    <w:rPr>
      <w:rFonts w:ascii="Arial" w:eastAsia="Times New Roman" w:hAnsi="Arial" w:cs="Times New Roman"/>
      <w:b/>
      <w:bCs/>
      <w:color w:val="00B2EF"/>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5BF9"/>
    <w:rPr>
      <w:rFonts w:ascii="Arial" w:eastAsia="Times New Roman" w:hAnsi="Arial" w:cs="Arial"/>
      <w:b/>
      <w:bCs/>
      <w:color w:val="00B2EF"/>
      <w:sz w:val="44"/>
      <w:szCs w:val="44"/>
      <w:lang w:eastAsia="en-GB"/>
    </w:rPr>
  </w:style>
  <w:style w:type="character" w:customStyle="1" w:styleId="Heading2Char">
    <w:name w:val="Heading 2 Char"/>
    <w:basedOn w:val="DefaultParagraphFont"/>
    <w:link w:val="Heading2"/>
    <w:semiHidden/>
    <w:rsid w:val="007F5BF9"/>
    <w:rPr>
      <w:rFonts w:ascii="Arial" w:eastAsia="Times New Roman" w:hAnsi="Arial" w:cs="Arial"/>
      <w:b/>
      <w:bCs/>
      <w:iCs/>
      <w:lang w:eastAsia="en-GB"/>
    </w:rPr>
  </w:style>
  <w:style w:type="character" w:customStyle="1" w:styleId="Heading3Char">
    <w:name w:val="Heading 3 Char"/>
    <w:basedOn w:val="DefaultParagraphFont"/>
    <w:link w:val="Heading3"/>
    <w:semiHidden/>
    <w:rsid w:val="007F5BF9"/>
    <w:rPr>
      <w:rFonts w:ascii="Arial" w:eastAsia="Times New Roman" w:hAnsi="Arial" w:cs="Arial"/>
      <w:b/>
      <w:bCs/>
      <w:color w:val="808080"/>
      <w:lang w:eastAsia="en-GB"/>
    </w:rPr>
  </w:style>
  <w:style w:type="character" w:customStyle="1" w:styleId="Heading4Char">
    <w:name w:val="Heading 4 Char"/>
    <w:basedOn w:val="DefaultParagraphFont"/>
    <w:link w:val="Heading4"/>
    <w:semiHidden/>
    <w:rsid w:val="007F5BF9"/>
    <w:rPr>
      <w:rFonts w:ascii="Arial" w:eastAsia="Times New Roman" w:hAnsi="Arial" w:cs="Times New Roman"/>
      <w:b/>
      <w:bCs/>
      <w:color w:val="00B2EF"/>
      <w:sz w:val="20"/>
      <w:szCs w:val="20"/>
      <w:lang w:eastAsia="en-GB"/>
    </w:rPr>
  </w:style>
  <w:style w:type="paragraph" w:styleId="BodyText">
    <w:name w:val="Body Text"/>
    <w:aliases w:val="Body Text Char1,Char1 Char,Char1,1body,BodText,bt,body text,Body ...,Body Text Char Char,bt Char Char,BODY TEXT Char Cha..."/>
    <w:basedOn w:val="Normal"/>
    <w:link w:val="BodyTextChar"/>
    <w:uiPriority w:val="99"/>
    <w:semiHidden/>
    <w:unhideWhenUsed/>
    <w:qFormat/>
    <w:rsid w:val="007F5BF9"/>
    <w:pPr>
      <w:spacing w:before="120" w:after="120" w:line="240" w:lineRule="auto"/>
    </w:pPr>
    <w:rPr>
      <w:rFonts w:ascii="Arial" w:eastAsia="Times New Roman" w:hAnsi="Arial" w:cs="Times New Roman"/>
      <w:sz w:val="21"/>
      <w:szCs w:val="21"/>
      <w:lang w:eastAsia="en-GB"/>
    </w:rPr>
  </w:style>
  <w:style w:type="character" w:customStyle="1" w:styleId="BodyTextChar">
    <w:name w:val="Body Text Char"/>
    <w:aliases w:val="Body Text Char1 Char,Char1 Char Char,Char1 Char1,1body Char,BodText Char,bt Char,body text Char,Body ... Char,Body Text Char Char Char,bt Char Char Char,BODY TEXT Char Cha... Char"/>
    <w:basedOn w:val="DefaultParagraphFont"/>
    <w:link w:val="BodyText"/>
    <w:uiPriority w:val="99"/>
    <w:semiHidden/>
    <w:rsid w:val="007F5BF9"/>
    <w:rPr>
      <w:rFonts w:ascii="Arial" w:eastAsia="Times New Roman" w:hAnsi="Arial" w:cs="Times New Roman"/>
      <w:sz w:val="21"/>
      <w:szCs w:val="21"/>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68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1252</Words>
  <Characters>7140</Characters>
  <Application>Microsoft Office Word</Application>
  <DocSecurity>0</DocSecurity>
  <Lines>59</Lines>
  <Paragraphs>16</Paragraphs>
  <ScaleCrop>false</ScaleCrop>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PURAB Ravi</dc:creator>
  <cp:keywords/>
  <dc:description/>
  <cp:lastModifiedBy>PURAB Ravi</cp:lastModifiedBy>
  <cp:revision>1</cp:revision>
  <dcterms:created xsi:type="dcterms:W3CDTF">2017-09-21T12:46:00Z</dcterms:created>
  <dcterms:modified xsi:type="dcterms:W3CDTF">2017-09-21T12:46:00Z</dcterms:modified>
</cp:coreProperties>
</file>