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B4B" w:rsidRDefault="00EE7B4B" w:rsidP="00EE7B4B">
      <w:pPr>
        <w:pStyle w:val="Heading1"/>
        <w:numPr>
          <w:ilvl w:val="0"/>
          <w:numId w:val="2"/>
        </w:numPr>
        <w:tabs>
          <w:tab w:val="clear" w:pos="432"/>
          <w:tab w:val="num" w:pos="72"/>
        </w:tabs>
        <w:spacing w:before="120" w:after="120"/>
        <w:ind w:left="720" w:hanging="720"/>
        <w:jc w:val="both"/>
        <w:rPr>
          <w:rFonts w:cs="Arial"/>
          <w:lang w:val="en-GB"/>
        </w:rPr>
      </w:pPr>
      <w:bookmarkStart w:id="0" w:name="_Toc493332705"/>
      <w:r>
        <w:rPr>
          <w:rFonts w:cs="Arial"/>
          <w:lang w:val="en-GB"/>
        </w:rPr>
        <w:t>Transition approach</w:t>
      </w:r>
      <w:bookmarkEnd w:id="0"/>
    </w:p>
    <w:p w:rsidR="00EE7B4B" w:rsidRDefault="00EE7B4B" w:rsidP="00EE7B4B">
      <w:pPr>
        <w:pStyle w:val="BodyText"/>
        <w:rPr>
          <w:lang w:val="en-GB"/>
        </w:rPr>
      </w:pPr>
    </w:p>
    <w:p w:rsidR="00EE7B4B" w:rsidRPr="00EE7B4B" w:rsidRDefault="00EE7B4B" w:rsidP="00EE7B4B">
      <w:pPr>
        <w:pStyle w:val="BodyText"/>
        <w:rPr>
          <w:lang w:val="en-GB"/>
        </w:rPr>
      </w:pPr>
    </w:p>
    <w:p w:rsidR="00EE7B4B" w:rsidRDefault="00EE7B4B" w:rsidP="00EE7B4B">
      <w:pPr>
        <w:pStyle w:val="Heading2"/>
        <w:spacing w:before="120" w:after="120"/>
        <w:ind w:left="576"/>
        <w:jc w:val="both"/>
        <w:rPr>
          <w:lang w:val="en-US"/>
        </w:rPr>
      </w:pPr>
      <w:bookmarkStart w:id="1" w:name="_Toc493332706"/>
      <w:r>
        <w:rPr>
          <w:lang w:val="en-US"/>
        </w:rPr>
        <w:t>Overall Transition Approach</w:t>
      </w:r>
      <w:bookmarkEnd w:id="1"/>
      <w:r>
        <w:rPr>
          <w:lang w:val="en-US"/>
        </w:rPr>
        <w:t xml:space="preserve"> </w:t>
      </w:r>
    </w:p>
    <w:p w:rsidR="00EE7B4B" w:rsidRDefault="00EE7B4B" w:rsidP="00EE7B4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IBM has considerable experience of transitioning of critical Applications from an ongoing support phases. This experience gives IBM a unique understanding of the challenges of transitioning not just the technology but also the user base and languages used.</w:t>
      </w:r>
    </w:p>
    <w:p w:rsidR="00EE7B4B" w:rsidRDefault="00EE7B4B" w:rsidP="00EE7B4B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experience gives IBM a unique understanding of the challenges of transitioning not just the technology but also the user base and languages used. The scope would embrace the following deliverables:</w:t>
      </w:r>
    </w:p>
    <w:p w:rsidR="00EE7B4B" w:rsidRDefault="00EE7B4B" w:rsidP="00EE7B4B">
      <w:pPr>
        <w:numPr>
          <w:ilvl w:val="0"/>
          <w:numId w:val="3"/>
        </w:numPr>
        <w:spacing w:before="120" w:after="120" w:line="240" w:lineRule="auto"/>
        <w:ind w:left="7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Transition Planning, </w:t>
      </w:r>
      <w:proofErr w:type="gramStart"/>
      <w:r>
        <w:rPr>
          <w:rFonts w:ascii="Arial" w:hAnsi="Arial" w:cs="Arial"/>
          <w:sz w:val="20"/>
          <w:szCs w:val="20"/>
        </w:rPr>
        <w:t>Managing</w:t>
      </w:r>
      <w:proofErr w:type="gramEnd"/>
      <w:r>
        <w:rPr>
          <w:rFonts w:ascii="Arial" w:hAnsi="Arial" w:cs="Arial"/>
          <w:sz w:val="20"/>
          <w:szCs w:val="20"/>
        </w:rPr>
        <w:t xml:space="preserve"> and Reporting</w:t>
      </w:r>
    </w:p>
    <w:p w:rsidR="00EE7B4B" w:rsidRDefault="00EE7B4B" w:rsidP="00EE7B4B">
      <w:pPr>
        <w:numPr>
          <w:ilvl w:val="0"/>
          <w:numId w:val="3"/>
        </w:numPr>
        <w:spacing w:before="120" w:after="120" w:line="240" w:lineRule="auto"/>
        <w:ind w:left="7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 Model </w:t>
      </w:r>
      <w:proofErr w:type="gramStart"/>
      <w:r>
        <w:rPr>
          <w:rFonts w:ascii="Arial" w:hAnsi="Arial" w:cs="Arial"/>
          <w:sz w:val="20"/>
          <w:szCs w:val="20"/>
        </w:rPr>
        <w:t>refinement  and</w:t>
      </w:r>
      <w:proofErr w:type="gramEnd"/>
      <w:r>
        <w:rPr>
          <w:rFonts w:ascii="Arial" w:hAnsi="Arial" w:cs="Arial"/>
          <w:sz w:val="20"/>
          <w:szCs w:val="20"/>
        </w:rPr>
        <w:t xml:space="preserve"> agreement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Agree Support Model between &lt;&lt;CLIENT&gt;&gt; and Partner Organizations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Agree Service Governance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Agree Support Organization including Roles and Responsibilities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Agree Support Processes</w:t>
      </w:r>
    </w:p>
    <w:p w:rsidR="00EE7B4B" w:rsidRDefault="00EE7B4B" w:rsidP="00EE7B4B">
      <w:pPr>
        <w:numPr>
          <w:ilvl w:val="0"/>
          <w:numId w:val="3"/>
        </w:numPr>
        <w:spacing w:before="120" w:after="120" w:line="240" w:lineRule="auto"/>
        <w:ind w:left="7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Service level Agreements (SLA1, 2, 3 and Generic) 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Reporting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Metrics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Reviews</w:t>
      </w:r>
    </w:p>
    <w:p w:rsidR="00EE7B4B" w:rsidRDefault="00EE7B4B" w:rsidP="00EE7B4B">
      <w:pPr>
        <w:numPr>
          <w:ilvl w:val="0"/>
          <w:numId w:val="3"/>
        </w:numPr>
        <w:spacing w:before="120" w:after="120" w:line="240" w:lineRule="auto"/>
        <w:ind w:left="7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Transfer</w:t>
      </w:r>
    </w:p>
    <w:p w:rsidR="00EE7B4B" w:rsidRDefault="00EE7B4B" w:rsidP="00EE7B4B">
      <w:pPr>
        <w:numPr>
          <w:ilvl w:val="0"/>
          <w:numId w:val="3"/>
        </w:numPr>
        <w:spacing w:before="120" w:after="120" w:line="240" w:lineRule="auto"/>
        <w:ind w:left="7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Acceptance Criteria for Transition to Steady </w:t>
      </w:r>
      <w:proofErr w:type="gramStart"/>
      <w:r>
        <w:rPr>
          <w:rFonts w:ascii="Arial" w:hAnsi="Arial" w:cs="Arial"/>
          <w:sz w:val="20"/>
          <w:szCs w:val="20"/>
        </w:rPr>
        <w:t>state</w:t>
      </w:r>
      <w:proofErr w:type="gramEnd"/>
      <w:r>
        <w:rPr>
          <w:rFonts w:ascii="Arial" w:hAnsi="Arial" w:cs="Arial"/>
          <w:sz w:val="20"/>
          <w:szCs w:val="20"/>
        </w:rPr>
        <w:t xml:space="preserve"> Support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Development of a set of acceptance criteria, </w:t>
      </w:r>
      <w:proofErr w:type="gramStart"/>
      <w:r>
        <w:rPr>
          <w:rFonts w:ascii="Arial" w:hAnsi="Arial" w:cs="Arial"/>
          <w:sz w:val="20"/>
          <w:szCs w:val="20"/>
        </w:rPr>
        <w:t>measures</w:t>
      </w:r>
      <w:proofErr w:type="gramEnd"/>
      <w:r>
        <w:rPr>
          <w:rFonts w:ascii="Arial" w:hAnsi="Arial" w:cs="Arial"/>
          <w:sz w:val="20"/>
          <w:szCs w:val="20"/>
        </w:rPr>
        <w:t xml:space="preserve"> and reviewers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Ongoing Monitoring against acceptance criteria and corrective action</w:t>
      </w:r>
    </w:p>
    <w:p w:rsidR="00EE7B4B" w:rsidRDefault="00EE7B4B" w:rsidP="00EE7B4B">
      <w:pPr>
        <w:numPr>
          <w:ilvl w:val="0"/>
          <w:numId w:val="3"/>
        </w:numPr>
        <w:spacing w:before="120" w:after="120" w:line="240" w:lineRule="auto"/>
        <w:ind w:left="7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Support Infrastructure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Agreement and set up on Support Tools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Security Access</w:t>
      </w:r>
    </w:p>
    <w:p w:rsidR="00EE7B4B" w:rsidRDefault="00EE7B4B" w:rsidP="00EE7B4B">
      <w:pPr>
        <w:numPr>
          <w:ilvl w:val="1"/>
          <w:numId w:val="3"/>
        </w:numPr>
        <w:spacing w:after="60" w:line="240" w:lineRule="auto"/>
        <w:ind w:left="143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Support Infrastructure e.g. network connectivity</w:t>
      </w:r>
    </w:p>
    <w:p w:rsidR="00EE7B4B" w:rsidRDefault="00EE7B4B" w:rsidP="00EE7B4B">
      <w:pPr>
        <w:pStyle w:val="IBManswer"/>
        <w:rPr>
          <w:lang w:val="en-US"/>
        </w:rPr>
      </w:pPr>
    </w:p>
    <w:p w:rsidR="00EE7B4B" w:rsidRDefault="00EE7B4B" w:rsidP="00EE7B4B">
      <w:pPr>
        <w:pStyle w:val="Heading2"/>
        <w:spacing w:before="120" w:after="120"/>
        <w:ind w:left="576"/>
        <w:jc w:val="both"/>
        <w:rPr>
          <w:lang w:val="en-US"/>
        </w:rPr>
      </w:pPr>
      <w:bookmarkStart w:id="2" w:name="_Toc493332707"/>
      <w:r>
        <w:rPr>
          <w:lang w:val="en-US"/>
        </w:rPr>
        <w:t>Transition Organization</w:t>
      </w:r>
      <w:bookmarkEnd w:id="2"/>
      <w:r>
        <w:rPr>
          <w:lang w:val="en-US"/>
        </w:rPr>
        <w:t xml:space="preserve"> </w:t>
      </w:r>
    </w:p>
    <w:p w:rsidR="00EE7B4B" w:rsidRDefault="00EE7B4B" w:rsidP="00EE7B4B">
      <w:pPr>
        <w:rPr>
          <w:lang w:eastAsia="en-GB"/>
        </w:rPr>
      </w:pPr>
      <w:r>
        <w:rPr>
          <w:lang w:eastAsia="en-GB"/>
        </w:rPr>
        <w:t xml:space="preserve">IBM will appoint two experienced Transition Project Managers (one on-shore and one offshore) who will provide overall planning, initiation, </w:t>
      </w:r>
      <w:proofErr w:type="gramStart"/>
      <w:r>
        <w:rPr>
          <w:lang w:eastAsia="en-GB"/>
        </w:rPr>
        <w:t>coordination</w:t>
      </w:r>
      <w:proofErr w:type="gramEnd"/>
      <w:r>
        <w:rPr>
          <w:lang w:eastAsia="en-GB"/>
        </w:rPr>
        <w:t xml:space="preserve"> and management of the transition process from initial planning through to Steady State Support.  They will be accountable </w:t>
      </w:r>
      <w:proofErr w:type="gramStart"/>
      <w:r>
        <w:rPr>
          <w:lang w:eastAsia="en-GB"/>
        </w:rPr>
        <w:t>to  &lt;</w:t>
      </w:r>
      <w:proofErr w:type="gramEnd"/>
      <w:r>
        <w:rPr>
          <w:lang w:eastAsia="en-GB"/>
        </w:rPr>
        <w:t xml:space="preserve">&lt;CLIENT&gt;&gt; for the successful transition of the Applications service to steady state support. </w:t>
      </w:r>
    </w:p>
    <w:p w:rsidR="00EE7B4B" w:rsidRDefault="00EE7B4B" w:rsidP="00EE7B4B">
      <w:pPr>
        <w:rPr>
          <w:lang w:eastAsia="en-GB"/>
        </w:rPr>
      </w:pPr>
      <w:r>
        <w:rPr>
          <w:lang w:eastAsia="en-GB"/>
        </w:rPr>
        <w:t xml:space="preserve">IBM also proposes that </w:t>
      </w:r>
      <w:proofErr w:type="gramStart"/>
      <w:r>
        <w:rPr>
          <w:lang w:eastAsia="en-GB"/>
        </w:rPr>
        <w:t>the majority of</w:t>
      </w:r>
      <w:proofErr w:type="gramEnd"/>
      <w:r>
        <w:rPr>
          <w:lang w:eastAsia="en-GB"/>
        </w:rPr>
        <w:t xml:space="preserve"> the IBM team will be located at offshore centers in India during the transition period. The team will be oriented in the following way: </w:t>
      </w:r>
    </w:p>
    <w:p w:rsidR="00EE7B4B" w:rsidRDefault="00EE7B4B" w:rsidP="00EE7B4B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color w:val="FF0000"/>
          <w:highlight w:val="yellow"/>
          <w:lang w:eastAsia="en-GB"/>
        </w:rPr>
        <w:t xml:space="preserve">IBM’s onsite Transition Manager will </w:t>
      </w:r>
      <w:proofErr w:type="gramStart"/>
      <w:r>
        <w:rPr>
          <w:color w:val="FF0000"/>
          <w:highlight w:val="yellow"/>
          <w:lang w:eastAsia="en-GB"/>
        </w:rPr>
        <w:t>be located in</w:t>
      </w:r>
      <w:proofErr w:type="gramEnd"/>
      <w:r>
        <w:rPr>
          <w:color w:val="FF0000"/>
          <w:highlight w:val="yellow"/>
          <w:lang w:eastAsia="en-GB"/>
        </w:rPr>
        <w:t xml:space="preserve"> &lt;&lt;UK&gt;&gt;.</w:t>
      </w:r>
      <w:r>
        <w:rPr>
          <w:color w:val="FF0000"/>
          <w:lang w:eastAsia="en-GB"/>
        </w:rPr>
        <w:t xml:space="preserve"> </w:t>
      </w:r>
      <w:r>
        <w:rPr>
          <w:lang w:eastAsia="en-GB"/>
        </w:rPr>
        <w:t xml:space="preserve">The transition manager will be responsible for the overall transition for &lt;&lt;CLIENT&gt;&gt; applications. The offshore transition </w:t>
      </w:r>
      <w:r>
        <w:rPr>
          <w:lang w:eastAsia="en-GB"/>
        </w:rPr>
        <w:lastRenderedPageBreak/>
        <w:t xml:space="preserve">manager travels to &lt;&lt;CLIENT&gt;&gt; locations for planning and execution of transition of &lt;&lt;CLIENT&gt;&gt; applications. Onsite Transition Manager will work with the &lt;&lt;CLIENT&gt;&gt; stakeholders and its vendors. </w:t>
      </w:r>
    </w:p>
    <w:p w:rsidR="00EE7B4B" w:rsidRDefault="00EE7B4B" w:rsidP="00EE7B4B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The onsite Transition manager will facilitate face to face sessions with the local vendor for &lt;&lt;CLIENT&gt;&gt; resources. </w:t>
      </w:r>
    </w:p>
    <w:p w:rsidR="00EE7B4B" w:rsidRDefault="00EE7B4B" w:rsidP="00EE7B4B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The offshore transition Manager (service Transition manager) will be co-located with offshore team in India. This transition manager will oversee the transition activities at offshore for &lt;&lt;CLIENT&gt;&gt; applications. </w:t>
      </w:r>
      <w:proofErr w:type="gramStart"/>
      <w:r>
        <w:rPr>
          <w:lang w:eastAsia="en-GB"/>
        </w:rPr>
        <w:t>The transition manager will be supported by Service Delivery Manager</w:t>
      </w:r>
      <w:proofErr w:type="gramEnd"/>
      <w:r>
        <w:rPr>
          <w:lang w:eastAsia="en-GB"/>
        </w:rPr>
        <w:t>, responsible for setting up services for &lt;&lt;CLIENT&gt;&gt; applications.</w:t>
      </w:r>
    </w:p>
    <w:p w:rsidR="00EE7B4B" w:rsidRDefault="00EE7B4B" w:rsidP="00EE7B4B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IBM transition team will prepare, </w:t>
      </w:r>
      <w:proofErr w:type="gramStart"/>
      <w:r>
        <w:rPr>
          <w:lang w:eastAsia="en-GB"/>
        </w:rPr>
        <w:t>validate</w:t>
      </w:r>
      <w:proofErr w:type="gramEnd"/>
      <w:r>
        <w:rPr>
          <w:lang w:eastAsia="en-GB"/>
        </w:rPr>
        <w:t xml:space="preserve"> and execute a detailed Transition Plan in consultation with &lt;&lt;CLIENT&gt;&gt; and vendors. The final plan will be shared with &lt;&lt;CLIENT&gt;&gt; and vendors. The plan will be signed off to start transition execution. </w:t>
      </w:r>
    </w:p>
    <w:p w:rsidR="00EE7B4B" w:rsidRDefault="00EE7B4B" w:rsidP="00EE7B4B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The Offshore team will participate in transition via our web conferencing tool called 'IBM SmartCloud Meetings'. This is full-featured online meeting service that integrates Web and video conferencing. SmartCloud Meetings allows users to share their desktops, conduct demonstrations, and deliver presentations. </w:t>
      </w:r>
    </w:p>
    <w:p w:rsidR="00EE7B4B" w:rsidRDefault="00EE7B4B" w:rsidP="00EE7B4B">
      <w:pPr>
        <w:pStyle w:val="IBManswer"/>
        <w:rPr>
          <w:lang w:val="en-US"/>
        </w:rPr>
      </w:pPr>
    </w:p>
    <w:p w:rsidR="00EE7B4B" w:rsidRDefault="00EE7B4B" w:rsidP="00EE7B4B">
      <w:pPr>
        <w:pStyle w:val="Heading2"/>
        <w:spacing w:before="120" w:after="120"/>
        <w:ind w:left="576"/>
        <w:jc w:val="both"/>
        <w:rPr>
          <w:lang w:val="en-US"/>
        </w:rPr>
      </w:pPr>
      <w:bookmarkStart w:id="3" w:name="_Toc493332708"/>
      <w:r>
        <w:rPr>
          <w:lang w:val="en-US"/>
        </w:rPr>
        <w:t xml:space="preserve">Knowledge Transfer Process, </w:t>
      </w:r>
      <w:proofErr w:type="gramStart"/>
      <w:r>
        <w:rPr>
          <w:lang w:val="en-US"/>
        </w:rPr>
        <w:t>Activities</w:t>
      </w:r>
      <w:proofErr w:type="gramEnd"/>
      <w:r>
        <w:rPr>
          <w:lang w:val="en-US"/>
        </w:rPr>
        <w:t xml:space="preserve"> and Deliverables</w:t>
      </w:r>
      <w:bookmarkEnd w:id="3"/>
      <w:r>
        <w:rPr>
          <w:lang w:val="en-US"/>
        </w:rPr>
        <w:t xml:space="preserve"> </w:t>
      </w:r>
    </w:p>
    <w:p w:rsidR="00EE7B4B" w:rsidRDefault="00EE7B4B" w:rsidP="00EE7B4B">
      <w:pPr>
        <w:pStyle w:val="IBMansw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89026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4B" w:rsidRDefault="00EE7B4B" w:rsidP="00EE7B4B">
      <w:pPr>
        <w:rPr>
          <w:lang w:eastAsia="en-GB"/>
        </w:rPr>
      </w:pPr>
      <w:r>
        <w:rPr>
          <w:lang w:eastAsia="en-GB"/>
        </w:rPr>
        <w:t>The Application Knowledge transfer will be carried out in well-defined stages with clear entry and exit criteria and clear reporting of progress. The main Application Knowledge Transfer phases will be:</w:t>
      </w:r>
    </w:p>
    <w:p w:rsidR="00EE7B4B" w:rsidRDefault="00EE7B4B" w:rsidP="00EE7B4B">
      <w:pPr>
        <w:numPr>
          <w:ilvl w:val="0"/>
          <w:numId w:val="5"/>
        </w:numPr>
        <w:spacing w:before="120" w:after="12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Application specific planning (ASP)</w:t>
      </w:r>
    </w:p>
    <w:p w:rsidR="00EE7B4B" w:rsidRDefault="00EE7B4B" w:rsidP="00EE7B4B">
      <w:pPr>
        <w:numPr>
          <w:ilvl w:val="1"/>
          <w:numId w:val="3"/>
        </w:numPr>
        <w:spacing w:before="60" w:after="6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Detailed transition plan will be prepared</w:t>
      </w:r>
    </w:p>
    <w:p w:rsidR="00EE7B4B" w:rsidRDefault="00EE7B4B" w:rsidP="00EE7B4B">
      <w:pPr>
        <w:numPr>
          <w:ilvl w:val="1"/>
          <w:numId w:val="3"/>
        </w:numPr>
        <w:spacing w:before="60" w:after="6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Entry and exit criteria will be agreed upon by IBM and &lt;&lt;CLIENT&gt;&gt;</w:t>
      </w:r>
    </w:p>
    <w:p w:rsidR="00EE7B4B" w:rsidRDefault="00EE7B4B" w:rsidP="00EE7B4B">
      <w:pPr>
        <w:numPr>
          <w:ilvl w:val="1"/>
          <w:numId w:val="3"/>
        </w:numPr>
        <w:spacing w:before="60" w:after="6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Governance will be established.</w:t>
      </w:r>
    </w:p>
    <w:p w:rsidR="00EE7B4B" w:rsidRDefault="00EE7B4B" w:rsidP="00EE7B4B">
      <w:pPr>
        <w:numPr>
          <w:ilvl w:val="1"/>
          <w:numId w:val="3"/>
        </w:numPr>
        <w:spacing w:before="60" w:after="6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Risks, Escalation Matrix, Reporting mechanism will be agreed upon</w:t>
      </w:r>
    </w:p>
    <w:p w:rsidR="00EE7B4B" w:rsidRDefault="00EE7B4B" w:rsidP="00EE7B4B">
      <w:pPr>
        <w:numPr>
          <w:ilvl w:val="0"/>
          <w:numId w:val="5"/>
        </w:numPr>
        <w:spacing w:before="120" w:after="12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Guided perform (GP) - Existing support team will be primary. IBM team will start understanding applications. The on-site Functional Support Team will ‘shadow’ existing support team and IBM implementation/interim support team in the resolution of L2/3 calls.</w:t>
      </w:r>
    </w:p>
    <w:p w:rsidR="00EE7B4B" w:rsidRDefault="00EE7B4B" w:rsidP="00EE7B4B">
      <w:pPr>
        <w:numPr>
          <w:ilvl w:val="0"/>
          <w:numId w:val="5"/>
        </w:numPr>
        <w:spacing w:before="120" w:after="120" w:line="240" w:lineRule="auto"/>
        <w:rPr>
          <w:rFonts w:ascii="Arial" w:eastAsia="Times New Roman" w:hAnsi="Arial"/>
          <w:sz w:val="21"/>
          <w:szCs w:val="21"/>
          <w:lang w:eastAsia="en-GB"/>
        </w:rPr>
      </w:pPr>
      <w:r>
        <w:rPr>
          <w:rFonts w:eastAsia="Times New Roman"/>
          <w:lang w:eastAsia="en-GB"/>
        </w:rPr>
        <w:t>Assisted perform (AP) -IBM team and existing support team will own joint responsibilities of defect fixing, monitoring and other tasks. Current support team will review all tasks done by IBM team. The on-site Functional Support Team will lead the resolution of L2/3 calls with</w:t>
      </w:r>
      <w:r>
        <w:rPr>
          <w:rFonts w:ascii="Arial" w:eastAsia="Times New Roman" w:hAnsi="Arial"/>
          <w:sz w:val="21"/>
          <w:szCs w:val="21"/>
          <w:lang w:eastAsia="en-GB"/>
        </w:rPr>
        <w:t xml:space="preserve"> the </w:t>
      </w:r>
      <w:r>
        <w:rPr>
          <w:rFonts w:eastAsia="Times New Roman"/>
          <w:lang w:eastAsia="en-GB"/>
        </w:rPr>
        <w:t>assistance of &lt;&lt;CLIENT&gt;&gt; and IBM implementation/interim support team. Problem analysis and problem solving will be a joint responsibility.</w:t>
      </w:r>
    </w:p>
    <w:p w:rsidR="00EE7B4B" w:rsidRDefault="00EE7B4B" w:rsidP="00EE7B4B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Parallel perform (PP) – IBM team will primarily start support applications and existing team will monitor and review. This will demonstrate the knowledge gained during the Knowledge Transfer phases.</w:t>
      </w:r>
    </w:p>
    <w:p w:rsidR="00EE7B4B" w:rsidRDefault="00EE7B4B" w:rsidP="00EE7B4B">
      <w:pPr>
        <w:pStyle w:val="ListParagraph"/>
        <w:numPr>
          <w:ilvl w:val="0"/>
          <w:numId w:val="5"/>
        </w:numPr>
      </w:pPr>
      <w:r>
        <w:t>Steady State (SS)- IBM team will begin AMS Support</w:t>
      </w:r>
    </w:p>
    <w:p w:rsidR="00EE7B4B" w:rsidRDefault="00EE7B4B" w:rsidP="00EE7B4B">
      <w:pPr>
        <w:pStyle w:val="IBManswer"/>
        <w:ind w:left="720"/>
        <w:rPr>
          <w:lang w:val="en-US"/>
        </w:rPr>
      </w:pPr>
    </w:p>
    <w:p w:rsidR="00EE7B4B" w:rsidRDefault="00EE7B4B" w:rsidP="00EE7B4B">
      <w:pPr>
        <w:pStyle w:val="Heading2"/>
        <w:spacing w:before="120" w:after="120"/>
        <w:ind w:left="576"/>
        <w:jc w:val="both"/>
        <w:rPr>
          <w:lang w:val="en-US"/>
        </w:rPr>
      </w:pPr>
      <w:bookmarkStart w:id="4" w:name="_Toc493332709"/>
      <w:r>
        <w:rPr>
          <w:lang w:val="en-US"/>
        </w:rPr>
        <w:t>Transition Plan and Time Table</w:t>
      </w:r>
      <w:bookmarkEnd w:id="4"/>
    </w:p>
    <w:p w:rsidR="00EE7B4B" w:rsidRDefault="00EE7B4B" w:rsidP="00EE7B4B">
      <w:r>
        <w:rPr>
          <w:color w:val="FF0000"/>
          <w:highlight w:val="yellow"/>
        </w:rPr>
        <w:t>&lt;&lt;For all applications in scope, t</w:t>
      </w:r>
      <w:r>
        <w:rPr>
          <w:color w:val="FF0000"/>
          <w:highlight w:val="yellow"/>
          <w:lang w:val="en-GB"/>
        </w:rPr>
        <w:t xml:space="preserve">he </w:t>
      </w:r>
      <w:r>
        <w:rPr>
          <w:color w:val="FF0000"/>
          <w:highlight w:val="yellow"/>
        </w:rPr>
        <w:t>overall transition will be carried out over period of 10 weeks for &lt;&lt;CLIENT&gt;</w:t>
      </w:r>
      <w:proofErr w:type="gramStart"/>
      <w:r>
        <w:rPr>
          <w:color w:val="FF0000"/>
          <w:highlight w:val="yellow"/>
        </w:rPr>
        <w:t>&gt;  applications</w:t>
      </w:r>
      <w:proofErr w:type="gramEnd"/>
      <w:r>
        <w:rPr>
          <w:color w:val="FF0000"/>
          <w:highlight w:val="yellow"/>
        </w:rPr>
        <w:t xml:space="preserve"> starting &lt;&lt;DATE&gt;. till &lt;&lt;DATE&gt;&gt;.</w:t>
      </w:r>
      <w:r>
        <w:rPr>
          <w:color w:val="FF0000"/>
        </w:rPr>
        <w:t xml:space="preserve"> </w:t>
      </w:r>
      <w:r>
        <w:t xml:space="preserve">The initial two weeks is reserved for a planning phase involving application specific planning. From week three, knowledge transfer commences. </w:t>
      </w:r>
    </w:p>
    <w:p w:rsidR="00EE7B4B" w:rsidRDefault="00EE7B4B" w:rsidP="00EE7B4B">
      <w:pPr>
        <w:rPr>
          <w:lang w:eastAsia="en-GB"/>
        </w:rPr>
      </w:pPr>
      <w:r>
        <w:rPr>
          <w:lang w:eastAsia="en-GB"/>
        </w:rPr>
        <w:t>Following is sample transition plan for the phases and applications used.</w:t>
      </w:r>
    </w:p>
    <w:p w:rsidR="00EE7B4B" w:rsidRDefault="00EE7B4B" w:rsidP="00EE7B4B">
      <w:pPr>
        <w:pStyle w:val="BodyText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>
            <wp:extent cx="589026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4B" w:rsidRDefault="00EE7B4B" w:rsidP="00EE7B4B">
      <w:pPr>
        <w:pStyle w:val="BodyText"/>
        <w:rPr>
          <w:lang w:val="en-GB"/>
        </w:rPr>
      </w:pPr>
    </w:p>
    <w:p w:rsidR="00EE7B4B" w:rsidRDefault="00EE7B4B" w:rsidP="00EE7B4B">
      <w:pPr>
        <w:pStyle w:val="Heading2"/>
        <w:spacing w:before="120" w:after="120"/>
        <w:ind w:left="576"/>
        <w:jc w:val="both"/>
        <w:rPr>
          <w:lang w:val="en-US"/>
        </w:rPr>
      </w:pPr>
      <w:bookmarkStart w:id="5" w:name="_Toc493332710"/>
      <w:r>
        <w:rPr>
          <w:lang w:val="en-US"/>
        </w:rPr>
        <w:t xml:space="preserve">Transition Assumptions, </w:t>
      </w:r>
      <w:proofErr w:type="gramStart"/>
      <w:r>
        <w:rPr>
          <w:lang w:val="en-US"/>
        </w:rPr>
        <w:t>Risks</w:t>
      </w:r>
      <w:proofErr w:type="gramEnd"/>
      <w:r>
        <w:rPr>
          <w:lang w:val="en-US"/>
        </w:rPr>
        <w:t xml:space="preserve"> and Mitigation</w:t>
      </w:r>
      <w:bookmarkEnd w:id="5"/>
    </w:p>
    <w:p w:rsidR="00EE7B4B" w:rsidRDefault="00EE7B4B" w:rsidP="00EE7B4B">
      <w:pPr>
        <w:spacing w:before="120" w:after="120" w:line="276" w:lineRule="auto"/>
        <w:jc w:val="both"/>
        <w:rPr>
          <w:rFonts w:cs="Arial"/>
        </w:rPr>
      </w:pPr>
      <w:r>
        <w:rPr>
          <w:rFonts w:cs="Arial"/>
        </w:rPr>
        <w:t>Following are the assumptions &amp; dependencies envisaged by IBM for Managed Service and Applications: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  <w:rPr>
          <w:rFonts w:cs="Times New Roman"/>
        </w:rPr>
      </w:pPr>
      <w:r>
        <w:rPr>
          <w:b/>
          <w:color w:val="FF0000"/>
          <w:highlight w:val="yellow"/>
        </w:rPr>
        <w:t>&lt;&lt;Transition duration is of 10 weeks &gt;&gt;</w:t>
      </w:r>
      <w:r>
        <w:rPr>
          <w:color w:val="FF0000"/>
        </w:rPr>
        <w:t xml:space="preserve"> </w:t>
      </w:r>
      <w:r>
        <w:t>for &lt;&lt;CLIENT&gt;&gt;’s Applications</w:t>
      </w:r>
      <w:r>
        <w:rPr>
          <w:b/>
          <w:color w:val="FF0000"/>
          <w:highlight w:val="yellow"/>
        </w:rPr>
        <w:t>, &lt;&lt; two weeks &gt;&gt;</w:t>
      </w:r>
      <w:r>
        <w:t xml:space="preserve">is considered for overall transition planning and Application Specific Planning. Key &lt;&lt;CLIENT&gt;&gt; application SMEs are required to be made available to IBM to agree on planning. 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t xml:space="preserve">KT requiring SMEs to share vacation plans while application specific planning is performed. 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lastRenderedPageBreak/>
        <w:t xml:space="preserve">&lt;&lt;CLIENT&gt;&gt; to allow usage of IBM SmartCloud to enable remote knowledge transfer sessions. Recording tool to be installed on the KT provider workstation to record the sessions for future use. 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t xml:space="preserve">Access to all applications is provided to KT recipients by &lt;&lt;CLIENT&gt;&gt; before completion of the planning Phase. Transition Manager Access to be raised much earlier to enable quicker knowledge information to be plan transition activities. 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t>&lt;&lt;CLIENT&gt;&gt; to arrange backup resources in case the KT providing resource is not available during transition, with no delays.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t>All the key KT providing resources to be retained until the end of transition. Releasing resources will cause loss of knowledge and delayed transition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t xml:space="preserve">Delays may occur due to translation activity; particularly in the case that documentation is large. 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t>IBM requests access to the documentation repository to be available before start of transition.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t>&lt;&lt;CLIENT&gt;&gt; to identify SPOCs to help IBM with network connectivity between &lt;&lt;CLIENT&gt;&gt; Locations to IBM Offshore. Access to the network from IBM locations to be set up before start of GP Phase.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t>&lt;&lt;CLIENT&gt;&gt; counterpart has bandwidth and time required to review and approve deliverables as well as attend workshops, to discuss and decide on structure and governance model, as outlined in contract documents.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t>Process SME’s identified during the beginning of the work stream are retained until completion of transition. It is assumed that most of the SME reviews / approvals would not go into multiple iterations as SMEs are experienced and committed to the project.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t xml:space="preserve">All available processes and documentation to be provided by &lt;&lt;CLIENT&gt;&gt; to IBM, </w:t>
      </w:r>
      <w:proofErr w:type="gramStart"/>
      <w:r>
        <w:t>in order to</w:t>
      </w:r>
      <w:proofErr w:type="gramEnd"/>
      <w:r>
        <w:t xml:space="preserve"> align documentation prior to the Support Service Commencement Dates. </w:t>
      </w:r>
    </w:p>
    <w:p w:rsidR="00EE7B4B" w:rsidRDefault="00EE7B4B" w:rsidP="00EE7B4B">
      <w:pPr>
        <w:numPr>
          <w:ilvl w:val="0"/>
          <w:numId w:val="5"/>
        </w:numPr>
        <w:spacing w:before="60" w:after="60" w:line="276" w:lineRule="auto"/>
        <w:ind w:left="714" w:hanging="357"/>
        <w:jc w:val="both"/>
      </w:pPr>
      <w:r>
        <w:t xml:space="preserve">Measurements, reports of applied SL metrics performed by earlier suppliers or/and &lt;&lt;CLIENT&gt;&gt; required to check for measurements &amp; validate baseline data, as per contractual targets. </w:t>
      </w:r>
    </w:p>
    <w:p w:rsidR="00EE7B4B" w:rsidRDefault="00EE7B4B" w:rsidP="00EE7B4B">
      <w:pPr>
        <w:rPr>
          <w:rFonts w:cs="Arial"/>
          <w:lang w:val="en-GB"/>
        </w:rPr>
      </w:pPr>
    </w:p>
    <w:p w:rsidR="00EE7B4B" w:rsidRDefault="00EE7B4B" w:rsidP="00EE7B4B">
      <w:pPr>
        <w:rPr>
          <w:rFonts w:cs="Arial"/>
          <w:lang w:val="en-GB"/>
        </w:rPr>
      </w:pPr>
    </w:p>
    <w:p w:rsidR="00EE7B4B" w:rsidRDefault="00EE7B4B" w:rsidP="00EE7B4B">
      <w:pPr>
        <w:rPr>
          <w:rFonts w:cs="Arial"/>
          <w:lang w:val="en-GB"/>
        </w:rPr>
      </w:pPr>
    </w:p>
    <w:p w:rsidR="003B56DC" w:rsidRDefault="00EE7B4B">
      <w:bookmarkStart w:id="6" w:name="_GoBack"/>
      <w:bookmarkEnd w:id="6"/>
    </w:p>
    <w:sectPr w:rsidR="003B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050E1"/>
    <w:multiLevelType w:val="hybridMultilevel"/>
    <w:tmpl w:val="2D883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06CB"/>
    <w:multiLevelType w:val="hybridMultilevel"/>
    <w:tmpl w:val="9B32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94B19"/>
    <w:multiLevelType w:val="multilevel"/>
    <w:tmpl w:val="D8D0455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2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80358BB"/>
    <w:multiLevelType w:val="hybridMultilevel"/>
    <w:tmpl w:val="85E0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4B"/>
    <w:rsid w:val="000F56A6"/>
    <w:rsid w:val="001D516F"/>
    <w:rsid w:val="00225AE0"/>
    <w:rsid w:val="004B3CAE"/>
    <w:rsid w:val="00544A7D"/>
    <w:rsid w:val="005D1EC4"/>
    <w:rsid w:val="00721650"/>
    <w:rsid w:val="008043C1"/>
    <w:rsid w:val="00816EB1"/>
    <w:rsid w:val="00935AE0"/>
    <w:rsid w:val="00993CFC"/>
    <w:rsid w:val="00AF4542"/>
    <w:rsid w:val="00B51A1C"/>
    <w:rsid w:val="00DB7764"/>
    <w:rsid w:val="00EE7B4B"/>
    <w:rsid w:val="00EF7E64"/>
    <w:rsid w:val="00F4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D2670-11E7-4618-BF51-4D3DE5DC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EE7B4B"/>
    <w:pPr>
      <w:keepNext/>
      <w:pageBreakBefore/>
      <w:numPr>
        <w:numId w:val="1"/>
      </w:numPr>
      <w:tabs>
        <w:tab w:val="left" w:pos="720"/>
      </w:tabs>
      <w:spacing w:before="360" w:after="0" w:line="240" w:lineRule="auto"/>
      <w:outlineLvl w:val="0"/>
    </w:pPr>
    <w:rPr>
      <w:rFonts w:ascii="Arial" w:eastAsia="Times New Roman" w:hAnsi="Arial" w:cs="Times New Roman"/>
      <w:b/>
      <w:bCs/>
      <w:color w:val="00B2EF"/>
      <w:sz w:val="36"/>
      <w:szCs w:val="44"/>
      <w:lang w:val="x-none" w:eastAsia="en-GB"/>
    </w:rPr>
  </w:style>
  <w:style w:type="paragraph" w:styleId="Heading2">
    <w:name w:val="heading 2"/>
    <w:basedOn w:val="Normal"/>
    <w:next w:val="IBManswer"/>
    <w:link w:val="Heading2Char"/>
    <w:uiPriority w:val="9"/>
    <w:semiHidden/>
    <w:unhideWhenUsed/>
    <w:qFormat/>
    <w:rsid w:val="00EE7B4B"/>
    <w:pPr>
      <w:keepNext/>
      <w:keepLines/>
      <w:numPr>
        <w:ilvl w:val="1"/>
        <w:numId w:val="1"/>
      </w:numPr>
      <w:tabs>
        <w:tab w:val="left" w:pos="720"/>
        <w:tab w:val="left" w:pos="794"/>
      </w:tabs>
      <w:spacing w:before="240" w:after="60" w:line="240" w:lineRule="auto"/>
      <w:outlineLvl w:val="1"/>
    </w:pPr>
    <w:rPr>
      <w:rFonts w:ascii="Arial" w:eastAsia="Times New Roman" w:hAnsi="Arial" w:cs="Times New Roman"/>
      <w:b/>
      <w:bCs/>
      <w:iCs/>
      <w:sz w:val="24"/>
      <w:lang w:val="x-none" w:eastAsia="en-GB"/>
    </w:rPr>
  </w:style>
  <w:style w:type="paragraph" w:styleId="Heading3">
    <w:name w:val="heading 3"/>
    <w:basedOn w:val="Normal"/>
    <w:next w:val="IBManswer"/>
    <w:link w:val="Heading3Char"/>
    <w:uiPriority w:val="9"/>
    <w:semiHidden/>
    <w:unhideWhenUsed/>
    <w:qFormat/>
    <w:rsid w:val="00EE7B4B"/>
    <w:pPr>
      <w:keepNext/>
      <w:numPr>
        <w:ilvl w:val="2"/>
        <w:numId w:val="1"/>
      </w:numPr>
      <w:tabs>
        <w:tab w:val="left" w:pos="851"/>
      </w:tabs>
      <w:spacing w:before="240" w:after="0" w:line="240" w:lineRule="auto"/>
      <w:outlineLvl w:val="2"/>
    </w:pPr>
    <w:rPr>
      <w:rFonts w:ascii="Arial Bold" w:eastAsia="Times New Roman" w:hAnsi="Arial Bold" w:cs="Times New Roman"/>
      <w:b/>
      <w:bCs/>
      <w:color w:val="000000"/>
      <w:sz w:val="24"/>
      <w:lang w:val="x-none" w:eastAsia="en-GB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EE7B4B"/>
    <w:pPr>
      <w:keepNext/>
      <w:numPr>
        <w:ilvl w:val="3"/>
        <w:numId w:val="1"/>
      </w:numPr>
      <w:tabs>
        <w:tab w:val="left" w:pos="720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bCs/>
      <w:color w:val="00B2EF"/>
      <w:sz w:val="21"/>
      <w:szCs w:val="20"/>
      <w:lang w:val="x-non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4B"/>
    <w:rPr>
      <w:rFonts w:ascii="Arial" w:eastAsia="Times New Roman" w:hAnsi="Arial" w:cs="Times New Roman"/>
      <w:b/>
      <w:bCs/>
      <w:color w:val="00B2EF"/>
      <w:sz w:val="36"/>
      <w:szCs w:val="44"/>
      <w:lang w:val="x-none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B4B"/>
    <w:rPr>
      <w:rFonts w:ascii="Arial" w:eastAsia="Times New Roman" w:hAnsi="Arial" w:cs="Times New Roman"/>
      <w:b/>
      <w:bCs/>
      <w:iCs/>
      <w:sz w:val="24"/>
      <w:lang w:val="x-none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B4B"/>
    <w:rPr>
      <w:rFonts w:ascii="Arial Bold" w:eastAsia="Times New Roman" w:hAnsi="Arial Bold" w:cs="Times New Roman"/>
      <w:b/>
      <w:bCs/>
      <w:color w:val="000000"/>
      <w:sz w:val="24"/>
      <w:lang w:val="x-none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B4B"/>
    <w:rPr>
      <w:rFonts w:ascii="Arial" w:eastAsia="Times New Roman" w:hAnsi="Arial" w:cs="Times New Roman"/>
      <w:b/>
      <w:bCs/>
      <w:color w:val="00B2EF"/>
      <w:sz w:val="21"/>
      <w:szCs w:val="20"/>
      <w:lang w:val="x-none" w:eastAsia="en-GB"/>
    </w:rPr>
  </w:style>
  <w:style w:type="paragraph" w:styleId="BodyText">
    <w:name w:val="Body Text"/>
    <w:aliases w:val="Body Text Char Char,bt Char Char,BODY TEXT Char Cha..."/>
    <w:basedOn w:val="Normal"/>
    <w:link w:val="BodyTextChar"/>
    <w:semiHidden/>
    <w:unhideWhenUsed/>
    <w:qFormat/>
    <w:rsid w:val="00EE7B4B"/>
    <w:pPr>
      <w:spacing w:before="120" w:after="120" w:line="240" w:lineRule="auto"/>
    </w:pPr>
    <w:rPr>
      <w:rFonts w:ascii="Arial" w:eastAsia="Times New Roman" w:hAnsi="Arial" w:cs="Times New Roman"/>
      <w:sz w:val="21"/>
      <w:szCs w:val="21"/>
      <w:lang w:val="x-none" w:eastAsia="en-GB"/>
    </w:rPr>
  </w:style>
  <w:style w:type="character" w:customStyle="1" w:styleId="BodyTextChar">
    <w:name w:val="Body Text Char"/>
    <w:aliases w:val="Body Text Char Char Char,bt Char Char Char,BODY TEXT Char Cha... Char"/>
    <w:basedOn w:val="DefaultParagraphFont"/>
    <w:link w:val="BodyText"/>
    <w:semiHidden/>
    <w:rsid w:val="00EE7B4B"/>
    <w:rPr>
      <w:rFonts w:ascii="Arial" w:eastAsia="Times New Roman" w:hAnsi="Arial" w:cs="Times New Roman"/>
      <w:sz w:val="21"/>
      <w:szCs w:val="21"/>
      <w:lang w:val="x-none" w:eastAsia="en-GB"/>
    </w:rPr>
  </w:style>
  <w:style w:type="paragraph" w:customStyle="1" w:styleId="IBManswer">
    <w:name w:val="IBM answer"/>
    <w:basedOn w:val="BodyText"/>
    <w:rsid w:val="00EE7B4B"/>
    <w:rPr>
      <w:color w:val="0070C0"/>
      <w:sz w:val="24"/>
    </w:rPr>
  </w:style>
  <w:style w:type="paragraph" w:styleId="ListParagraph">
    <w:name w:val="List Paragraph"/>
    <w:aliases w:val="Ref,Bullet List Paragraph,Equipment,EG Bullet 1,List Paragraph11,List Paragraph111,Bulleted List1,b1,Bullet for no #'s,Body Bullet,Table Number Paragraph,List Paragraph 1,B1,Figure_name,bl1,lp"/>
    <w:basedOn w:val="Normal"/>
    <w:uiPriority w:val="34"/>
    <w:qFormat/>
    <w:rsid w:val="00EE7B4B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 Ravi</dc:creator>
  <cp:keywords/>
  <dc:description/>
  <cp:lastModifiedBy>PURAB Ravi</cp:lastModifiedBy>
  <cp:revision>1</cp:revision>
  <dcterms:created xsi:type="dcterms:W3CDTF">2017-09-21T10:58:00Z</dcterms:created>
  <dcterms:modified xsi:type="dcterms:W3CDTF">2017-09-21T10:59:00Z</dcterms:modified>
</cp:coreProperties>
</file>