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4C8A" w14:textId="77777777" w:rsidR="00A03DA1" w:rsidRDefault="00A03DA1" w:rsidP="00A03DA1">
      <w:pPr>
        <w:shd w:val="clear" w:color="auto" w:fill="FFFFFF"/>
        <w:spacing w:after="0"/>
        <w:jc w:val="center"/>
        <w:rPr>
          <w:rFonts w:ascii="Roboto" w:hAnsi="Roboto"/>
          <w:color w:val="262626"/>
        </w:rPr>
      </w:pPr>
      <w:r>
        <w:rPr>
          <w:rFonts w:ascii="Roboto" w:hAnsi="Roboto"/>
          <w:color w:val="262626"/>
        </w:rPr>
        <w:fldChar w:fldCharType="begin"/>
      </w:r>
      <w:r>
        <w:rPr>
          <w:rFonts w:ascii="Roboto" w:hAnsi="Roboto"/>
          <w:color w:val="262626"/>
        </w:rPr>
        <w:instrText xml:space="preserve"> INCLUDEPICTURE "https://my.tugboatlogic.com/assets/4021a79a.svg" \* MERGEFORMATINET </w:instrText>
      </w:r>
      <w:r>
        <w:rPr>
          <w:rFonts w:ascii="Roboto" w:hAnsi="Roboto"/>
          <w:color w:val="262626"/>
        </w:rPr>
        <w:fldChar w:fldCharType="separate"/>
      </w:r>
      <w:r>
        <w:rPr>
          <w:rFonts w:ascii="Roboto" w:hAnsi="Roboto"/>
          <w:color w:val="262626"/>
        </w:rPr>
        <w:pict w14:anchorId="21D6E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ertification Automation Policies S" style="width:24.25pt;height:24.25pt"/>
        </w:pict>
      </w:r>
      <w:r>
        <w:rPr>
          <w:rFonts w:ascii="Roboto" w:hAnsi="Roboto"/>
          <w:color w:val="262626"/>
        </w:rPr>
        <w:fldChar w:fldCharType="end"/>
      </w:r>
      <w:r>
        <w:rPr>
          <w:rStyle w:val="ant4-divider-inner-text"/>
          <w:rFonts w:ascii="Roboto" w:hAnsi="Roboto"/>
          <w:color w:val="262626"/>
        </w:rPr>
        <w:t> Policy</w:t>
      </w:r>
    </w:p>
    <w:p w14:paraId="0546216E" w14:textId="7D52DC01" w:rsidR="00A03DA1" w:rsidRDefault="00A03DA1" w:rsidP="00A03DA1">
      <w:pPr>
        <w:pStyle w:val="Heading1"/>
        <w:spacing w:before="0" w:after="120"/>
        <w:rPr>
          <w:rFonts w:ascii="Times New Roman" w:hAnsi="Times New Roman"/>
          <w:b w:val="0"/>
          <w:bCs w:val="0"/>
          <w:color w:val="262626"/>
          <w:sz w:val="43"/>
          <w:szCs w:val="43"/>
        </w:rPr>
      </w:pPr>
      <w:r>
        <w:rPr>
          <w:rStyle w:val="Strong"/>
          <w:b/>
          <w:bCs/>
          <w:color w:val="262626"/>
          <w:sz w:val="43"/>
          <w:szCs w:val="43"/>
        </w:rPr>
        <w:t>Company</w:t>
      </w:r>
      <w:r>
        <w:rPr>
          <w:rStyle w:val="Strong"/>
          <w:b/>
          <w:bCs/>
          <w:color w:val="262626"/>
          <w:sz w:val="43"/>
          <w:szCs w:val="43"/>
        </w:rPr>
        <w:t xml:space="preserve"> Data Retention and Disposal Policy</w:t>
      </w:r>
    </w:p>
    <w:p w14:paraId="6E7D1D86" w14:textId="77777777" w:rsidR="00A03DA1" w:rsidRDefault="00A03DA1" w:rsidP="00A03DA1">
      <w:pPr>
        <w:pStyle w:val="Heading2"/>
        <w:spacing w:before="0" w:after="120"/>
        <w:rPr>
          <w:b w:val="0"/>
          <w:bCs w:val="0"/>
          <w:color w:val="262626"/>
          <w:sz w:val="36"/>
          <w:szCs w:val="36"/>
        </w:rPr>
      </w:pPr>
      <w:r>
        <w:rPr>
          <w:rStyle w:val="Strong"/>
          <w:b/>
          <w:bCs/>
          <w:color w:val="262626"/>
        </w:rPr>
        <w:t>1.0 Purpose</w:t>
      </w:r>
    </w:p>
    <w:p w14:paraId="50E29018" w14:textId="77777777" w:rsidR="00A03DA1" w:rsidRDefault="00A03DA1" w:rsidP="00A03DA1">
      <w:pPr>
        <w:pStyle w:val="NormalWeb"/>
        <w:spacing w:before="0" w:beforeAutospacing="0" w:after="240" w:afterAutospacing="0"/>
      </w:pPr>
      <w:r>
        <w:t xml:space="preserve">The purpose of this policy is to mitigate threats of non-compliance with regulatory, </w:t>
      </w:r>
      <w:proofErr w:type="gramStart"/>
      <w:r>
        <w:t>legal</w:t>
      </w:r>
      <w:proofErr w:type="gramEnd"/>
      <w:r>
        <w:t xml:space="preserve"> and contractual requirements regarding data retention and disposal policies.</w:t>
      </w:r>
    </w:p>
    <w:p w14:paraId="1EBED0A6" w14:textId="77777777" w:rsidR="00A03DA1" w:rsidRDefault="00A03DA1" w:rsidP="00A03DA1">
      <w:pPr>
        <w:pStyle w:val="Heading2"/>
        <w:spacing w:before="0" w:after="120"/>
        <w:rPr>
          <w:b w:val="0"/>
          <w:bCs w:val="0"/>
          <w:color w:val="262626"/>
        </w:rPr>
      </w:pPr>
      <w:r>
        <w:rPr>
          <w:rStyle w:val="Strong"/>
          <w:b/>
          <w:bCs/>
          <w:color w:val="262626"/>
        </w:rPr>
        <w:t>2.0 Scope</w:t>
      </w:r>
    </w:p>
    <w:p w14:paraId="1957214F" w14:textId="2D7771F9" w:rsidR="00A03DA1" w:rsidRDefault="00A03DA1" w:rsidP="00A03DA1">
      <w:pPr>
        <w:pStyle w:val="NormalWeb"/>
        <w:spacing w:before="0" w:beforeAutospacing="0" w:after="240" w:afterAutospacing="0"/>
      </w:pPr>
      <w:r>
        <w:t xml:space="preserve">This policy applies to all data assets of </w:t>
      </w:r>
      <w:r>
        <w:t>Company</w:t>
      </w:r>
      <w:r>
        <w:t xml:space="preserve">, whether owned or provided by a third party. </w:t>
      </w:r>
      <w:r>
        <w:t>Company</w:t>
      </w:r>
      <w:r>
        <w:t xml:space="preserve"> data assets include, without limitation: Intellectual Property (IP), Personally Identifiable Information (PII) and Personal Health Information (PHI) for employees, customers, other third parties, Business-Sensitive Information (BSI), financial information, other non-public data or information assets deemed the property of </w:t>
      </w:r>
      <w:r>
        <w:t>Company</w:t>
      </w:r>
      <w:r>
        <w:t>.</w:t>
      </w:r>
    </w:p>
    <w:p w14:paraId="3EA5A599" w14:textId="77777777" w:rsidR="00A03DA1" w:rsidRDefault="00A03DA1" w:rsidP="00A03DA1">
      <w:pPr>
        <w:pStyle w:val="Heading2"/>
        <w:spacing w:before="0" w:after="120"/>
        <w:rPr>
          <w:b w:val="0"/>
          <w:bCs w:val="0"/>
          <w:color w:val="262626"/>
        </w:rPr>
      </w:pPr>
      <w:r>
        <w:rPr>
          <w:rStyle w:val="Strong"/>
          <w:b/>
          <w:bCs/>
          <w:color w:val="262626"/>
        </w:rPr>
        <w:t>3.0 Roles and Responsibilities</w:t>
      </w:r>
    </w:p>
    <w:p w14:paraId="73CEA683" w14:textId="77777777" w:rsidR="00A03DA1" w:rsidRDefault="00A03DA1" w:rsidP="00A03DA1">
      <w:pPr>
        <w:pStyle w:val="Heading3"/>
        <w:spacing w:before="0" w:after="120"/>
        <w:rPr>
          <w:b w:val="0"/>
          <w:bCs w:val="0"/>
          <w:color w:val="262626"/>
        </w:rPr>
      </w:pPr>
      <w:r>
        <w:rPr>
          <w:rStyle w:val="Strong"/>
          <w:b/>
          <w:bCs/>
          <w:color w:val="262626"/>
        </w:rPr>
        <w:t>3.1. Data Owners</w:t>
      </w:r>
    </w:p>
    <w:p w14:paraId="59D6D7D0" w14:textId="1CB707D2" w:rsidR="00A03DA1" w:rsidRDefault="00A03DA1" w:rsidP="00A03DA1">
      <w:pPr>
        <w:pStyle w:val="NormalWeb"/>
        <w:spacing w:before="0" w:beforeAutospacing="0" w:after="240" w:afterAutospacing="0"/>
      </w:pPr>
      <w:r>
        <w:t xml:space="preserve">A data owner is a person who is ultimately responsible for the data and information being collected and maintained by their department or division. All data within </w:t>
      </w:r>
      <w:r>
        <w:t>Company</w:t>
      </w:r>
      <w:r>
        <w:t xml:space="preserve"> must be assigned a data owner, either directly or indirectly, through their roles and responsibilities in the organization. The responsibilities of the data owners include defining data retention, destruction and/or de-identification (including data de-identification of PII after collection if it is not required) requirements and making sure they are enforced.</w:t>
      </w:r>
    </w:p>
    <w:p w14:paraId="222239E1" w14:textId="77777777" w:rsidR="00A03DA1" w:rsidRDefault="00A03DA1" w:rsidP="00A03DA1">
      <w:pPr>
        <w:pStyle w:val="Heading3"/>
        <w:spacing w:before="0" w:after="120"/>
        <w:rPr>
          <w:b w:val="0"/>
          <w:bCs w:val="0"/>
          <w:color w:val="262626"/>
        </w:rPr>
      </w:pPr>
      <w:r>
        <w:rPr>
          <w:rStyle w:val="Strong"/>
          <w:b/>
          <w:bCs/>
          <w:color w:val="262626"/>
        </w:rPr>
        <w:t>3.2. Data User</w:t>
      </w:r>
    </w:p>
    <w:p w14:paraId="1613351F" w14:textId="77777777" w:rsidR="00A03DA1" w:rsidRDefault="00A03DA1" w:rsidP="00A03DA1">
      <w:pPr>
        <w:pStyle w:val="NormalWeb"/>
        <w:spacing w:before="0" w:beforeAutospacing="0" w:after="240" w:afterAutospacing="0"/>
      </w:pPr>
      <w:r>
        <w:t>A data user is a</w:t>
      </w:r>
      <w:r>
        <w:rPr>
          <w:rStyle w:val="Strong"/>
        </w:rPr>
        <w:t> </w:t>
      </w:r>
      <w:r>
        <w:t xml:space="preserve">person or an entity that interacts with, accesses, </w:t>
      </w:r>
      <w:proofErr w:type="gramStart"/>
      <w:r>
        <w:t>uses</w:t>
      </w:r>
      <w:proofErr w:type="gramEnd"/>
      <w:r>
        <w:t xml:space="preserve"> or updates data to perform a task authorized by the data owner. Data users must use data in a manner consistent with the purpose intended and comply with this policy and all policies applicable to such data use.</w:t>
      </w:r>
    </w:p>
    <w:p w14:paraId="79E9AB91" w14:textId="77777777" w:rsidR="00A03DA1" w:rsidRDefault="00A03DA1" w:rsidP="00A03DA1">
      <w:pPr>
        <w:pStyle w:val="Heading2"/>
        <w:spacing w:before="0" w:after="120"/>
        <w:rPr>
          <w:b w:val="0"/>
          <w:bCs w:val="0"/>
          <w:color w:val="262626"/>
        </w:rPr>
      </w:pPr>
      <w:r>
        <w:rPr>
          <w:rStyle w:val="Strong"/>
          <w:b/>
          <w:bCs/>
          <w:color w:val="262626"/>
        </w:rPr>
        <w:t>4.0 Retention of Data</w:t>
      </w:r>
    </w:p>
    <w:p w14:paraId="1467DA8E" w14:textId="77777777" w:rsidR="00A03DA1" w:rsidRDefault="00A03DA1" w:rsidP="00A03DA1">
      <w:pPr>
        <w:pStyle w:val="Heading3"/>
        <w:spacing w:before="0" w:after="120"/>
        <w:rPr>
          <w:b w:val="0"/>
          <w:bCs w:val="0"/>
          <w:color w:val="262626"/>
        </w:rPr>
      </w:pPr>
      <w:r>
        <w:rPr>
          <w:rStyle w:val="Strong"/>
          <w:b/>
          <w:bCs/>
          <w:color w:val="262626"/>
        </w:rPr>
        <w:t>4.1 Retention of Business-Sensitive and Financial Information</w:t>
      </w:r>
    </w:p>
    <w:p w14:paraId="6F383D3E" w14:textId="77777777" w:rsidR="00A03DA1" w:rsidRDefault="00A03DA1" w:rsidP="00A03DA1">
      <w:pPr>
        <w:pStyle w:val="NormalWeb"/>
        <w:spacing w:before="0" w:beforeAutospacing="0" w:after="240" w:afterAutospacing="0"/>
      </w:pPr>
      <w:r>
        <w:rPr>
          <w:rStyle w:val="Strong"/>
          <w:i/>
          <w:iCs/>
        </w:rPr>
        <w:t>Note</w:t>
      </w:r>
      <w:r>
        <w:rPr>
          <w:rStyle w:val="Emphasis"/>
        </w:rPr>
        <w:t>: The retention period suggested below is for reference only based on general best practices. Customers are advised to review and update the data/record types and associated retention periods based on their industry and as per applicable legal and regulatory requirements in their specific geography. </w:t>
      </w:r>
    </w:p>
    <w:p w14:paraId="5B92748C" w14:textId="7090AB2E" w:rsidR="00A03DA1" w:rsidRDefault="00A03DA1" w:rsidP="00A03DA1">
      <w:pPr>
        <w:pStyle w:val="NormalWeb"/>
        <w:spacing w:before="0" w:beforeAutospacing="0" w:after="240" w:afterAutospacing="0"/>
      </w:pPr>
      <w:r>
        <w:t>Company</w:t>
      </w:r>
      <w:r>
        <w:t>’s Business-Sensitive and Financial Information shall be retained per the schedule below:</w:t>
      </w:r>
    </w:p>
    <w:tbl>
      <w:tblPr>
        <w:tblW w:w="98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98"/>
        <w:gridCol w:w="4912"/>
      </w:tblGrid>
      <w:tr w:rsidR="00A03DA1" w14:paraId="2595143F" w14:textId="77777777" w:rsidTr="00A03DA1">
        <w:tc>
          <w:tcPr>
            <w:tcW w:w="4891"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1C8E16F9" w14:textId="77777777" w:rsidR="00A03DA1" w:rsidRDefault="00A03DA1">
            <w:pPr>
              <w:pStyle w:val="NormalWeb"/>
              <w:spacing w:before="0" w:beforeAutospacing="0" w:after="240" w:afterAutospacing="0"/>
            </w:pPr>
            <w:r>
              <w:rPr>
                <w:rStyle w:val="Strong"/>
              </w:rPr>
              <w:t>Data/Record Types</w:t>
            </w:r>
          </w:p>
        </w:tc>
        <w:tc>
          <w:tcPr>
            <w:tcW w:w="4904"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12140874" w14:textId="77777777" w:rsidR="00A03DA1" w:rsidRDefault="00A03DA1">
            <w:pPr>
              <w:pStyle w:val="NormalWeb"/>
              <w:spacing w:before="0" w:beforeAutospacing="0" w:after="240" w:afterAutospacing="0"/>
            </w:pPr>
            <w:r>
              <w:rPr>
                <w:rStyle w:val="Strong"/>
              </w:rPr>
              <w:t>Retention Period</w:t>
            </w:r>
          </w:p>
        </w:tc>
      </w:tr>
      <w:tr w:rsidR="00A03DA1" w14:paraId="4D7A3CEC" w14:textId="77777777" w:rsidTr="00A03DA1">
        <w:tc>
          <w:tcPr>
            <w:tcW w:w="4891"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63368103" w14:textId="77777777" w:rsidR="00A03DA1" w:rsidRDefault="00A03DA1">
            <w:pPr>
              <w:pStyle w:val="NormalWeb"/>
              <w:spacing w:before="0" w:beforeAutospacing="0" w:after="240" w:afterAutospacing="0"/>
            </w:pPr>
            <w:r>
              <w:lastRenderedPageBreak/>
              <w:t>Financial Records like Account Payable and Receivable Ledgers </w:t>
            </w:r>
          </w:p>
        </w:tc>
        <w:tc>
          <w:tcPr>
            <w:tcW w:w="4904"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3D003EE9" w14:textId="77777777" w:rsidR="00A03DA1" w:rsidRDefault="00A03DA1">
            <w:pPr>
              <w:pStyle w:val="NormalWeb"/>
              <w:spacing w:before="0" w:beforeAutospacing="0" w:after="240" w:afterAutospacing="0"/>
            </w:pPr>
            <w:r>
              <w:t>Seven years</w:t>
            </w:r>
          </w:p>
        </w:tc>
      </w:tr>
      <w:tr w:rsidR="00A03DA1" w14:paraId="4300DB52" w14:textId="77777777" w:rsidTr="00A03DA1">
        <w:tc>
          <w:tcPr>
            <w:tcW w:w="4891"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65800020" w14:textId="77777777" w:rsidR="00A03DA1" w:rsidRDefault="00A03DA1">
            <w:r>
              <w:t>Financial Statements such as General Ledgers, Chart of Accounts, Stock and Bond Records </w:t>
            </w:r>
          </w:p>
        </w:tc>
        <w:tc>
          <w:tcPr>
            <w:tcW w:w="4904"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7A91B605" w14:textId="77777777" w:rsidR="00A03DA1" w:rsidRDefault="00A03DA1">
            <w:r>
              <w:t>Permanent</w:t>
            </w:r>
          </w:p>
        </w:tc>
      </w:tr>
      <w:tr w:rsidR="00A03DA1" w14:paraId="044F9C4B" w14:textId="77777777" w:rsidTr="00A03DA1">
        <w:tc>
          <w:tcPr>
            <w:tcW w:w="4891"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12EABC39" w14:textId="77777777" w:rsidR="00A03DA1" w:rsidRDefault="00A03DA1" w:rsidP="00A03DA1">
            <w:pPr>
              <w:pStyle w:val="NormalWeb"/>
              <w:spacing w:before="0" w:beforeAutospacing="0" w:after="240" w:afterAutospacing="0"/>
            </w:pPr>
            <w:r>
              <w:t>Contractual/ Lease Agreement or any other Legal Documentation </w:t>
            </w:r>
          </w:p>
        </w:tc>
        <w:tc>
          <w:tcPr>
            <w:tcW w:w="4904"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52438B9B" w14:textId="77777777" w:rsidR="00A03DA1" w:rsidRDefault="00A03DA1" w:rsidP="00A03DA1">
            <w:pPr>
              <w:pStyle w:val="NormalWeb"/>
              <w:spacing w:before="0" w:beforeAutospacing="0" w:after="240" w:afterAutospacing="0"/>
            </w:pPr>
            <w:r>
              <w:t>Seven years after expiration </w:t>
            </w:r>
          </w:p>
        </w:tc>
      </w:tr>
      <w:tr w:rsidR="00A03DA1" w14:paraId="39610428" w14:textId="77777777" w:rsidTr="00A03DA1">
        <w:tc>
          <w:tcPr>
            <w:tcW w:w="4891"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7D2B9AB2" w14:textId="77777777" w:rsidR="00A03DA1" w:rsidRDefault="00A03DA1" w:rsidP="00A03DA1">
            <w:pPr>
              <w:pStyle w:val="NormalWeb"/>
              <w:spacing w:before="0" w:beforeAutospacing="0" w:after="240" w:afterAutospacing="0"/>
            </w:pPr>
            <w:r>
              <w:t>Employee Payroll and Insurance Records </w:t>
            </w:r>
          </w:p>
        </w:tc>
        <w:tc>
          <w:tcPr>
            <w:tcW w:w="4904"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0CDA9A60" w14:textId="77777777" w:rsidR="00A03DA1" w:rsidRDefault="00A03DA1" w:rsidP="00A03DA1">
            <w:pPr>
              <w:pStyle w:val="NormalWeb"/>
              <w:spacing w:before="0" w:beforeAutospacing="0" w:after="240" w:afterAutospacing="0"/>
            </w:pPr>
            <w:r>
              <w:t>Permanent </w:t>
            </w:r>
          </w:p>
        </w:tc>
      </w:tr>
      <w:tr w:rsidR="00A03DA1" w14:paraId="25152A01" w14:textId="77777777" w:rsidTr="00A03DA1">
        <w:tc>
          <w:tcPr>
            <w:tcW w:w="4891"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59E93D9C" w14:textId="77777777" w:rsidR="00A03DA1" w:rsidRDefault="00A03DA1" w:rsidP="00A03DA1">
            <w:pPr>
              <w:pStyle w:val="NormalWeb"/>
              <w:spacing w:before="0" w:beforeAutospacing="0" w:after="240" w:afterAutospacing="0"/>
            </w:pPr>
            <w:r>
              <w:t>Contractor Payment Records or other Expense Reports </w:t>
            </w:r>
          </w:p>
        </w:tc>
        <w:tc>
          <w:tcPr>
            <w:tcW w:w="4904"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63ED63A9" w14:textId="77777777" w:rsidR="00A03DA1" w:rsidRDefault="00A03DA1" w:rsidP="00A03DA1">
            <w:pPr>
              <w:pStyle w:val="NormalWeb"/>
              <w:spacing w:before="0" w:beforeAutospacing="0" w:after="240" w:afterAutospacing="0"/>
            </w:pPr>
            <w:r>
              <w:t>Seven years </w:t>
            </w:r>
          </w:p>
        </w:tc>
      </w:tr>
      <w:tr w:rsidR="00A03DA1" w14:paraId="3F4DF063" w14:textId="77777777" w:rsidTr="00A03DA1">
        <w:tc>
          <w:tcPr>
            <w:tcW w:w="4891"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37F93983" w14:textId="77777777" w:rsidR="00A03DA1" w:rsidRDefault="00A03DA1" w:rsidP="00A03DA1">
            <w:pPr>
              <w:pStyle w:val="NormalWeb"/>
              <w:spacing w:before="0" w:beforeAutospacing="0" w:after="240" w:afterAutospacing="0"/>
            </w:pPr>
            <w:r>
              <w:t>Invoices - to Customers or from Vendors </w:t>
            </w:r>
          </w:p>
        </w:tc>
        <w:tc>
          <w:tcPr>
            <w:tcW w:w="4904"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6F202590" w14:textId="77777777" w:rsidR="00A03DA1" w:rsidRDefault="00A03DA1" w:rsidP="00A03DA1">
            <w:pPr>
              <w:pStyle w:val="NormalWeb"/>
              <w:spacing w:before="0" w:beforeAutospacing="0" w:after="240" w:afterAutospacing="0"/>
            </w:pPr>
            <w:r>
              <w:t>Five years </w:t>
            </w:r>
          </w:p>
        </w:tc>
      </w:tr>
      <w:tr w:rsidR="00A03DA1" w14:paraId="0F0487E4" w14:textId="77777777" w:rsidTr="00A03DA1">
        <w:tc>
          <w:tcPr>
            <w:tcW w:w="4891"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2C0BCF2C" w14:textId="77777777" w:rsidR="00A03DA1" w:rsidRDefault="00A03DA1" w:rsidP="00A03DA1">
            <w:pPr>
              <w:pStyle w:val="NormalWeb"/>
              <w:spacing w:before="0" w:beforeAutospacing="0" w:after="240" w:afterAutospacing="0"/>
            </w:pPr>
            <w:r>
              <w:t>Board Meeting Minutes </w:t>
            </w:r>
          </w:p>
        </w:tc>
        <w:tc>
          <w:tcPr>
            <w:tcW w:w="4904"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5C179037" w14:textId="77777777" w:rsidR="00A03DA1" w:rsidRDefault="00A03DA1" w:rsidP="00A03DA1">
            <w:pPr>
              <w:pStyle w:val="NormalWeb"/>
              <w:spacing w:before="0" w:beforeAutospacing="0" w:after="240" w:afterAutospacing="0"/>
            </w:pPr>
            <w:r>
              <w:t>Permanent </w:t>
            </w:r>
          </w:p>
        </w:tc>
      </w:tr>
      <w:tr w:rsidR="00A03DA1" w14:paraId="000B697D" w14:textId="77777777" w:rsidTr="00A03DA1">
        <w:tc>
          <w:tcPr>
            <w:tcW w:w="4891"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3BDDFD9C" w14:textId="77777777" w:rsidR="00A03DA1" w:rsidRDefault="00A03DA1" w:rsidP="00A03DA1">
            <w:pPr>
              <w:pStyle w:val="NormalWeb"/>
              <w:spacing w:before="0" w:beforeAutospacing="0" w:after="240" w:afterAutospacing="0"/>
            </w:pPr>
            <w:r>
              <w:t>Emails – Internal and External </w:t>
            </w:r>
          </w:p>
        </w:tc>
        <w:tc>
          <w:tcPr>
            <w:tcW w:w="4904"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4E5723F6" w14:textId="77777777" w:rsidR="00A03DA1" w:rsidRDefault="00A03DA1" w:rsidP="00A03DA1">
            <w:pPr>
              <w:pStyle w:val="NormalWeb"/>
              <w:spacing w:before="0" w:beforeAutospacing="0" w:after="240" w:afterAutospacing="0"/>
            </w:pPr>
            <w:r>
              <w:t>12 months </w:t>
            </w:r>
          </w:p>
        </w:tc>
      </w:tr>
      <w:tr w:rsidR="00A03DA1" w14:paraId="46671B7F" w14:textId="77777777" w:rsidTr="00A03DA1">
        <w:tc>
          <w:tcPr>
            <w:tcW w:w="4891"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50DAA113" w14:textId="77777777" w:rsidR="00A03DA1" w:rsidRDefault="00A03DA1" w:rsidP="00A03DA1">
            <w:pPr>
              <w:pStyle w:val="NormalWeb"/>
              <w:spacing w:before="0" w:beforeAutospacing="0" w:after="240" w:afterAutospacing="0"/>
            </w:pPr>
            <w:r>
              <w:t>Electronic Documents </w:t>
            </w:r>
          </w:p>
        </w:tc>
        <w:tc>
          <w:tcPr>
            <w:tcW w:w="4904"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6E622660" w14:textId="77777777" w:rsidR="00A03DA1" w:rsidRDefault="00A03DA1" w:rsidP="00A03DA1">
            <w:pPr>
              <w:pStyle w:val="NormalWeb"/>
              <w:spacing w:before="0" w:beforeAutospacing="0" w:after="240" w:afterAutospacing="0"/>
            </w:pPr>
            <w:r>
              <w:t>Depends on the subject matter </w:t>
            </w:r>
          </w:p>
        </w:tc>
      </w:tr>
      <w:tr w:rsidR="00A03DA1" w14:paraId="707100A2" w14:textId="77777777" w:rsidTr="00A03DA1">
        <w:tc>
          <w:tcPr>
            <w:tcW w:w="4891"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7C96C341" w14:textId="77777777" w:rsidR="00A03DA1" w:rsidRDefault="00A03DA1" w:rsidP="00A03DA1">
            <w:pPr>
              <w:pStyle w:val="NormalWeb"/>
              <w:spacing w:before="0" w:beforeAutospacing="0" w:after="240" w:afterAutospacing="0"/>
            </w:pPr>
            <w:r>
              <w:t>Internal Audit and Risk Assessment Reports </w:t>
            </w:r>
          </w:p>
        </w:tc>
        <w:tc>
          <w:tcPr>
            <w:tcW w:w="4904" w:type="dxa"/>
            <w:tcBorders>
              <w:top w:val="single" w:sz="6" w:space="0" w:color="E8E8E8"/>
              <w:left w:val="single" w:sz="6" w:space="0" w:color="E8E8E8"/>
              <w:bottom w:val="single" w:sz="6" w:space="0" w:color="E8E8E8"/>
              <w:right w:val="single" w:sz="6" w:space="0" w:color="E8E8E8"/>
            </w:tcBorders>
            <w:tcMar>
              <w:top w:w="75" w:type="dxa"/>
              <w:left w:w="75" w:type="dxa"/>
              <w:bottom w:w="75" w:type="dxa"/>
              <w:right w:w="75" w:type="dxa"/>
            </w:tcMar>
            <w:vAlign w:val="center"/>
            <w:hideMark/>
          </w:tcPr>
          <w:p w14:paraId="3ECD98F0" w14:textId="77777777" w:rsidR="00A03DA1" w:rsidRDefault="00A03DA1" w:rsidP="00A03DA1">
            <w:pPr>
              <w:pStyle w:val="NormalWeb"/>
              <w:spacing w:before="0" w:beforeAutospacing="0" w:after="240" w:afterAutospacing="0"/>
            </w:pPr>
            <w:r>
              <w:t>Five years </w:t>
            </w:r>
          </w:p>
        </w:tc>
      </w:tr>
    </w:tbl>
    <w:p w14:paraId="3A3231B3" w14:textId="77777777" w:rsidR="00A03DA1" w:rsidRDefault="00A03DA1" w:rsidP="00A03DA1">
      <w:r>
        <w:t> </w:t>
      </w:r>
    </w:p>
    <w:p w14:paraId="32A97AC4" w14:textId="77777777" w:rsidR="00A03DA1" w:rsidRDefault="00A03DA1" w:rsidP="00A03DA1">
      <w:pPr>
        <w:pStyle w:val="Heading3"/>
        <w:spacing w:before="0" w:after="120"/>
        <w:rPr>
          <w:b w:val="0"/>
          <w:bCs w:val="0"/>
          <w:color w:val="262626"/>
        </w:rPr>
      </w:pPr>
      <w:r>
        <w:rPr>
          <w:rStyle w:val="Strong"/>
          <w:b/>
          <w:bCs/>
          <w:color w:val="262626"/>
        </w:rPr>
        <w:t>4.2 Retention of Personally Identifiable Information (PII) and Personal Health Information (PHI)</w:t>
      </w:r>
    </w:p>
    <w:p w14:paraId="2AD789C5" w14:textId="77777777" w:rsidR="00A03DA1" w:rsidRDefault="00A03DA1" w:rsidP="00A03DA1">
      <w:pPr>
        <w:pStyle w:val="NormalWeb"/>
        <w:spacing w:before="0" w:beforeAutospacing="0" w:after="240" w:afterAutospacing="0"/>
      </w:pPr>
      <w:r>
        <w:t>All PII and PHI data shall be retained for as long as there is a business purpose or a legal requirement to do so.</w:t>
      </w:r>
    </w:p>
    <w:p w14:paraId="29CD18DE" w14:textId="77777777" w:rsidR="00A03DA1" w:rsidRDefault="00A03DA1" w:rsidP="00A03DA1">
      <w:pPr>
        <w:pStyle w:val="NormalWeb"/>
        <w:spacing w:before="0" w:beforeAutospacing="0" w:after="240" w:afterAutospacing="0"/>
      </w:pPr>
      <w:r>
        <w:t>All temporary files containing personally identifiable information must be protected while they exist. </w:t>
      </w:r>
    </w:p>
    <w:p w14:paraId="3C3FCF5F" w14:textId="77777777" w:rsidR="00A03DA1" w:rsidRDefault="00A03DA1" w:rsidP="00A03DA1">
      <w:pPr>
        <w:pStyle w:val="NormalWeb"/>
        <w:spacing w:before="0" w:beforeAutospacing="0" w:after="240" w:afterAutospacing="0"/>
      </w:pPr>
      <w:r>
        <w:t>Data de-identification shall be performed before the archival of the data set. </w:t>
      </w:r>
    </w:p>
    <w:p w14:paraId="7703375D" w14:textId="77777777" w:rsidR="00A03DA1" w:rsidRDefault="00A03DA1" w:rsidP="00A03DA1">
      <w:pPr>
        <w:pStyle w:val="NormalWeb"/>
        <w:spacing w:before="0" w:beforeAutospacing="0" w:after="240" w:afterAutospacing="0"/>
      </w:pPr>
      <w:r>
        <w:rPr>
          <w:rStyle w:val="Emphasis"/>
          <w:color w:val="3598DB"/>
        </w:rPr>
        <w:t>*** </w:t>
      </w:r>
    </w:p>
    <w:p w14:paraId="516FF268" w14:textId="77777777" w:rsidR="00A03DA1" w:rsidRDefault="00A03DA1" w:rsidP="00A03DA1">
      <w:pPr>
        <w:pStyle w:val="NormalWeb"/>
        <w:spacing w:before="0" w:beforeAutospacing="0" w:after="240" w:afterAutospacing="0"/>
      </w:pPr>
      <w:r>
        <w:rPr>
          <w:rStyle w:val="Emphasis"/>
          <w:color w:val="3598DB"/>
        </w:rPr>
        <w:t>Policy Conditions for HIPAA: </w:t>
      </w:r>
    </w:p>
    <w:p w14:paraId="4EB350EE" w14:textId="264B6578" w:rsidR="00A03DA1" w:rsidRDefault="00A03DA1" w:rsidP="00A03DA1">
      <w:pPr>
        <w:pStyle w:val="NormalWeb"/>
        <w:spacing w:before="0" w:beforeAutospacing="0" w:after="240" w:afterAutospacing="0"/>
      </w:pPr>
      <w:r>
        <w:lastRenderedPageBreak/>
        <w:t>Company</w:t>
      </w:r>
      <w:r>
        <w:t xml:space="preserve"> shall retain policies and procedures, assessment records and any documentation required to be maintained by HIPAA for six years from the date of its creation or the date when it last was in effect, whichever is later. </w:t>
      </w:r>
    </w:p>
    <w:p w14:paraId="5034896F" w14:textId="77777777" w:rsidR="00A03DA1" w:rsidRDefault="00A03DA1" w:rsidP="00A03DA1">
      <w:pPr>
        <w:pStyle w:val="NormalWeb"/>
        <w:spacing w:before="0" w:beforeAutospacing="0" w:after="240" w:afterAutospacing="0"/>
      </w:pPr>
      <w:r>
        <w:rPr>
          <w:rStyle w:val="Emphasis"/>
          <w:color w:val="3598DB"/>
        </w:rPr>
        <w:t>***</w:t>
      </w:r>
    </w:p>
    <w:p w14:paraId="0A895266" w14:textId="77777777" w:rsidR="00A03DA1" w:rsidRDefault="00A03DA1" w:rsidP="00A03DA1">
      <w:pPr>
        <w:pStyle w:val="NormalWeb"/>
        <w:spacing w:before="0" w:beforeAutospacing="0" w:after="240" w:afterAutospacing="0"/>
      </w:pPr>
      <w:r>
        <w:rPr>
          <w:rStyle w:val="Strong"/>
        </w:rPr>
        <w:t>4.3 Retention of Customer Data</w:t>
      </w:r>
    </w:p>
    <w:p w14:paraId="512ADC2F" w14:textId="1BB58466" w:rsidR="00A03DA1" w:rsidRDefault="00A03DA1" w:rsidP="00A03DA1">
      <w:pPr>
        <w:pStyle w:val="NormalWeb"/>
        <w:spacing w:before="0" w:beforeAutospacing="0" w:after="240" w:afterAutospacing="0"/>
      </w:pPr>
      <w:r>
        <w:t xml:space="preserve">All active customer data shall be retained for as long as the customer continues to be an active customer of </w:t>
      </w:r>
      <w:r>
        <w:t>Company</w:t>
      </w:r>
      <w:r>
        <w:t xml:space="preserve"> or unless the active customer has requested the deletion of data.</w:t>
      </w:r>
    </w:p>
    <w:p w14:paraId="744DDBB3" w14:textId="5EE83DD5" w:rsidR="00A03DA1" w:rsidRDefault="00A03DA1" w:rsidP="00A03DA1">
      <w:pPr>
        <w:pStyle w:val="NormalWeb"/>
        <w:spacing w:before="0" w:beforeAutospacing="0" w:after="240" w:afterAutospacing="0"/>
      </w:pPr>
      <w:r>
        <w:t xml:space="preserve">All customer data, after the termination of a contract, must be retained per the contractual agreement between the customer and </w:t>
      </w:r>
      <w:r>
        <w:t>Company</w:t>
      </w:r>
      <w:r>
        <w:t>.</w:t>
      </w:r>
    </w:p>
    <w:p w14:paraId="69F2600E" w14:textId="1C4268A8" w:rsidR="00A03DA1" w:rsidRDefault="00A03DA1" w:rsidP="00A03DA1">
      <w:pPr>
        <w:pStyle w:val="NormalWeb"/>
        <w:spacing w:before="0" w:beforeAutospacing="0" w:after="240" w:afterAutospacing="0"/>
      </w:pPr>
      <w:r>
        <w:t xml:space="preserve">Customer data retention policies may be implemented against customer data on an ad-hoc basis as may be agreed between </w:t>
      </w:r>
      <w:r>
        <w:t>Company</w:t>
      </w:r>
      <w:r>
        <w:t xml:space="preserve"> and the customer.</w:t>
      </w:r>
    </w:p>
    <w:p w14:paraId="125BE702" w14:textId="77777777" w:rsidR="00A03DA1" w:rsidRDefault="00A03DA1" w:rsidP="00A03DA1">
      <w:pPr>
        <w:pStyle w:val="NormalWeb"/>
        <w:spacing w:before="0" w:beforeAutospacing="0" w:after="240" w:afterAutospacing="0"/>
      </w:pPr>
      <w:r>
        <w:rPr>
          <w:rStyle w:val="Emphasis"/>
          <w:color w:val="3598DB"/>
        </w:rPr>
        <w:t>***</w:t>
      </w:r>
    </w:p>
    <w:p w14:paraId="6AB9FD1C" w14:textId="77777777" w:rsidR="00A03DA1" w:rsidRDefault="00A03DA1" w:rsidP="00A03DA1">
      <w:pPr>
        <w:pStyle w:val="NormalWeb"/>
        <w:spacing w:before="0" w:beforeAutospacing="0" w:after="240" w:afterAutospacing="0"/>
      </w:pPr>
      <w:r>
        <w:rPr>
          <w:rStyle w:val="Emphasis"/>
          <w:color w:val="3598DB"/>
        </w:rPr>
        <w:t>Policy Conditions for PCI DSS:</w:t>
      </w:r>
    </w:p>
    <w:p w14:paraId="7C2FFCA6" w14:textId="77777777" w:rsidR="00A03DA1" w:rsidRDefault="00A03DA1" w:rsidP="00A03DA1">
      <w:pPr>
        <w:pStyle w:val="Heading3"/>
        <w:spacing w:before="0" w:after="120"/>
        <w:rPr>
          <w:b w:val="0"/>
          <w:bCs w:val="0"/>
          <w:color w:val="262626"/>
        </w:rPr>
      </w:pPr>
      <w:r>
        <w:rPr>
          <w:rStyle w:val="Strong"/>
          <w:b/>
          <w:bCs/>
          <w:color w:val="262626"/>
        </w:rPr>
        <w:t>4.4 Retention of Cardholder Data (CHD)</w:t>
      </w:r>
    </w:p>
    <w:p w14:paraId="57FC7892" w14:textId="672DC7F7" w:rsidR="00A03DA1" w:rsidRDefault="00A03DA1" w:rsidP="00A03DA1">
      <w:pPr>
        <w:pStyle w:val="NormalWeb"/>
        <w:spacing w:before="0" w:beforeAutospacing="0" w:after="240" w:afterAutospacing="0"/>
      </w:pPr>
      <w:r>
        <w:t>Company</w:t>
      </w:r>
      <w:r>
        <w:t xml:space="preserve"> shall limit the retention of all CHD to a minimum in accordance with the required legal, regulatory and/or business needs. CHD shall only be stored in approved locations and disposed of when no longer required.</w:t>
      </w:r>
    </w:p>
    <w:p w14:paraId="0BAA5415" w14:textId="77777777" w:rsidR="00A03DA1" w:rsidRDefault="00A03DA1" w:rsidP="00A03DA1">
      <w:pPr>
        <w:pStyle w:val="NormalWeb"/>
        <w:spacing w:before="0" w:beforeAutospacing="0" w:after="240" w:afterAutospacing="0"/>
      </w:pPr>
      <w:r>
        <w:rPr>
          <w:rStyle w:val="Emphasis"/>
          <w:color w:val="3598DB"/>
        </w:rPr>
        <w:t>***</w:t>
      </w:r>
    </w:p>
    <w:p w14:paraId="20685158" w14:textId="77777777" w:rsidR="00A03DA1" w:rsidRDefault="00A03DA1" w:rsidP="00A03DA1">
      <w:pPr>
        <w:pStyle w:val="Heading2"/>
        <w:spacing w:before="0" w:after="120"/>
        <w:rPr>
          <w:b w:val="0"/>
          <w:bCs w:val="0"/>
          <w:color w:val="262626"/>
        </w:rPr>
      </w:pPr>
      <w:r>
        <w:rPr>
          <w:rStyle w:val="Strong"/>
          <w:b/>
          <w:bCs/>
          <w:color w:val="262626"/>
        </w:rPr>
        <w:t>5.0 Data Disposal</w:t>
      </w:r>
    </w:p>
    <w:p w14:paraId="5D055AC8" w14:textId="77777777" w:rsidR="00A03DA1" w:rsidRDefault="00A03DA1" w:rsidP="00A03DA1">
      <w:pPr>
        <w:pStyle w:val="Heading3"/>
        <w:spacing w:before="0" w:after="120"/>
        <w:rPr>
          <w:b w:val="0"/>
          <w:bCs w:val="0"/>
          <w:color w:val="262626"/>
        </w:rPr>
      </w:pPr>
      <w:r>
        <w:rPr>
          <w:rStyle w:val="Strong"/>
          <w:b/>
          <w:bCs/>
          <w:color w:val="262626"/>
        </w:rPr>
        <w:t>5.1 Customer Data Disposal</w:t>
      </w:r>
    </w:p>
    <w:p w14:paraId="3178A53D" w14:textId="71968FFF" w:rsidR="00A03DA1" w:rsidRDefault="00A03DA1" w:rsidP="00A03DA1">
      <w:pPr>
        <w:pStyle w:val="NormalWeb"/>
        <w:spacing w:before="0" w:beforeAutospacing="0" w:after="240" w:afterAutospacing="0"/>
      </w:pPr>
      <w:r>
        <w:t xml:space="preserve">Disposal of customer data will be carried out in accordance with the contractual agreement between </w:t>
      </w:r>
      <w:r>
        <w:t>Company</w:t>
      </w:r>
      <w:r>
        <w:t xml:space="preserve"> and the customer. In the absence of any contractual agreement, an automatic script or manual script (for ad-hoc requests) shall be initiated on any </w:t>
      </w:r>
      <w:r>
        <w:t>Company</w:t>
      </w:r>
      <w:r>
        <w:t xml:space="preserve"> platform containing customer data. This activates a full hard delete of customer data on the platform.</w:t>
      </w:r>
    </w:p>
    <w:p w14:paraId="7C67F54A" w14:textId="77777777" w:rsidR="00A03DA1" w:rsidRDefault="00A03DA1" w:rsidP="00A03DA1">
      <w:pPr>
        <w:pStyle w:val="NormalWeb"/>
        <w:spacing w:before="0" w:beforeAutospacing="0" w:after="240" w:afterAutospacing="0"/>
      </w:pPr>
      <w:r>
        <w:rPr>
          <w:rStyle w:val="Emphasis"/>
          <w:color w:val="3598DB"/>
        </w:rPr>
        <w:t>***</w:t>
      </w:r>
    </w:p>
    <w:p w14:paraId="3B3A19CF" w14:textId="77777777" w:rsidR="00A03DA1" w:rsidRDefault="00A03DA1" w:rsidP="00A03DA1">
      <w:pPr>
        <w:pStyle w:val="NormalWeb"/>
        <w:spacing w:before="0" w:beforeAutospacing="0" w:after="240" w:afterAutospacing="0"/>
      </w:pPr>
      <w:r>
        <w:rPr>
          <w:rStyle w:val="Emphasis"/>
          <w:color w:val="3598DB"/>
        </w:rPr>
        <w:t>Policy Conditions for PCI DSS:</w:t>
      </w:r>
    </w:p>
    <w:p w14:paraId="3EFCF2D7" w14:textId="77777777" w:rsidR="00A03DA1" w:rsidRDefault="00A03DA1" w:rsidP="00A03DA1">
      <w:pPr>
        <w:pStyle w:val="Heading3"/>
        <w:spacing w:before="0" w:after="120"/>
        <w:rPr>
          <w:b w:val="0"/>
          <w:bCs w:val="0"/>
          <w:color w:val="262626"/>
        </w:rPr>
      </w:pPr>
      <w:r>
        <w:rPr>
          <w:rStyle w:val="Strong"/>
          <w:b/>
          <w:bCs/>
          <w:color w:val="262626"/>
        </w:rPr>
        <w:t>5.2 Disposal of CHD</w:t>
      </w:r>
    </w:p>
    <w:p w14:paraId="08FCF761" w14:textId="1EF6AA75" w:rsidR="00A03DA1" w:rsidRDefault="00A03DA1" w:rsidP="00A03DA1">
      <w:pPr>
        <w:pStyle w:val="NormalWeb"/>
        <w:spacing w:before="0" w:beforeAutospacing="0" w:after="240" w:afterAutospacing="0"/>
      </w:pPr>
      <w:r>
        <w:t>Company</w:t>
      </w:r>
      <w:r>
        <w:t xml:space="preserve"> shall securely delete or dispose of CHD to prevent the data from being recreated or re-rendered. A quarterly process shall be established for identifying and securely deleting stored CHD that exceeds defined retention.</w:t>
      </w:r>
    </w:p>
    <w:p w14:paraId="6BAAEC79" w14:textId="77777777" w:rsidR="00A03DA1" w:rsidRDefault="00A03DA1" w:rsidP="00A03DA1">
      <w:pPr>
        <w:pStyle w:val="NormalWeb"/>
        <w:spacing w:before="0" w:beforeAutospacing="0" w:after="240" w:afterAutospacing="0"/>
      </w:pPr>
      <w:r>
        <w:rPr>
          <w:rStyle w:val="Emphasis"/>
          <w:color w:val="3598DB"/>
        </w:rPr>
        <w:t>***</w:t>
      </w:r>
    </w:p>
    <w:p w14:paraId="173ECC8E" w14:textId="36171596" w:rsidR="00A03DA1" w:rsidRDefault="00A03DA1" w:rsidP="00A03DA1">
      <w:pPr>
        <w:pStyle w:val="Heading3"/>
        <w:spacing w:before="0" w:after="120"/>
        <w:rPr>
          <w:b w:val="0"/>
          <w:bCs w:val="0"/>
          <w:color w:val="262626"/>
        </w:rPr>
      </w:pPr>
      <w:r>
        <w:rPr>
          <w:rStyle w:val="Strong"/>
          <w:b/>
          <w:bCs/>
          <w:color w:val="262626"/>
        </w:rPr>
        <w:lastRenderedPageBreak/>
        <w:t xml:space="preserve">5.3 Other Data Disposal, Including </w:t>
      </w:r>
      <w:r>
        <w:rPr>
          <w:rStyle w:val="Strong"/>
          <w:b/>
          <w:bCs/>
          <w:color w:val="262626"/>
        </w:rPr>
        <w:t>Company</w:t>
      </w:r>
      <w:r>
        <w:rPr>
          <w:rStyle w:val="Strong"/>
          <w:b/>
          <w:bCs/>
          <w:color w:val="262626"/>
        </w:rPr>
        <w:t>’s Business-Sensitive Information (BSI)</w:t>
      </w:r>
    </w:p>
    <w:p w14:paraId="5F3A1AF5" w14:textId="604A2F1B" w:rsidR="00A03DA1" w:rsidRDefault="00A03DA1" w:rsidP="00A03DA1">
      <w:pPr>
        <w:pStyle w:val="NormalWeb"/>
        <w:spacing w:before="0" w:beforeAutospacing="0" w:after="240" w:afterAutospacing="0"/>
      </w:pPr>
      <w:r>
        <w:t xml:space="preserve">All electronic documents containing </w:t>
      </w:r>
      <w:r>
        <w:t>Company</w:t>
      </w:r>
      <w:r>
        <w:t>’s BSI must be purged upon reaching its retention life span.</w:t>
      </w:r>
    </w:p>
    <w:p w14:paraId="53290BC2" w14:textId="77777777" w:rsidR="00A03DA1" w:rsidRDefault="00A03DA1" w:rsidP="00A03DA1">
      <w:pPr>
        <w:pStyle w:val="NormalWeb"/>
        <w:spacing w:before="0" w:beforeAutospacing="0" w:after="240" w:afterAutospacing="0"/>
      </w:pPr>
      <w:r>
        <w:t>All printed material (i.e., hardcopy documents, paper records) must be destroyed securely using mechanisms such as cross-cutting, shredding, incinerating, or pulping to ensure personally identifiable information (PII) is rendered essentially unreadable, indecipherable, and otherwise cannot be reconstructed.</w:t>
      </w:r>
    </w:p>
    <w:p w14:paraId="68B4FAC0" w14:textId="635DFCC9" w:rsidR="00A03DA1" w:rsidRDefault="00A03DA1" w:rsidP="00A03DA1">
      <w:pPr>
        <w:pStyle w:val="NormalWeb"/>
        <w:spacing w:before="0" w:beforeAutospacing="0" w:after="240" w:afterAutospacing="0"/>
      </w:pPr>
      <w:r>
        <w:t>Company</w:t>
      </w:r>
      <w:r>
        <w:t xml:space="preserve"> shall securely erase or destroy all temporary files containing personally identifiable information (PII) as per applicable privacy regulations once they are not required. </w:t>
      </w:r>
    </w:p>
    <w:p w14:paraId="02047976" w14:textId="77777777" w:rsidR="00A03DA1" w:rsidRDefault="00A03DA1" w:rsidP="00A03DA1">
      <w:pPr>
        <w:pStyle w:val="Heading2"/>
        <w:spacing w:before="0" w:after="120"/>
        <w:rPr>
          <w:b w:val="0"/>
          <w:bCs w:val="0"/>
          <w:color w:val="262626"/>
        </w:rPr>
      </w:pPr>
      <w:r>
        <w:rPr>
          <w:rStyle w:val="Strong"/>
          <w:b/>
          <w:bCs/>
          <w:color w:val="262626"/>
        </w:rPr>
        <w:t>6.0 Suspension of Disposal in the Event of Litigation or Claims</w:t>
      </w:r>
    </w:p>
    <w:p w14:paraId="00B451F4" w14:textId="17BFB32F" w:rsidR="00A03DA1" w:rsidRDefault="00A03DA1" w:rsidP="00A03DA1">
      <w:pPr>
        <w:pStyle w:val="NormalWeb"/>
        <w:spacing w:before="0" w:beforeAutospacing="0" w:after="240" w:afterAutospacing="0"/>
      </w:pPr>
      <w:r>
        <w:t xml:space="preserve">In the event </w:t>
      </w:r>
      <w:r>
        <w:t>Company</w:t>
      </w:r>
      <w:r>
        <w:t xml:space="preserve"> is served with any subpoena or request for documents or any employee becomes aware of a governmental investigation or audit concerning </w:t>
      </w:r>
      <w:r>
        <w:t>Company</w:t>
      </w:r>
      <w:r>
        <w:t xml:space="preserve"> or the commencement of any litigation against or concerning </w:t>
      </w:r>
      <w:r>
        <w:t>Company</w:t>
      </w:r>
      <w:r>
        <w:t>, such employee shall inform Management. Any further disposal of documents shall be suspended until Management, with the advice of counsel, determines otherwise. Management shall take such steps as is necessary to promptly inform all staff of any suspension in further data disposal.</w:t>
      </w:r>
    </w:p>
    <w:p w14:paraId="20B8A5F5" w14:textId="77777777" w:rsidR="00A03DA1" w:rsidRDefault="00A03DA1" w:rsidP="00A03DA1">
      <w:pPr>
        <w:pStyle w:val="Heading1"/>
        <w:spacing w:before="0" w:after="120"/>
        <w:rPr>
          <w:b w:val="0"/>
          <w:bCs w:val="0"/>
          <w:color w:val="262626"/>
          <w:sz w:val="43"/>
          <w:szCs w:val="43"/>
        </w:rPr>
      </w:pPr>
    </w:p>
    <w:p w14:paraId="1FC93A58" w14:textId="54D57C54" w:rsidR="005B1AB3" w:rsidRPr="00A03DA1" w:rsidRDefault="00A03DA1" w:rsidP="00A03DA1">
      <w:r w:rsidRPr="00A03DA1">
        <w:drawing>
          <wp:inline distT="0" distB="0" distL="0" distR="0" wp14:anchorId="1D0F75C3" wp14:editId="4FFE5360">
            <wp:extent cx="5943600" cy="22618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943600" cy="2261870"/>
                    </a:xfrm>
                    <a:prstGeom prst="rect">
                      <a:avLst/>
                    </a:prstGeom>
                  </pic:spPr>
                </pic:pic>
              </a:graphicData>
            </a:graphic>
          </wp:inline>
        </w:drawing>
      </w:r>
    </w:p>
    <w:sectPr w:rsidR="005B1AB3" w:rsidRPr="00A03DA1">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3A5F" w14:textId="77777777" w:rsidR="00000000" w:rsidRDefault="00A03DA1">
      <w:pPr>
        <w:spacing w:after="0"/>
      </w:pPr>
      <w:r>
        <w:separator/>
      </w:r>
    </w:p>
  </w:endnote>
  <w:endnote w:type="continuationSeparator" w:id="0">
    <w:p w14:paraId="1FC93A61" w14:textId="77777777" w:rsidR="00000000" w:rsidRDefault="00A03D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93A5B" w14:textId="77777777" w:rsidR="005B1AB3" w:rsidRDefault="00A03DA1">
      <w:r>
        <w:separator/>
      </w:r>
    </w:p>
  </w:footnote>
  <w:footnote w:type="continuationSeparator" w:id="0">
    <w:p w14:paraId="1FC93A5C" w14:textId="77777777" w:rsidR="005B1AB3" w:rsidRDefault="00A03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B7C0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1233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B1AB3"/>
    <w:rsid w:val="00784D58"/>
    <w:rsid w:val="008D6863"/>
    <w:rsid w:val="00A03DA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39E5"/>
  <w15:docId w15:val="{A9901394-CFE6-4BE2-B863-8EE33C7D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2EF0"/>
    <w:pPr>
      <w:spacing w:after="200"/>
    </w:pPr>
    <w:rPr>
      <w:sz w:val="24"/>
    </w:rPr>
  </w:style>
  <w:style w:type="paragraph" w:styleId="Heading1">
    <w:name w:val="heading 1"/>
    <w:basedOn w:val="Normal"/>
    <w:uiPriority w:val="9"/>
    <w:qFormat/>
    <w:pPr>
      <w:keepNext/>
      <w:keepLines/>
      <w:spacing w:before="480" w:after="0"/>
      <w:jc w:val="center"/>
      <w:outlineLvl w:val="0"/>
    </w:pPr>
    <w:rPr>
      <w:rFonts w:asciiTheme="majorHAnsi" w:eastAsiaTheme="majorEastAsia" w:hAnsiTheme="majorHAnsi"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Cs/>
      <w:color w:val="000000"/>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000000"/>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000000"/>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000000"/>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BodyTextChar">
    <w:name w:val="Body Text Char"/>
    <w:basedOn w:val="DefaultParagraphFont"/>
    <w:link w:val="BodyText"/>
    <w:qFormat/>
    <w:rsid w:val="00772EF0"/>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rPr>
  </w:style>
  <w:style w:type="paragraph" w:styleId="TableofFigures">
    <w:name w:val="table of figures"/>
    <w:basedOn w:val="Normal"/>
    <w:next w:val="Normal"/>
    <w:unhideWhenUsed/>
    <w:qFormat/>
    <w:rsid w:val="00772EF0"/>
    <w:pPr>
      <w:spacing w:after="0"/>
    </w:pPr>
  </w:style>
  <w:style w:type="paragraph" w:customStyle="1" w:styleId="Heading2AfterPageBreak">
    <w:name w:val="Heading2AfterPageBreak"/>
    <w:basedOn w:val="Heading2"/>
    <w:qFormat/>
    <w:pPr>
      <w:pageBreakBefore/>
    </w:pPr>
  </w:style>
  <w:style w:type="paragraph" w:customStyle="1" w:styleId="Heading1AfterPageBreak">
    <w:name w:val="Heading1AfterPageBreak"/>
    <w:basedOn w:val="Heading1"/>
    <w:qFormat/>
    <w:pPr>
      <w:pageBreakBefore/>
    </w:pPr>
  </w:style>
  <w:style w:type="paragraph" w:customStyle="1" w:styleId="Heading1Centered">
    <w:name w:val="Heading1Centered"/>
    <w:basedOn w:val="Heading1"/>
    <w:qFormat/>
    <w:pPr>
      <w:spacing w:before="4535"/>
    </w:pPr>
    <w:rPr>
      <w:sz w:val="72"/>
    </w:rPr>
  </w:style>
  <w:style w:type="paragraph" w:customStyle="1" w:styleId="Heading1CenteredAfterPageBreak">
    <w:name w:val="Heading1CenteredAfterPageBreak"/>
    <w:basedOn w:val="Heading1Centered"/>
    <w:qFormat/>
    <w:pPr>
      <w:pageBreakBefore/>
    </w:pPr>
  </w:style>
  <w:style w:type="table" w:customStyle="1" w:styleId="Table">
    <w:name w:val="Table"/>
    <w:semiHidden/>
    <w:unhideWhenUsed/>
    <w:qFormat/>
    <w:rsid w:val="00772E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nt4-divider-inner-text">
    <w:name w:val="ant4-divider-inner-text"/>
    <w:basedOn w:val="DefaultParagraphFont"/>
    <w:rsid w:val="00A03DA1"/>
  </w:style>
  <w:style w:type="character" w:styleId="Strong">
    <w:name w:val="Strong"/>
    <w:basedOn w:val="DefaultParagraphFont"/>
    <w:uiPriority w:val="22"/>
    <w:qFormat/>
    <w:rsid w:val="00A03DA1"/>
    <w:rPr>
      <w:b/>
      <w:bCs/>
    </w:rPr>
  </w:style>
  <w:style w:type="paragraph" w:styleId="NormalWeb">
    <w:name w:val="Normal (Web)"/>
    <w:basedOn w:val="Normal"/>
    <w:uiPriority w:val="99"/>
    <w:semiHidden/>
    <w:unhideWhenUsed/>
    <w:rsid w:val="00A03DA1"/>
    <w:pPr>
      <w:suppressAutoHyphens w:val="0"/>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03D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7257">
      <w:bodyDiv w:val="1"/>
      <w:marLeft w:val="0"/>
      <w:marRight w:val="0"/>
      <w:marTop w:val="0"/>
      <w:marBottom w:val="0"/>
      <w:divBdr>
        <w:top w:val="none" w:sz="0" w:space="0" w:color="auto"/>
        <w:left w:val="none" w:sz="0" w:space="0" w:color="auto"/>
        <w:bottom w:val="none" w:sz="0" w:space="0" w:color="auto"/>
        <w:right w:val="none" w:sz="0" w:space="0" w:color="auto"/>
      </w:divBdr>
      <w:divsChild>
        <w:div w:id="1463113333">
          <w:marLeft w:val="0"/>
          <w:marRight w:val="0"/>
          <w:marTop w:val="240"/>
          <w:marBottom w:val="240"/>
          <w:divBdr>
            <w:top w:val="none" w:sz="0" w:space="0" w:color="auto"/>
            <w:left w:val="none" w:sz="0" w:space="0" w:color="auto"/>
            <w:bottom w:val="none" w:sz="0" w:space="0" w:color="auto"/>
            <w:right w:val="none" w:sz="0" w:space="0" w:color="auto"/>
          </w:divBdr>
        </w:div>
        <w:div w:id="358286973">
          <w:marLeft w:val="0"/>
          <w:marRight w:val="0"/>
          <w:marTop w:val="0"/>
          <w:marBottom w:val="0"/>
          <w:divBdr>
            <w:top w:val="none" w:sz="0" w:space="0" w:color="auto"/>
            <w:left w:val="none" w:sz="0" w:space="0" w:color="auto"/>
            <w:bottom w:val="none" w:sz="0" w:space="0" w:color="auto"/>
            <w:right w:val="none" w:sz="0" w:space="0" w:color="auto"/>
          </w:divBdr>
          <w:divsChild>
            <w:div w:id="323321302">
              <w:marLeft w:val="0"/>
              <w:marRight w:val="0"/>
              <w:marTop w:val="0"/>
              <w:marBottom w:val="0"/>
              <w:divBdr>
                <w:top w:val="none" w:sz="0" w:space="0" w:color="auto"/>
                <w:left w:val="none" w:sz="0" w:space="0" w:color="auto"/>
                <w:bottom w:val="none" w:sz="0" w:space="0" w:color="auto"/>
                <w:right w:val="none" w:sz="0" w:space="0" w:color="auto"/>
              </w:divBdr>
            </w:div>
          </w:divsChild>
        </w:div>
        <w:div w:id="482508068">
          <w:marLeft w:val="0"/>
          <w:marRight w:val="0"/>
          <w:marTop w:val="0"/>
          <w:marBottom w:val="0"/>
          <w:divBdr>
            <w:top w:val="none" w:sz="0" w:space="0" w:color="auto"/>
            <w:left w:val="none" w:sz="0" w:space="0" w:color="auto"/>
            <w:bottom w:val="none" w:sz="0" w:space="0" w:color="auto"/>
            <w:right w:val="none" w:sz="0" w:space="0" w:color="auto"/>
          </w:divBdr>
          <w:divsChild>
            <w:div w:id="1918319491">
              <w:marLeft w:val="0"/>
              <w:marRight w:val="0"/>
              <w:marTop w:val="0"/>
              <w:marBottom w:val="0"/>
              <w:divBdr>
                <w:top w:val="none" w:sz="0" w:space="0" w:color="auto"/>
                <w:left w:val="none" w:sz="0" w:space="0" w:color="auto"/>
                <w:bottom w:val="none" w:sz="0" w:space="0" w:color="auto"/>
                <w:right w:val="none" w:sz="0" w:space="0" w:color="auto"/>
              </w:divBdr>
            </w:div>
          </w:divsChild>
        </w:div>
        <w:div w:id="323556105">
          <w:marLeft w:val="0"/>
          <w:marRight w:val="0"/>
          <w:marTop w:val="0"/>
          <w:marBottom w:val="0"/>
          <w:divBdr>
            <w:top w:val="none" w:sz="0" w:space="0" w:color="auto"/>
            <w:left w:val="none" w:sz="0" w:space="0" w:color="auto"/>
            <w:bottom w:val="none" w:sz="0" w:space="0" w:color="auto"/>
            <w:right w:val="none" w:sz="0" w:space="0" w:color="auto"/>
          </w:divBdr>
          <w:divsChild>
            <w:div w:id="132872294">
              <w:marLeft w:val="0"/>
              <w:marRight w:val="0"/>
              <w:marTop w:val="0"/>
              <w:marBottom w:val="0"/>
              <w:divBdr>
                <w:top w:val="none" w:sz="0" w:space="0" w:color="auto"/>
                <w:left w:val="none" w:sz="0" w:space="0" w:color="auto"/>
                <w:bottom w:val="none" w:sz="0" w:space="0" w:color="auto"/>
                <w:right w:val="none" w:sz="0" w:space="0" w:color="auto"/>
              </w:divBdr>
            </w:div>
          </w:divsChild>
        </w:div>
        <w:div w:id="370883408">
          <w:marLeft w:val="0"/>
          <w:marRight w:val="0"/>
          <w:marTop w:val="0"/>
          <w:marBottom w:val="0"/>
          <w:divBdr>
            <w:top w:val="none" w:sz="0" w:space="0" w:color="auto"/>
            <w:left w:val="none" w:sz="0" w:space="0" w:color="auto"/>
            <w:bottom w:val="none" w:sz="0" w:space="0" w:color="auto"/>
            <w:right w:val="none" w:sz="0" w:space="0" w:color="auto"/>
          </w:divBdr>
          <w:divsChild>
            <w:div w:id="1352949527">
              <w:marLeft w:val="0"/>
              <w:marRight w:val="0"/>
              <w:marTop w:val="0"/>
              <w:marBottom w:val="0"/>
              <w:divBdr>
                <w:top w:val="none" w:sz="0" w:space="0" w:color="auto"/>
                <w:left w:val="none" w:sz="0" w:space="0" w:color="auto"/>
                <w:bottom w:val="none" w:sz="0" w:space="0" w:color="auto"/>
                <w:right w:val="none" w:sz="0" w:space="0" w:color="auto"/>
              </w:divBdr>
            </w:div>
          </w:divsChild>
        </w:div>
        <w:div w:id="1081567009">
          <w:marLeft w:val="0"/>
          <w:marRight w:val="0"/>
          <w:marTop w:val="0"/>
          <w:marBottom w:val="0"/>
          <w:divBdr>
            <w:top w:val="none" w:sz="0" w:space="0" w:color="auto"/>
            <w:left w:val="none" w:sz="0" w:space="0" w:color="auto"/>
            <w:bottom w:val="none" w:sz="0" w:space="0" w:color="auto"/>
            <w:right w:val="none" w:sz="0" w:space="0" w:color="auto"/>
          </w:divBdr>
          <w:divsChild>
            <w:div w:id="280570464">
              <w:marLeft w:val="0"/>
              <w:marRight w:val="0"/>
              <w:marTop w:val="0"/>
              <w:marBottom w:val="0"/>
              <w:divBdr>
                <w:top w:val="none" w:sz="0" w:space="0" w:color="auto"/>
                <w:left w:val="none" w:sz="0" w:space="0" w:color="auto"/>
                <w:bottom w:val="none" w:sz="0" w:space="0" w:color="auto"/>
                <w:right w:val="none" w:sz="0" w:space="0" w:color="auto"/>
              </w:divBdr>
            </w:div>
          </w:divsChild>
        </w:div>
        <w:div w:id="1292053111">
          <w:marLeft w:val="0"/>
          <w:marRight w:val="0"/>
          <w:marTop w:val="0"/>
          <w:marBottom w:val="0"/>
          <w:divBdr>
            <w:top w:val="none" w:sz="0" w:space="0" w:color="auto"/>
            <w:left w:val="none" w:sz="0" w:space="0" w:color="auto"/>
            <w:bottom w:val="none" w:sz="0" w:space="0" w:color="auto"/>
            <w:right w:val="none" w:sz="0" w:space="0" w:color="auto"/>
          </w:divBdr>
          <w:divsChild>
            <w:div w:id="80612875">
              <w:marLeft w:val="0"/>
              <w:marRight w:val="0"/>
              <w:marTop w:val="0"/>
              <w:marBottom w:val="0"/>
              <w:divBdr>
                <w:top w:val="none" w:sz="0" w:space="0" w:color="auto"/>
                <w:left w:val="none" w:sz="0" w:space="0" w:color="auto"/>
                <w:bottom w:val="none" w:sz="0" w:space="0" w:color="auto"/>
                <w:right w:val="none" w:sz="0" w:space="0" w:color="auto"/>
              </w:divBdr>
            </w:div>
          </w:divsChild>
        </w:div>
        <w:div w:id="859974072">
          <w:marLeft w:val="0"/>
          <w:marRight w:val="0"/>
          <w:marTop w:val="0"/>
          <w:marBottom w:val="0"/>
          <w:divBdr>
            <w:top w:val="none" w:sz="0" w:space="0" w:color="auto"/>
            <w:left w:val="none" w:sz="0" w:space="0" w:color="auto"/>
            <w:bottom w:val="none" w:sz="0" w:space="0" w:color="auto"/>
            <w:right w:val="none" w:sz="0" w:space="0" w:color="auto"/>
          </w:divBdr>
          <w:divsChild>
            <w:div w:id="831062498">
              <w:marLeft w:val="0"/>
              <w:marRight w:val="0"/>
              <w:marTop w:val="0"/>
              <w:marBottom w:val="0"/>
              <w:divBdr>
                <w:top w:val="none" w:sz="0" w:space="0" w:color="auto"/>
                <w:left w:val="none" w:sz="0" w:space="0" w:color="auto"/>
                <w:bottom w:val="none" w:sz="0" w:space="0" w:color="auto"/>
                <w:right w:val="none" w:sz="0" w:space="0" w:color="auto"/>
              </w:divBdr>
            </w:div>
          </w:divsChild>
        </w:div>
        <w:div w:id="1781299535">
          <w:marLeft w:val="0"/>
          <w:marRight w:val="0"/>
          <w:marTop w:val="0"/>
          <w:marBottom w:val="0"/>
          <w:divBdr>
            <w:top w:val="none" w:sz="0" w:space="0" w:color="auto"/>
            <w:left w:val="none" w:sz="0" w:space="0" w:color="auto"/>
            <w:bottom w:val="none" w:sz="0" w:space="0" w:color="auto"/>
            <w:right w:val="none" w:sz="0" w:space="0" w:color="auto"/>
          </w:divBdr>
          <w:divsChild>
            <w:div w:id="122846082">
              <w:marLeft w:val="0"/>
              <w:marRight w:val="0"/>
              <w:marTop w:val="0"/>
              <w:marBottom w:val="0"/>
              <w:divBdr>
                <w:top w:val="none" w:sz="0" w:space="0" w:color="auto"/>
                <w:left w:val="none" w:sz="0" w:space="0" w:color="auto"/>
                <w:bottom w:val="none" w:sz="0" w:space="0" w:color="auto"/>
                <w:right w:val="none" w:sz="0" w:space="0" w:color="auto"/>
              </w:divBdr>
            </w:div>
          </w:divsChild>
        </w:div>
        <w:div w:id="1089077688">
          <w:marLeft w:val="0"/>
          <w:marRight w:val="0"/>
          <w:marTop w:val="0"/>
          <w:marBottom w:val="0"/>
          <w:divBdr>
            <w:top w:val="none" w:sz="0" w:space="0" w:color="auto"/>
            <w:left w:val="none" w:sz="0" w:space="0" w:color="auto"/>
            <w:bottom w:val="none" w:sz="0" w:space="0" w:color="auto"/>
            <w:right w:val="none" w:sz="0" w:space="0" w:color="auto"/>
          </w:divBdr>
          <w:divsChild>
            <w:div w:id="1733892937">
              <w:marLeft w:val="0"/>
              <w:marRight w:val="0"/>
              <w:marTop w:val="0"/>
              <w:marBottom w:val="0"/>
              <w:divBdr>
                <w:top w:val="none" w:sz="0" w:space="0" w:color="auto"/>
                <w:left w:val="none" w:sz="0" w:space="0" w:color="auto"/>
                <w:bottom w:val="none" w:sz="0" w:space="0" w:color="auto"/>
                <w:right w:val="none" w:sz="0" w:space="0" w:color="auto"/>
              </w:divBdr>
            </w:div>
          </w:divsChild>
        </w:div>
        <w:div w:id="2066030540">
          <w:marLeft w:val="0"/>
          <w:marRight w:val="0"/>
          <w:marTop w:val="0"/>
          <w:marBottom w:val="0"/>
          <w:divBdr>
            <w:top w:val="none" w:sz="0" w:space="0" w:color="auto"/>
            <w:left w:val="none" w:sz="0" w:space="0" w:color="auto"/>
            <w:bottom w:val="none" w:sz="0" w:space="0" w:color="auto"/>
            <w:right w:val="none" w:sz="0" w:space="0" w:color="auto"/>
          </w:divBdr>
          <w:divsChild>
            <w:div w:id="1751393105">
              <w:marLeft w:val="0"/>
              <w:marRight w:val="0"/>
              <w:marTop w:val="0"/>
              <w:marBottom w:val="0"/>
              <w:divBdr>
                <w:top w:val="none" w:sz="0" w:space="0" w:color="auto"/>
                <w:left w:val="none" w:sz="0" w:space="0" w:color="auto"/>
                <w:bottom w:val="none" w:sz="0" w:space="0" w:color="auto"/>
                <w:right w:val="none" w:sz="0" w:space="0" w:color="auto"/>
              </w:divBdr>
            </w:div>
          </w:divsChild>
        </w:div>
        <w:div w:id="1621305119">
          <w:marLeft w:val="0"/>
          <w:marRight w:val="0"/>
          <w:marTop w:val="0"/>
          <w:marBottom w:val="0"/>
          <w:divBdr>
            <w:top w:val="none" w:sz="0" w:space="0" w:color="auto"/>
            <w:left w:val="none" w:sz="0" w:space="0" w:color="auto"/>
            <w:bottom w:val="none" w:sz="0" w:space="0" w:color="auto"/>
            <w:right w:val="none" w:sz="0" w:space="0" w:color="auto"/>
          </w:divBdr>
          <w:divsChild>
            <w:div w:id="1946423146">
              <w:marLeft w:val="0"/>
              <w:marRight w:val="0"/>
              <w:marTop w:val="0"/>
              <w:marBottom w:val="0"/>
              <w:divBdr>
                <w:top w:val="none" w:sz="0" w:space="0" w:color="auto"/>
                <w:left w:val="none" w:sz="0" w:space="0" w:color="auto"/>
                <w:bottom w:val="none" w:sz="0" w:space="0" w:color="auto"/>
                <w:right w:val="none" w:sz="0" w:space="0" w:color="auto"/>
              </w:divBdr>
            </w:div>
          </w:divsChild>
        </w:div>
        <w:div w:id="1606157622">
          <w:marLeft w:val="0"/>
          <w:marRight w:val="0"/>
          <w:marTop w:val="0"/>
          <w:marBottom w:val="0"/>
          <w:divBdr>
            <w:top w:val="none" w:sz="0" w:space="0" w:color="auto"/>
            <w:left w:val="none" w:sz="0" w:space="0" w:color="auto"/>
            <w:bottom w:val="none" w:sz="0" w:space="0" w:color="auto"/>
            <w:right w:val="none" w:sz="0" w:space="0" w:color="auto"/>
          </w:divBdr>
          <w:divsChild>
            <w:div w:id="1441215801">
              <w:marLeft w:val="0"/>
              <w:marRight w:val="0"/>
              <w:marTop w:val="0"/>
              <w:marBottom w:val="0"/>
              <w:divBdr>
                <w:top w:val="none" w:sz="0" w:space="0" w:color="auto"/>
                <w:left w:val="none" w:sz="0" w:space="0" w:color="auto"/>
                <w:bottom w:val="none" w:sz="0" w:space="0" w:color="auto"/>
                <w:right w:val="none" w:sz="0" w:space="0" w:color="auto"/>
              </w:divBdr>
            </w:div>
          </w:divsChild>
        </w:div>
        <w:div w:id="114063212">
          <w:marLeft w:val="0"/>
          <w:marRight w:val="0"/>
          <w:marTop w:val="0"/>
          <w:marBottom w:val="0"/>
          <w:divBdr>
            <w:top w:val="none" w:sz="0" w:space="0" w:color="auto"/>
            <w:left w:val="none" w:sz="0" w:space="0" w:color="auto"/>
            <w:bottom w:val="none" w:sz="0" w:space="0" w:color="auto"/>
            <w:right w:val="none" w:sz="0" w:space="0" w:color="auto"/>
          </w:divBdr>
          <w:divsChild>
            <w:div w:id="1761176013">
              <w:marLeft w:val="0"/>
              <w:marRight w:val="0"/>
              <w:marTop w:val="0"/>
              <w:marBottom w:val="0"/>
              <w:divBdr>
                <w:top w:val="none" w:sz="0" w:space="0" w:color="auto"/>
                <w:left w:val="none" w:sz="0" w:space="0" w:color="auto"/>
                <w:bottom w:val="none" w:sz="0" w:space="0" w:color="auto"/>
                <w:right w:val="none" w:sz="0" w:space="0" w:color="auto"/>
              </w:divBdr>
            </w:div>
          </w:divsChild>
        </w:div>
        <w:div w:id="1002006857">
          <w:marLeft w:val="0"/>
          <w:marRight w:val="0"/>
          <w:marTop w:val="0"/>
          <w:marBottom w:val="0"/>
          <w:divBdr>
            <w:top w:val="none" w:sz="0" w:space="0" w:color="auto"/>
            <w:left w:val="none" w:sz="0" w:space="0" w:color="auto"/>
            <w:bottom w:val="none" w:sz="0" w:space="0" w:color="auto"/>
            <w:right w:val="none" w:sz="0" w:space="0" w:color="auto"/>
          </w:divBdr>
          <w:divsChild>
            <w:div w:id="123734919">
              <w:marLeft w:val="0"/>
              <w:marRight w:val="0"/>
              <w:marTop w:val="0"/>
              <w:marBottom w:val="0"/>
              <w:divBdr>
                <w:top w:val="none" w:sz="0" w:space="0" w:color="auto"/>
                <w:left w:val="none" w:sz="0" w:space="0" w:color="auto"/>
                <w:bottom w:val="none" w:sz="0" w:space="0" w:color="auto"/>
                <w:right w:val="none" w:sz="0" w:space="0" w:color="auto"/>
              </w:divBdr>
            </w:div>
          </w:divsChild>
        </w:div>
        <w:div w:id="1656297098">
          <w:marLeft w:val="0"/>
          <w:marRight w:val="0"/>
          <w:marTop w:val="0"/>
          <w:marBottom w:val="0"/>
          <w:divBdr>
            <w:top w:val="none" w:sz="0" w:space="0" w:color="auto"/>
            <w:left w:val="none" w:sz="0" w:space="0" w:color="auto"/>
            <w:bottom w:val="none" w:sz="0" w:space="0" w:color="auto"/>
            <w:right w:val="none" w:sz="0" w:space="0" w:color="auto"/>
          </w:divBdr>
          <w:divsChild>
            <w:div w:id="1211578875">
              <w:marLeft w:val="0"/>
              <w:marRight w:val="0"/>
              <w:marTop w:val="0"/>
              <w:marBottom w:val="0"/>
              <w:divBdr>
                <w:top w:val="none" w:sz="0" w:space="0" w:color="auto"/>
                <w:left w:val="none" w:sz="0" w:space="0" w:color="auto"/>
                <w:bottom w:val="none" w:sz="0" w:space="0" w:color="auto"/>
                <w:right w:val="none" w:sz="0" w:space="0" w:color="auto"/>
              </w:divBdr>
            </w:div>
          </w:divsChild>
        </w:div>
        <w:div w:id="941112336">
          <w:marLeft w:val="0"/>
          <w:marRight w:val="0"/>
          <w:marTop w:val="0"/>
          <w:marBottom w:val="0"/>
          <w:divBdr>
            <w:top w:val="none" w:sz="0" w:space="0" w:color="auto"/>
            <w:left w:val="none" w:sz="0" w:space="0" w:color="auto"/>
            <w:bottom w:val="none" w:sz="0" w:space="0" w:color="auto"/>
            <w:right w:val="none" w:sz="0" w:space="0" w:color="auto"/>
          </w:divBdr>
          <w:divsChild>
            <w:div w:id="762385728">
              <w:marLeft w:val="0"/>
              <w:marRight w:val="0"/>
              <w:marTop w:val="0"/>
              <w:marBottom w:val="0"/>
              <w:divBdr>
                <w:top w:val="none" w:sz="0" w:space="0" w:color="auto"/>
                <w:left w:val="none" w:sz="0" w:space="0" w:color="auto"/>
                <w:bottom w:val="none" w:sz="0" w:space="0" w:color="auto"/>
                <w:right w:val="none" w:sz="0" w:space="0" w:color="auto"/>
              </w:divBdr>
            </w:div>
          </w:divsChild>
        </w:div>
        <w:div w:id="747382631">
          <w:marLeft w:val="0"/>
          <w:marRight w:val="0"/>
          <w:marTop w:val="0"/>
          <w:marBottom w:val="0"/>
          <w:divBdr>
            <w:top w:val="none" w:sz="0" w:space="0" w:color="auto"/>
            <w:left w:val="none" w:sz="0" w:space="0" w:color="auto"/>
            <w:bottom w:val="none" w:sz="0" w:space="0" w:color="auto"/>
            <w:right w:val="none" w:sz="0" w:space="0" w:color="auto"/>
          </w:divBdr>
        </w:div>
        <w:div w:id="50490441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Trevor Williams</cp:lastModifiedBy>
  <cp:revision>2</cp:revision>
  <dcterms:created xsi:type="dcterms:W3CDTF">2023-08-13T21:10:00Z</dcterms:created>
  <dcterms:modified xsi:type="dcterms:W3CDTF">2023-08-24T22:46:00Z</dcterms:modified>
</cp:coreProperties>
</file>