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C1947" w14:textId="5140C703" w:rsidR="003D0D4E" w:rsidRDefault="00435B6F" w:rsidP="00435B6F">
      <w:pPr>
        <w:pStyle w:val="Heading1"/>
        <w:rPr>
          <w:b/>
          <w:bCs/>
          <w:sz w:val="32"/>
          <w:szCs w:val="32"/>
          <w:lang w:val="en-US"/>
        </w:rPr>
      </w:pPr>
      <w:r w:rsidRPr="00435B6F">
        <w:rPr>
          <w:b/>
          <w:bCs/>
          <w:sz w:val="32"/>
          <w:szCs w:val="32"/>
          <w:lang w:val="en-US"/>
        </w:rPr>
        <w:t>FINANCIAL STATEMENT ANALYSIS &amp; PROFITABILITY DASHBOARD</w:t>
      </w:r>
    </w:p>
    <w:p w14:paraId="5EC535FD" w14:textId="77777777" w:rsidR="003E537C" w:rsidRPr="003E537C" w:rsidRDefault="003E537C" w:rsidP="003E537C">
      <w:pPr>
        <w:rPr>
          <w:lang w:val="en-US"/>
        </w:rPr>
      </w:pPr>
    </w:p>
    <w:p w14:paraId="00C96EFD" w14:textId="228C68E4" w:rsidR="00435B6F" w:rsidRPr="003E537C" w:rsidRDefault="003E537C" w:rsidP="00435B6F">
      <w:pPr>
        <w:rPr>
          <w:b/>
          <w:bCs/>
          <w:lang w:val="en-US"/>
        </w:rPr>
      </w:pPr>
      <w:r>
        <w:rPr>
          <w:b/>
          <w:bCs/>
          <w:lang w:val="en-US"/>
        </w:rPr>
        <w:t>PART C- BUSINESS INSIGHTS</w:t>
      </w:r>
    </w:p>
    <w:p w14:paraId="676EE006" w14:textId="20AF38A4" w:rsidR="00435B6F" w:rsidRDefault="00435B6F" w:rsidP="00435B6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435B6F">
        <w:rPr>
          <w:b/>
          <w:bCs/>
          <w:lang w:val="en-US"/>
        </w:rPr>
        <w:t>Revenue Growth</w:t>
      </w:r>
    </w:p>
    <w:p w14:paraId="15EDBA1C" w14:textId="2181F44A" w:rsidR="00435B6F" w:rsidRDefault="00435B6F" w:rsidP="00435B6F">
      <w:pPr>
        <w:ind w:left="360"/>
        <w:rPr>
          <w:lang w:val="en-US"/>
        </w:rPr>
      </w:pPr>
      <w:r w:rsidRPr="00435B6F">
        <w:rPr>
          <w:lang w:val="en-US"/>
        </w:rPr>
        <w:t>The company's revenue increased consistently from ₹50 lakh in 2021 to ₹82 lakh in 2025. This represents approximately 64% growth over the five-year period, indicating a positive business growth trend.</w:t>
      </w:r>
    </w:p>
    <w:p w14:paraId="4C3A13CB" w14:textId="7A4DD435" w:rsidR="00435B6F" w:rsidRPr="00435B6F" w:rsidRDefault="00435B6F" w:rsidP="00435B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Net Profit Growth</w:t>
      </w:r>
    </w:p>
    <w:p w14:paraId="32CC8188" w14:textId="1F4080D0" w:rsidR="00435B6F" w:rsidRDefault="00435B6F" w:rsidP="00435B6F">
      <w:pPr>
        <w:ind w:left="360"/>
        <w:rPr>
          <w:lang w:val="en-US"/>
        </w:rPr>
      </w:pPr>
      <w:r w:rsidRPr="00435B6F">
        <w:rPr>
          <w:lang w:val="en-US"/>
        </w:rPr>
        <w:t>The company's net profit increased consistently from ₹6.8 lakh in 2021 to ₹19.8 lakh in 2025. This indicates that the company's profitability improved during the five-year period.</w:t>
      </w:r>
    </w:p>
    <w:p w14:paraId="2FA7A1B5" w14:textId="7B2AAD84" w:rsidR="00435B6F" w:rsidRPr="00435B6F" w:rsidRDefault="00435B6F" w:rsidP="00435B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Profit Margin Analysis</w:t>
      </w:r>
    </w:p>
    <w:p w14:paraId="1D2E29F9" w14:textId="725CB83B" w:rsidR="00435B6F" w:rsidRDefault="00435B6F" w:rsidP="00435B6F">
      <w:pPr>
        <w:ind w:left="360"/>
        <w:rPr>
          <w:lang w:val="en-US"/>
        </w:rPr>
      </w:pPr>
      <w:r w:rsidRPr="00435B6F">
        <w:rPr>
          <w:lang w:val="en-US"/>
        </w:rPr>
        <w:t>Net profit margin improved from approximately 13.6% in 2021 to 24.1% in 2025. This indicates that the company became more efficient in converting revenue into net profit.</w:t>
      </w:r>
    </w:p>
    <w:p w14:paraId="749AA46F" w14:textId="1AB0F2E5" w:rsidR="00435B6F" w:rsidRDefault="00435B6F" w:rsidP="00435B6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435B6F">
        <w:rPr>
          <w:b/>
          <w:bCs/>
          <w:lang w:val="en-US"/>
        </w:rPr>
        <w:t>Liquidity Analysis</w:t>
      </w:r>
    </w:p>
    <w:p w14:paraId="1B59A892" w14:textId="7F5F1416" w:rsidR="00435B6F" w:rsidRDefault="003E537C" w:rsidP="00435B6F">
      <w:pPr>
        <w:ind w:left="360"/>
        <w:rPr>
          <w:lang w:val="en-US"/>
        </w:rPr>
      </w:pPr>
      <w:r w:rsidRPr="003E537C">
        <w:rPr>
          <w:lang w:val="en-US"/>
        </w:rPr>
        <w:t>The current ratio increased from 1.47 in 2021 to 2.06 in 2025. This indicates an improvement in the company's ability to meet its short-term financial obligations.</w:t>
      </w:r>
    </w:p>
    <w:p w14:paraId="7BC0D3C0" w14:textId="12D0FE27" w:rsidR="003E537C" w:rsidRPr="003E537C" w:rsidRDefault="003E537C" w:rsidP="003E53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Debit Analysis</w:t>
      </w:r>
    </w:p>
    <w:p w14:paraId="440D8507" w14:textId="55D2A411" w:rsidR="003E537C" w:rsidRDefault="003E537C" w:rsidP="003E537C">
      <w:pPr>
        <w:ind w:left="360"/>
        <w:rPr>
          <w:lang w:val="en-US"/>
        </w:rPr>
      </w:pPr>
      <w:r w:rsidRPr="003E537C">
        <w:rPr>
          <w:lang w:val="en-US"/>
        </w:rPr>
        <w:t>The debt-to-equity ratio decreased from 1.40 in 2021 to 0.83 in 2025. This indicates that the company's dependence on debt reduced over time.</w:t>
      </w:r>
    </w:p>
    <w:p w14:paraId="7E900B76" w14:textId="675250FA" w:rsidR="003E537C" w:rsidRPr="003E537C" w:rsidRDefault="003E537C" w:rsidP="003E53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Overall Business Conclusion</w:t>
      </w:r>
    </w:p>
    <w:p w14:paraId="0C176160" w14:textId="491AA04B" w:rsidR="003E537C" w:rsidRDefault="003E537C" w:rsidP="003E537C">
      <w:pPr>
        <w:ind w:left="360"/>
        <w:rPr>
          <w:lang w:val="en-US"/>
        </w:rPr>
      </w:pPr>
      <w:r w:rsidRPr="003E537C">
        <w:rPr>
          <w:lang w:val="en-US"/>
        </w:rPr>
        <w:t>Overall, the company demonstrated improved financial performance from 2021 to 2025. Revenue and net profit increased consistently, profit margin improved, liquidity strengthened, and dependence on debt decreased.</w:t>
      </w:r>
    </w:p>
    <w:p w14:paraId="73F19C48" w14:textId="7EB29CF3" w:rsidR="003E537C" w:rsidRDefault="003E537C" w:rsidP="003E537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E537C">
        <w:rPr>
          <w:b/>
          <w:bCs/>
          <w:lang w:val="en-US"/>
        </w:rPr>
        <w:t xml:space="preserve">Business Recommendations </w:t>
      </w:r>
    </w:p>
    <w:p w14:paraId="2025828B" w14:textId="77777777" w:rsidR="003E537C" w:rsidRPr="003E537C" w:rsidRDefault="003E537C" w:rsidP="003E537C">
      <w:pPr>
        <w:ind w:left="360"/>
        <w:rPr>
          <w:lang w:val="en-US"/>
        </w:rPr>
      </w:pPr>
      <w:r w:rsidRPr="003E537C">
        <w:rPr>
          <w:lang w:val="en-US"/>
        </w:rPr>
        <w:t>• Continue focusing on revenue growth.</w:t>
      </w:r>
    </w:p>
    <w:p w14:paraId="5A0DC15F" w14:textId="77777777" w:rsidR="003E537C" w:rsidRPr="003E537C" w:rsidRDefault="003E537C" w:rsidP="003E537C">
      <w:pPr>
        <w:ind w:left="360"/>
        <w:rPr>
          <w:lang w:val="en-US"/>
        </w:rPr>
      </w:pPr>
      <w:r w:rsidRPr="003E537C">
        <w:rPr>
          <w:lang w:val="en-US"/>
        </w:rPr>
        <w:t>• Control operating expenses to maintain healthy profit margins.</w:t>
      </w:r>
    </w:p>
    <w:p w14:paraId="5CC04029" w14:textId="77777777" w:rsidR="003E537C" w:rsidRPr="003E537C" w:rsidRDefault="003E537C" w:rsidP="003E537C">
      <w:pPr>
        <w:ind w:left="360"/>
        <w:rPr>
          <w:lang w:val="en-US"/>
        </w:rPr>
      </w:pPr>
      <w:r w:rsidRPr="003E537C">
        <w:rPr>
          <w:lang w:val="en-US"/>
        </w:rPr>
        <w:t>• Maintain sufficient current assets to meet short-term obligations.</w:t>
      </w:r>
    </w:p>
    <w:p w14:paraId="566A5F40" w14:textId="77777777" w:rsidR="003E537C" w:rsidRPr="003E537C" w:rsidRDefault="003E537C" w:rsidP="003E537C">
      <w:pPr>
        <w:ind w:left="360"/>
        <w:rPr>
          <w:lang w:val="en-US"/>
        </w:rPr>
      </w:pPr>
      <w:r w:rsidRPr="003E537C">
        <w:rPr>
          <w:lang w:val="en-US"/>
        </w:rPr>
        <w:t>• Continue reducing unnecessary debt.</w:t>
      </w:r>
    </w:p>
    <w:p w14:paraId="0F1D0881" w14:textId="49D50BD7" w:rsidR="003E537C" w:rsidRPr="003E537C" w:rsidRDefault="003E537C" w:rsidP="003E537C">
      <w:pPr>
        <w:ind w:left="360"/>
        <w:rPr>
          <w:lang w:val="en-US"/>
        </w:rPr>
      </w:pPr>
      <w:r w:rsidRPr="003E537C">
        <w:rPr>
          <w:lang w:val="en-US"/>
        </w:rPr>
        <w:t>• Monitor financial ratios regularly to identify potential financial risks.</w:t>
      </w:r>
    </w:p>
    <w:sectPr w:rsidR="003E537C" w:rsidRPr="003E5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12AD2"/>
    <w:multiLevelType w:val="hybridMultilevel"/>
    <w:tmpl w:val="5BE6E9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839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D4E"/>
    <w:rsid w:val="002C7EC8"/>
    <w:rsid w:val="003D0D4E"/>
    <w:rsid w:val="003E537C"/>
    <w:rsid w:val="0043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54994"/>
  <w15:chartTrackingRefBased/>
  <w15:docId w15:val="{BD6ED19C-02AD-4974-BA65-4399F6DBE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D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D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2026-09-05T11:24:00Z</dcterms:created>
  <dcterms:modified xsi:type="dcterms:W3CDTF">2026-09-05T11:38:00Z</dcterms:modified>
</cp:coreProperties>
</file>