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76696">
      <w:pPr>
        <w:keepNext/>
        <w:spacing w:after="180"/>
        <w:jc w:val="center"/>
        <w:rPr>
          <w:rFonts w:hint="eastAsia"/>
          <w:lang w:eastAsia="zh-CN"/>
        </w:rPr>
      </w:pPr>
      <w:r>
        <w:rPr>
          <w:rFonts w:eastAsia="黑体"/>
          <w:b/>
          <w:sz w:val="36"/>
          <w:lang w:eastAsia="zh-CN"/>
        </w:rPr>
        <w:t>面向后量子密码的协议检测与算法验证</w:t>
      </w:r>
      <w:r>
        <w:rPr>
          <w:rFonts w:eastAsia="黑体"/>
          <w:b/>
          <w:sz w:val="36"/>
          <w:lang w:eastAsia="zh-CN"/>
        </w:rPr>
        <w:br w:type="textWrapping"/>
      </w:r>
      <w:r>
        <w:rPr>
          <w:rFonts w:eastAsia="黑体"/>
          <w:b/>
          <w:sz w:val="28"/>
          <w:lang w:eastAsia="zh-CN"/>
        </w:rPr>
        <w:t>检测与验证内容</w:t>
      </w:r>
    </w:p>
    <w:p w14:paraId="6A87D5AB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摘要</w:t>
      </w:r>
    </w:p>
    <w:p w14:paraId="781CE6A5">
      <w:pPr>
        <w:ind w:firstLine="420"/>
        <w:jc w:val="both"/>
        <w:rPr>
          <w:lang w:eastAsia="zh-CN"/>
        </w:rPr>
      </w:pPr>
      <w:r>
        <w:rPr>
          <w:lang w:eastAsia="zh-CN"/>
        </w:rPr>
        <w:t>判断一条连接是否使用了后量子密码，既要看实际协商的密钥交换算法，也要看用于身份认证的证书和签名。两者的迁移进度可能不同：服务器可以采用 ML-KEM 混合密钥交换，同时继续使用 RSA 或 ECDSA 证书。如果只依据其中一项给出整体结论，就容易把局部升级写成完整的后量子化。</w:t>
      </w:r>
    </w:p>
    <w:p w14:paraId="07C94CDE">
      <w:pPr>
        <w:ind w:firstLine="420"/>
        <w:jc w:val="both"/>
        <w:rPr>
          <w:lang w:eastAsia="zh-CN"/>
        </w:rPr>
      </w:pPr>
      <w:r>
        <w:rPr>
          <w:lang w:eastAsia="zh-CN"/>
        </w:rPr>
        <w:t>本项目围绕这一问题开展协议检测与算法验证。抓包分析用于还原通信过程，主动 TLS 检测进一步核验共享秘密、服务器握手签名和 Finished；算法演示展示封装、解封装及签名验签的计算过程。本地实验站则提供可控的 HTTPS、TLS 和 TCP/UDP 签名消息环境，用实际通信及篡改对照检查检测结果。本文按这些工作的先后关系说明当前检测内容，并交代各项结论的适用范围。</w:t>
      </w:r>
    </w:p>
    <w:p w14:paraId="50969D1D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一、平台定位与现有工作</w:t>
      </w:r>
    </w:p>
    <w:p w14:paraId="3D1651C7">
      <w:pPr>
        <w:ind w:firstLine="420"/>
        <w:jc w:val="both"/>
        <w:rPr>
          <w:lang w:eastAsia="zh-CN"/>
        </w:rPr>
      </w:pPr>
      <w:r>
        <w:rPr>
          <w:lang w:eastAsia="zh-CN"/>
        </w:rPr>
        <w:t>平台采用 Python 与 PySide6 构建桌面界面，协议解析、主动检测、算法演示和实验服务分别由独立模块承担。使用时可以从一份已有抓包开始，找到关注的会话、检查协商字段，再对对应目标发起主动复测；也可以直接输入域名或地址进行检测。这样，报文中观察到的现象和新连接的验证结果能够相互参照。</w:t>
      </w:r>
    </w:p>
    <w:p w14:paraId="1C4C1CE2">
      <w:pPr>
        <w:ind w:firstLine="420"/>
        <w:jc w:val="both"/>
        <w:rPr>
          <w:lang w:eastAsia="zh-CN"/>
        </w:rPr>
      </w:pPr>
      <w:r>
        <w:t>目前，协议分析支持 pcap/pcapng 文件导入和现场抓包，可展示 TLS、TLCP、SSH、CSSH 的握手信息，以及 IKEv1/IKEv2、ESP、AH 和 NAT-T 的可见字段。</w:t>
      </w:r>
      <w:r>
        <w:rPr>
          <w:lang w:eastAsia="zh-CN"/>
        </w:rPr>
        <w:t>其中，后量子密钥交换与服务器握手的主动验证主要围绕 TLS 1.3 实现。其他协议的字段解析已经接入，但验证能力应按具体协议和可见报文说明。</w:t>
      </w:r>
    </w:p>
    <w:p w14:paraId="2EFCB88F">
      <w:pPr>
        <w:ind w:firstLine="420"/>
        <w:jc w:val="both"/>
        <w:rPr>
          <w:lang w:eastAsia="zh-CN"/>
        </w:rPr>
      </w:pPr>
      <w:r>
        <w:rPr>
          <w:lang w:eastAsia="zh-CN"/>
        </w:rPr>
        <w:t>算法部分支持 ML-KEM 密钥封装、ECDH 与 ML-KEM 混合加密、后量子数字签名及经典算法与后量子算法组成的混合签名。证书分析和本地文件识别可补充查看算法标识与参数；编码、摘要和常见密码运算工具则用于整理输入和核对数据。</w:t>
      </w:r>
    </w:p>
    <w:p w14:paraId="3041111B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二、抓包能够提供哪些检测依据</w:t>
      </w:r>
    </w:p>
    <w:p w14:paraId="4B39F367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2.1 从实际报文还原协商过程</w:t>
      </w:r>
    </w:p>
    <w:p w14:paraId="093B91E9">
      <w:pPr>
        <w:ind w:firstLine="420"/>
        <w:jc w:val="both"/>
        <w:rPr>
          <w:lang w:eastAsia="zh-CN"/>
        </w:rPr>
      </w:pPr>
      <w:r>
        <w:rPr>
          <w:lang w:eastAsia="zh-CN"/>
        </w:rPr>
        <w:t>导入抓包后，平台识别通信双方并重组 TCP 数据，将可解析的握手消息放入同一会话视图。对 TLS 1.3，ClientHello 可以说明客户端提供了哪些版本、密码套件、密钥交换组和签名方案，以及 SNI 和 ALPN 候选；ServerHello 则给出服务器最终选择的密码套件和 key_share 组。检测时要把“客户端提供过”与“服务器实际选择了”区分开，后者才是本次协商的直接依据。</w:t>
      </w:r>
    </w:p>
    <w:p w14:paraId="4D5942CE">
      <w:pPr>
        <w:ind w:firstLine="420"/>
        <w:jc w:val="both"/>
        <w:rPr>
          <w:lang w:eastAsia="zh-CN"/>
        </w:rPr>
      </w:pPr>
      <w:r>
        <w:rPr>
          <w:lang w:eastAsia="zh-CN"/>
        </w:rPr>
        <w:t>如果报文中含有可见的 Certificate，平台可以继续提取证书主体、签发者、有效期、签名算法和公钥信息。TLS 1.2、TLCP、SSH、CSSH 的可见握手字段也会按各自协议展示。对于 IPsec，平台已能解析 IKE 提议与变换、协商时序，以及 ESP/AH 头部信息；遇到加密载荷时，分析停留在可见部分。</w:t>
      </w:r>
    </w:p>
    <w:p w14:paraId="7464A449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2.2 被动分析的限制</w:t>
      </w:r>
    </w:p>
    <w:p w14:paraId="53FF8159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普通抓包通常没有 TLS 会话所需的临时私钥。在 TLS 1.3 中，ServerHello 之后的握手消息已经加密，Certificate、CertificateVerify 和 Finished 无法直接从密文中读取。这也是当前抓包页不能仅靠一份 pcap 完成证书认证和服务器握手验签的原因。相关消息的保护规则见 </w:t>
      </w:r>
      <w:r>
        <w:fldChar w:fldCharType="begin"/>
      </w:r>
      <w:r>
        <w:instrText xml:space="preserve"> HYPERLINK "https://www.rfc-editor.org/rfc/rfc8446.html" \l "section-4.4" \h </w:instrText>
      </w:r>
      <w:r>
        <w:fldChar w:fldCharType="separate"/>
      </w:r>
      <w:r>
        <w:rPr>
          <w:color w:val="1F3B73"/>
          <w:u w:val="single"/>
          <w:lang w:eastAsia="zh-CN"/>
        </w:rPr>
        <w:t>RFC 8446，§2 与 §4.4</w:t>
      </w:r>
      <w:r>
        <w:rPr>
          <w:color w:val="1F3B73"/>
          <w:u w:val="single"/>
          <w:lang w:eastAsia="zh-CN"/>
        </w:rPr>
        <w:fldChar w:fldCharType="end"/>
      </w:r>
      <w:r>
        <w:rPr>
          <w:lang w:eastAsia="zh-CN"/>
        </w:rPr>
        <w:t>。</w:t>
      </w:r>
    </w:p>
    <w:p w14:paraId="0C1224DA">
      <w:pPr>
        <w:ind w:firstLine="420"/>
        <w:jc w:val="both"/>
        <w:rPr>
          <w:lang w:eastAsia="zh-CN"/>
        </w:rPr>
      </w:pPr>
      <w:r>
        <w:rPr>
          <w:lang w:eastAsia="zh-CN"/>
        </w:rPr>
        <w:t>因此，被动检测首先回答本次连接观察到了什么：是否出现已知后量子组，key_share 长度是否与组参数一致，证书字段是否可见。长度相符只能说明格式上没有发现这类矛盾，不能替代密钥交换或签名验证。缺包、截断、方向不明或未知组都会影响结果，此时应保留“无法判断”，不把信息缺失解释为不支持后量子算法。</w:t>
      </w:r>
    </w:p>
    <w:p w14:paraId="2F1C79CA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2.3 抓包观察与主动复测的衔接</w:t>
      </w:r>
    </w:p>
    <w:p w14:paraId="727915DE">
      <w:pPr>
        <w:ind w:firstLine="420"/>
        <w:jc w:val="both"/>
        <w:rPr>
          <w:lang w:eastAsia="zh-CN"/>
        </w:rPr>
      </w:pPr>
      <w:r>
        <w:rPr>
          <w:lang w:eastAsia="zh-CN"/>
        </w:rPr>
        <w:t>会话视图提供“对该目标主动复测”入口，优先使用抓包中的 SNI 和服务器端口；没有 SNI 时，只有在连接方向明确的情况下才采用服务器 IP。复测会建立另一条连接，因此平台并列保留两份结果，并标明各自来源。新连接采用后量子组，可以补充说明该入口在复测时的行为，但不能据此改写原抓包连接的协商事实。</w:t>
      </w:r>
    </w:p>
    <w:p w14:paraId="2A48DD89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三、主动 TLS 检测如何验证算法的实际使用</w:t>
      </w:r>
    </w:p>
    <w:p w14:paraId="48679C39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3.1 确认服务器选择的密钥交换组</w:t>
      </w:r>
    </w:p>
    <w:p w14:paraId="49E10D2D">
      <w:pPr>
        <w:ind w:firstLine="420"/>
        <w:jc w:val="both"/>
        <w:rPr>
          <w:lang w:eastAsia="zh-CN"/>
        </w:rPr>
      </w:pPr>
      <w:r>
        <w:t>主动检测由平台生成临时密钥材料并构造 ClientHello。默认优先提供 X25519MLKEM768 和 SecP256r1MLKEM768，同时保留 X25519、secp256r1 等经典组。签名方案中也提供 ML-DSA 和部分 SLH-DSA 标识，以便与采用后量子证书的服务端协商。</w:t>
      </w:r>
      <w:r>
        <w:rPr>
          <w:lang w:eastAsia="zh-CN"/>
        </w:rPr>
        <w:t>收到 ServerHello 后，平台记录实际选组、组编号、密码套件和密钥数据长度，再与参数表核对。</w:t>
      </w:r>
    </w:p>
    <w:p w14:paraId="59C3425A">
      <w:pPr>
        <w:ind w:firstLine="420"/>
        <w:jc w:val="both"/>
        <w:rPr>
          <w:lang w:eastAsia="zh-CN"/>
        </w:rPr>
      </w:pPr>
      <w:r>
        <w:rPr>
          <w:lang w:eastAsia="zh-CN"/>
        </w:rPr>
        <w:t>下表列出本地实验站已覆盖的三种混合组。表中的“密钥数据”指服务器 key_exchange 内容；“扩展体”还包含 2 字节组编号和 2 字节密钥数据长度字段。客户端发送的是 ML-KEM 公钥，服务端返回的是封装密文，两者的长度不能混用。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9"/>
        <w:gridCol w:w="984"/>
        <w:gridCol w:w="4657"/>
        <w:gridCol w:w="1620"/>
      </w:tblGrid>
      <w:tr w14:paraId="4655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39" w:type="dxa"/>
            <w:shd w:val="clear" w:color="auto" w:fill="E9EEF5"/>
            <w:vAlign w:val="center"/>
          </w:tcPr>
          <w:p w14:paraId="32D549B8">
            <w:pPr>
              <w:spacing w:before="60" w:after="60" w:line="276" w:lineRule="auto"/>
            </w:pPr>
            <w:r>
              <w:rPr>
                <w:b/>
                <w:sz w:val="18"/>
              </w:rPr>
              <w:t>混合密钥交换组</w:t>
            </w:r>
          </w:p>
        </w:tc>
        <w:tc>
          <w:tcPr>
            <w:tcW w:w="984" w:type="dxa"/>
            <w:shd w:val="clear" w:color="auto" w:fill="E9EEF5"/>
            <w:vAlign w:val="center"/>
          </w:tcPr>
          <w:p w14:paraId="3B79D536">
            <w:pPr>
              <w:spacing w:before="60" w:after="60" w:line="276" w:lineRule="auto"/>
            </w:pPr>
            <w:r>
              <w:rPr>
                <w:b/>
                <w:sz w:val="18"/>
              </w:rPr>
              <w:t>组编号</w:t>
            </w:r>
          </w:p>
        </w:tc>
        <w:tc>
          <w:tcPr>
            <w:tcW w:w="4657" w:type="dxa"/>
            <w:shd w:val="clear" w:color="auto" w:fill="E9EEF5"/>
            <w:vAlign w:val="center"/>
          </w:tcPr>
          <w:p w14:paraId="4BF54964">
            <w:pPr>
              <w:spacing w:before="60" w:after="60" w:line="276" w:lineRule="auto"/>
            </w:pPr>
            <w:r>
              <w:rPr>
                <w:b/>
                <w:sz w:val="18"/>
              </w:rPr>
              <w:t>服务器密钥数据</w:t>
            </w:r>
          </w:p>
        </w:tc>
        <w:tc>
          <w:tcPr>
            <w:tcW w:w="1620" w:type="dxa"/>
            <w:shd w:val="clear" w:color="auto" w:fill="E9EEF5"/>
            <w:vAlign w:val="center"/>
          </w:tcPr>
          <w:p w14:paraId="1C0D53D4">
            <w:pPr>
              <w:spacing w:before="60" w:after="60" w:line="276" w:lineRule="auto"/>
            </w:pPr>
            <w:r>
              <w:rPr>
                <w:b/>
                <w:sz w:val="18"/>
              </w:rPr>
              <w:t>扩展体长度</w:t>
            </w:r>
          </w:p>
        </w:tc>
      </w:tr>
      <w:tr w14:paraId="46995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9" w:type="dxa"/>
            <w:vAlign w:val="center"/>
          </w:tcPr>
          <w:p w14:paraId="5DC05759">
            <w:pPr>
              <w:spacing w:before="60" w:after="60" w:line="276" w:lineRule="auto"/>
            </w:pPr>
            <w:r>
              <w:rPr>
                <w:sz w:val="18"/>
              </w:rPr>
              <w:t>X25519MLKEM768</w:t>
            </w:r>
          </w:p>
        </w:tc>
        <w:tc>
          <w:tcPr>
            <w:tcW w:w="984" w:type="dxa"/>
            <w:vAlign w:val="center"/>
          </w:tcPr>
          <w:p w14:paraId="36E3E792">
            <w:pPr>
              <w:spacing w:before="60" w:after="60" w:line="276" w:lineRule="auto"/>
            </w:pPr>
            <w:r>
              <w:rPr>
                <w:sz w:val="18"/>
              </w:rPr>
              <w:t>0x11EC</w:t>
            </w:r>
          </w:p>
        </w:tc>
        <w:tc>
          <w:tcPr>
            <w:tcW w:w="4657" w:type="dxa"/>
            <w:vAlign w:val="center"/>
          </w:tcPr>
          <w:p w14:paraId="603797A4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1088 字节 ML-KEM 密文32 字节 X25519 公钥</w:t>
            </w:r>
          </w:p>
        </w:tc>
        <w:tc>
          <w:tcPr>
            <w:tcW w:w="1620" w:type="dxa"/>
            <w:vAlign w:val="center"/>
          </w:tcPr>
          <w:p w14:paraId="4FC152FB">
            <w:pPr>
              <w:spacing w:before="60" w:after="60" w:line="276" w:lineRule="auto"/>
            </w:pPr>
            <w:r>
              <w:rPr>
                <w:sz w:val="18"/>
              </w:rPr>
              <w:t>1124 字节</w:t>
            </w:r>
          </w:p>
        </w:tc>
      </w:tr>
      <w:tr w14:paraId="32015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9" w:type="dxa"/>
            <w:vAlign w:val="center"/>
          </w:tcPr>
          <w:p w14:paraId="02AABA79">
            <w:pPr>
              <w:spacing w:before="60" w:after="60" w:line="276" w:lineRule="auto"/>
            </w:pPr>
            <w:r>
              <w:rPr>
                <w:sz w:val="18"/>
              </w:rPr>
              <w:t>SecP256r1MLKEM768</w:t>
            </w:r>
          </w:p>
        </w:tc>
        <w:tc>
          <w:tcPr>
            <w:tcW w:w="984" w:type="dxa"/>
            <w:vAlign w:val="center"/>
          </w:tcPr>
          <w:p w14:paraId="6AC06A47">
            <w:pPr>
              <w:spacing w:before="60" w:after="60" w:line="276" w:lineRule="auto"/>
            </w:pPr>
            <w:r>
              <w:rPr>
                <w:sz w:val="18"/>
              </w:rPr>
              <w:t>0x11EB</w:t>
            </w:r>
          </w:p>
        </w:tc>
        <w:tc>
          <w:tcPr>
            <w:tcW w:w="4657" w:type="dxa"/>
            <w:vAlign w:val="center"/>
          </w:tcPr>
          <w:p w14:paraId="72BA1A15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65 字节 P-256 公钥1088 字节 ML-KEM 密文</w:t>
            </w:r>
          </w:p>
        </w:tc>
        <w:tc>
          <w:tcPr>
            <w:tcW w:w="1620" w:type="dxa"/>
            <w:vAlign w:val="center"/>
          </w:tcPr>
          <w:p w14:paraId="688784DF">
            <w:pPr>
              <w:spacing w:before="60" w:after="60" w:line="276" w:lineRule="auto"/>
            </w:pPr>
            <w:r>
              <w:rPr>
                <w:sz w:val="18"/>
              </w:rPr>
              <w:t>1157 字节</w:t>
            </w:r>
          </w:p>
        </w:tc>
      </w:tr>
      <w:tr w14:paraId="05A7F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9" w:type="dxa"/>
            <w:vAlign w:val="center"/>
          </w:tcPr>
          <w:p w14:paraId="78BD1D83">
            <w:pPr>
              <w:spacing w:before="60" w:after="60" w:line="276" w:lineRule="auto"/>
            </w:pPr>
            <w:r>
              <w:rPr>
                <w:sz w:val="18"/>
              </w:rPr>
              <w:t>SecP384r1MLKEM1024</w:t>
            </w:r>
          </w:p>
        </w:tc>
        <w:tc>
          <w:tcPr>
            <w:tcW w:w="984" w:type="dxa"/>
            <w:vAlign w:val="center"/>
          </w:tcPr>
          <w:p w14:paraId="0A222B3F">
            <w:pPr>
              <w:spacing w:before="60" w:after="60" w:line="276" w:lineRule="auto"/>
            </w:pPr>
            <w:r>
              <w:rPr>
                <w:sz w:val="18"/>
              </w:rPr>
              <w:t>0x11ED</w:t>
            </w:r>
          </w:p>
        </w:tc>
        <w:tc>
          <w:tcPr>
            <w:tcW w:w="4657" w:type="dxa"/>
            <w:vAlign w:val="center"/>
          </w:tcPr>
          <w:p w14:paraId="5BE1BEB7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97 字节 P-384 公钥1568 字节 ML-KEM 密文</w:t>
            </w:r>
          </w:p>
        </w:tc>
        <w:tc>
          <w:tcPr>
            <w:tcW w:w="1620" w:type="dxa"/>
            <w:vAlign w:val="center"/>
          </w:tcPr>
          <w:p w14:paraId="7E5E6079">
            <w:pPr>
              <w:spacing w:before="60" w:after="60" w:line="276" w:lineRule="auto"/>
            </w:pPr>
            <w:r>
              <w:rPr>
                <w:sz w:val="18"/>
              </w:rPr>
              <w:t>1669 字节</w:t>
            </w:r>
          </w:p>
        </w:tc>
      </w:tr>
    </w:tbl>
    <w:p w14:paraId="176247EC">
      <w:pPr>
        <w:spacing w:before="60" w:after="140"/>
        <w:jc w:val="both"/>
        <w:rPr>
          <w:lang w:eastAsia="zh-CN"/>
        </w:rPr>
      </w:pPr>
      <w:r>
        <w:rPr>
          <w:sz w:val="18"/>
          <w:lang w:eastAsia="zh-CN"/>
        </w:rPr>
        <w:t xml:space="preserve">注：扩展体长度不含扩展类型及外层长度字段。组编号参照 </w:t>
      </w:r>
      <w:r>
        <w:fldChar w:fldCharType="begin"/>
      </w:r>
      <w:r>
        <w:instrText xml:space="preserve"> HYPERLINK "https://www.iana.org/assignments/tls-parameters/tls-parameters.xhtml" \l "tls-parameters-8" \h </w:instrText>
      </w:r>
      <w:r>
        <w:fldChar w:fldCharType="separate"/>
      </w:r>
      <w:r>
        <w:rPr>
          <w:color w:val="1F3B73"/>
          <w:u w:val="single"/>
          <w:lang w:eastAsia="zh-CN"/>
        </w:rPr>
        <w:t>IANA TLS Supported Groups 登记表</w:t>
      </w:r>
      <w:r>
        <w:rPr>
          <w:color w:val="1F3B73"/>
          <w:u w:val="single"/>
          <w:lang w:eastAsia="zh-CN"/>
        </w:rPr>
        <w:fldChar w:fldCharType="end"/>
      </w:r>
      <w:r>
        <w:rPr>
          <w:sz w:val="18"/>
          <w:lang w:eastAsia="zh-CN"/>
        </w:rPr>
        <w:t>；长度与拆分方式对应项目检测器的实际处理。</w:t>
      </w:r>
    </w:p>
    <w:p w14:paraId="18B0C956">
      <w:pPr>
        <w:jc w:val="both"/>
        <w:rPr>
          <w:lang w:eastAsia="zh-CN"/>
        </w:rPr>
      </w:pPr>
      <w:r>
        <w:rPr>
          <w:lang w:eastAsia="zh-CN"/>
        </w:rPr>
        <w:drawing>
          <wp:inline distT="0" distB="0" distL="114300" distR="114300">
            <wp:extent cx="5070475" cy="8394065"/>
            <wp:effectExtent l="0" t="0" r="6350" b="6985"/>
            <wp:docPr id="3" name="图片 3" descr="84c221c2-2dd2-40e8-a945-02659aa155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4c221c2-2dd2-40e8-a945-02659aa155c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839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8E53CC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3.2 用共享秘密核验密钥数据</w:t>
      </w:r>
    </w:p>
    <w:p w14:paraId="633172F4">
      <w:pPr>
        <w:ind w:firstLine="420"/>
        <w:jc w:val="both"/>
        <w:rPr>
          <w:lang w:eastAsia="zh-CN"/>
        </w:rPr>
      </w:pPr>
      <w:r>
        <w:rPr>
          <w:lang w:eastAsia="zh-CN"/>
        </w:rPr>
        <w:t>先按协商组拆分服务器 key_share。以 X25519MLKEM768 为例，将前 1088 字节密文交给本方 ML-KEM 私钥解封装，将后 32 字节公钥与本方 X25519 私钥做交换，分别得到两路 32 字节秘密；按规定顺序拼接为 64 字节共享秘密，供下一步派生密钥。P-256、P-384 混合组采用对应的拆分与拼接顺序。临时密钥负责建立握手加密，证书公钥随后用于验证身份。</w:t>
      </w:r>
    </w:p>
    <w:p w14:paraId="7B13DD2B">
      <w:pPr>
        <w:ind w:firstLine="420"/>
        <w:jc w:val="both"/>
        <w:rPr>
          <w:lang w:eastAsia="zh-CN"/>
        </w:rPr>
      </w:pPr>
      <w:r>
        <w:rPr>
          <w:lang w:eastAsia="zh-CN"/>
        </w:rPr>
        <w:t>再按 TLS 1.3 的 HKDF 调度，以共享秘密经 HKDF-Extract 得到握手秘密，再结合 ClientHello/ServerHello 的转录哈希派生服务器握手流量秘密，并导出握手密钥、IV 和 Finished 密钥。握手密钥与由 IV、记录序号生成的 nonce 用于逐条 AEAD 认证解密，取得证书和握手签名；Finished 密钥留待核对握手完整性。认证解密失败时停止深度验证。</w:t>
      </w:r>
    </w:p>
    <w:p w14:paraId="4418B55B">
      <w:pPr>
        <w:ind w:firstLine="420"/>
        <w:jc w:val="both"/>
        <w:rPr>
          <w:lang w:eastAsia="zh-CN"/>
        </w:rPr>
      </w:pPr>
      <w:r>
        <w:rPr>
          <w:lang w:eastAsia="zh-CN"/>
        </w:rPr>
        <w:t>ML-KEM 对部分异常密文采用隐式拒绝，接口可能返回另一份秘密而不直接报错。后续 AEAD 或 Finished 校验会暴露这种不一致，因此不能只依据解封装返回了数据就判定成功。</w:t>
      </w:r>
    </w:p>
    <w:p w14:paraId="02F22BEB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3.3 证书公钥提取与逐步验证</w:t>
      </w:r>
    </w:p>
    <w:p w14:paraId="1F8B9144">
      <w:pPr>
        <w:keepNext/>
        <w:keepLines/>
        <w:ind w:firstLine="420"/>
        <w:jc w:val="both"/>
        <w:rPr>
          <w:lang w:eastAsia="zh-CN"/>
        </w:rPr>
      </w:pPr>
      <w:r>
        <w:rPr>
          <w:lang w:eastAsia="zh-CN"/>
        </w:rPr>
        <w:t>取得证书后，先严格解析同一次握手的 Certificate 列表，从叶子证书的公钥字段（SPKI）提取 OID 与公钥字节，同时记录证书签名算法、参数长度和指纹。这样得到与本连接对应的公钥及算法参数，下一步可检查服务器是否掌握对应私钥。未取得同次握手证书时，才通过 Python ssl 或 openssl s_client 另行获取，并标明独立连接来源。</w:t>
      </w:r>
    </w:p>
    <w:p w14:paraId="4850AEB4">
      <w:pPr>
        <w:keepNext/>
        <w:keepLines/>
        <w:ind w:firstLine="420"/>
        <w:jc w:val="both"/>
        <w:rPr>
          <w:lang w:eastAsia="zh-CN"/>
        </w:rPr>
      </w:pPr>
      <w:r>
        <w:rPr>
          <w:lang w:eastAsia="zh-CN"/>
        </w:rPr>
        <w:t>随后按 CertificateVerify 的签名方案选择验签分支，ML-DSA 先核对公钥 OID 和公钥、签名长度；按 TLS 1.3 规则，将 64 个空格字节、服务器上下文、零分隔字节和截至 Certificate 的转录哈希组成待验签数据，再用叶子公钥调用相应 ML-DSA、ECDSA、RSA 或 EdDSA 验签。通过表示签名绑定本次握手，且签名者掌握对应私钥；未支持的方案记为“不支持验签”，签名不一致则记为失败。</w:t>
      </w:r>
    </w:p>
    <w:p w14:paraId="5A4B076E">
      <w:pPr>
        <w:keepNext/>
        <w:keepLines/>
        <w:ind w:firstLine="420"/>
        <w:jc w:val="both"/>
        <w:rPr>
          <w:lang w:eastAsia="zh-CN"/>
        </w:rPr>
      </w:pPr>
      <w:r>
        <w:rPr>
          <w:lang w:eastAsia="zh-CN"/>
        </w:rPr>
        <w:t xml:space="preserve">另外计算服务器 Finished 之前的握手转录哈希，用前面派生的 Finished 密钥计算 HMAC，与收到的 verify_data 比对，以核验密钥派生和握手消息的一致性。只有 Finished 与 CertificateVerify 均通过，才记录服务器侧握手验证成功。两项计算依据 </w:t>
      </w:r>
      <w:r>
        <w:fldChar w:fldCharType="begin"/>
      </w:r>
      <w:r>
        <w:instrText xml:space="preserve"> HYPERLINK "https://www.rfc-editor.org/rfc/rfc8446.html" \l "section-4.4.3" \h </w:instrText>
      </w:r>
      <w:r>
        <w:fldChar w:fldCharType="separate"/>
      </w:r>
      <w:r>
        <w:rPr>
          <w:color w:val="1F3B73"/>
          <w:u w:val="single"/>
          <w:lang w:eastAsia="zh-CN"/>
        </w:rPr>
        <w:t>RFC 8446，§4.4.3—§4.4.4</w:t>
      </w:r>
      <w:r>
        <w:rPr>
          <w:color w:val="1F3B73"/>
          <w:u w:val="single"/>
          <w:lang w:eastAsia="zh-CN"/>
        </w:rPr>
        <w:fldChar w:fldCharType="end"/>
      </w:r>
      <w:r>
        <w:rPr>
          <w:lang w:eastAsia="zh-CN"/>
        </w:rPr>
        <w:t>。</w:t>
      </w:r>
    </w:p>
    <w:p w14:paraId="0B68F136">
      <w:pPr>
        <w:keepNext w:val="0"/>
        <w:keepLines/>
        <w:ind w:firstLine="420"/>
        <w:jc w:val="both"/>
        <w:rPr>
          <w:lang w:eastAsia="zh-CN"/>
        </w:rPr>
      </w:pPr>
      <w:r>
        <w:rPr>
          <w:lang w:eastAsia="zh-CN"/>
        </w:rPr>
        <w:t>最后，证书是否可信在本地实验站中另行检查：OpenSSL 显式信任实验根 CA，用签发者公钥逐级验证证书待签名部分（TBSCertificate）的签名，并检查有效期、主机名、服务器用途、根自签名和严格 X.509 约束；任一失败即拒绝，通过后才能确认实验 CA 范围内的身份可信。通用检测器未完成这些信任检查，也不发送客户端 Finished，报告保留这一范围。</w:t>
      </w:r>
    </w:p>
    <w:p w14:paraId="53FA6DD2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3.4 如何形成分层结论</w:t>
      </w:r>
    </w:p>
    <w:p w14:paraId="4953FCE3">
      <w:pPr>
        <w:ind w:firstLine="420"/>
        <w:jc w:val="both"/>
        <w:rPr>
          <w:lang w:eastAsia="zh-CN"/>
        </w:rPr>
      </w:pPr>
      <w:r>
        <w:rPr>
          <w:lang w:eastAsia="zh-CN"/>
        </w:rPr>
        <w:t>密钥交换与身份认证分别判定。例如，一条连接选择 X25519MLKEM768，但证书或所提供证书链中仍有 ECDSA/RSA 算法，结论为“部分抗量子”，并说明是哪一层尚未迁移。若两层算法及长度均符合要求、证书来自同一次握手，且 CertificateVerify 与 Finished 验证通过，才给出“双层抗量子算法与服务器握手已验证”，同时注明 CA 信任未验证。</w:t>
      </w:r>
    </w:p>
    <w:p w14:paraId="36196403">
      <w:pPr>
        <w:ind w:firstLine="420"/>
        <w:jc w:val="both"/>
        <w:rPr>
          <w:lang w:eastAsia="zh-CN"/>
        </w:rPr>
      </w:pPr>
      <w:r>
        <w:rPr>
          <w:lang w:eastAsia="zh-CN"/>
        </w:rPr>
        <w:t>快速模式只取得 ServerHello 等证据，不能给出同等强度的验证结论。深度流程遇到当前未处理的 HelloRetryRequest 等情况而退回快速探测时，也会标明“服务器握手未验证”。长度不符、验签失败和证据不足分别保留原因。所有结论都限定于当前连接或本次探测，不外推为站点全部入口的部署情况。</w:t>
      </w:r>
    </w:p>
    <w:p w14:paraId="071E8EE0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四、后量子算法的独立验证与计算展示</w:t>
      </w:r>
    </w:p>
    <w:p w14:paraId="3A5BDB4D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4.1 ML-KEM 封装与解封装</w:t>
      </w:r>
    </w:p>
    <w:p w14:paraId="70F8EE17">
      <w:pPr>
        <w:ind w:firstLine="420"/>
        <w:jc w:val="both"/>
        <w:rPr>
          <w:lang w:eastAsia="zh-CN"/>
        </w:rPr>
      </w:pPr>
      <w:r>
        <w:rPr>
          <w:lang w:eastAsia="zh-CN"/>
        </w:rPr>
        <w:t>独立演示支持 ML-KEM-512、768 和 1024。每次运行生成接收方密钥对，发送方用公钥封装，接收方用私钥解封装，并比较双方秘密。修改密文后再执行一次解封装，可以观察秘密变化以及隐式拒绝的选择过程。演示界面同时给出参数、采样、NTT、矩阵运算、压缩编码和重加密比对，使结果能够追溯到实际计算。</w:t>
      </w:r>
    </w:p>
    <w:p w14:paraId="18D2CF62">
      <w:pPr>
        <w:ind w:firstLine="420"/>
        <w:jc w:val="both"/>
        <w:rPr>
          <w:lang w:eastAsia="zh-CN"/>
        </w:rPr>
      </w:pPr>
      <w:r>
        <w:rPr>
          <w:lang w:eastAsia="zh-CN"/>
        </w:rPr>
        <w:t>ML-KEM 的 Python 教学实现与 pqcrypto 原生库做双向交叉验证。项目测试还选取了固定版本的 NIST ACVP keyGen 和 encapDecap 样本，逐字节核对三个参数集的密钥、密文及秘密。标准向量检查与每轮演示的互操作检查各有作用：前者核对已知输入输出，后者检查本轮运算与另一实现是否一致。</w:t>
      </w:r>
    </w:p>
    <w:p w14:paraId="6A6AB326">
      <w:pPr>
        <w:pStyle w:val="4"/>
      </w:pPr>
      <w:r>
        <w:rPr>
          <w:rFonts w:ascii="Times New Roman" w:hAnsi="Times New Roman" w:eastAsia="黑体"/>
        </w:rPr>
        <w:t>4.2 ECDH 与 ML-KEM 混合加密</w:t>
      </w:r>
    </w:p>
    <w:p w14:paraId="1A679CC3">
      <w:pPr>
        <w:ind w:firstLine="420"/>
        <w:jc w:val="both"/>
        <w:rPr>
          <w:lang w:eastAsia="zh-CN"/>
        </w:rPr>
      </w:pPr>
      <w:r>
        <w:rPr>
          <w:lang w:eastAsia="zh-CN"/>
        </w:rPr>
        <w:t>混合加密演示先分别完成 ECDH 和 ML-KEM，再将两路秘密交给 HKDF-SHA256，派生 AES-256-GCM 密钥，用于加密和恢复用户消息。可选择 X25519、P-256、P-384 与三个 ML-KEM 参数集，共九种组合。页面展示秘密一致性、密文与恢复结果，并用篡改后的数据检查认证失败。</w:t>
      </w:r>
    </w:p>
    <w:p w14:paraId="13F5A428">
      <w:pPr>
        <w:ind w:firstLine="420"/>
        <w:jc w:val="both"/>
        <w:rPr>
          <w:lang w:eastAsia="zh-CN"/>
        </w:rPr>
      </w:pPr>
      <w:r>
        <w:rPr>
          <w:lang w:eastAsia="zh-CN"/>
        </w:rPr>
        <w:t>这一流程用于观察经典算法与后量子算法如何共同影响最终密钥。它采用项目自己的离线教学格式，不能直接作为 TLS 报文或标准文件加密格式用于互通。演示中的密钥均为本轮临时生成。</w:t>
      </w:r>
    </w:p>
    <w:p w14:paraId="51A758AA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4.3 后量子签名与混合签名</w:t>
      </w:r>
    </w:p>
    <w:p w14:paraId="1C014C33">
      <w:pPr>
        <w:ind w:firstLine="420"/>
        <w:jc w:val="both"/>
        <w:rPr>
          <w:lang w:eastAsia="zh-CN"/>
        </w:rPr>
      </w:pPr>
      <w:r>
        <w:rPr>
          <w:lang w:eastAsia="zh-CN"/>
        </w:rPr>
        <w:t>签名演示覆盖三组 ML-DSA、十二组界面标为 SLH-DSA 的哈希签名参数，以及 Falcon-512/1024。运行时生成密钥、签署消息，再分别验证原消息和修改后的消息。计算详情根据本轮实际签名展开 ML-DSA 的多项式与挑战检查、哈希签名的认证路径，或 Falcon 的环运算与范数检查，并要求数学重放结果与原生验签一致。</w:t>
      </w:r>
    </w:p>
    <w:p w14:paraId="78D4FD37">
      <w:pPr>
        <w:ind w:firstLine="420"/>
        <w:jc w:val="both"/>
        <w:rPr>
          <w:lang w:eastAsia="zh-CN"/>
        </w:rPr>
      </w:pPr>
      <w:r>
        <w:rPr>
          <w:lang w:eastAsia="zh-CN"/>
        </w:rPr>
        <w:t>混合签名可以选择 Ed25519、ECDSA-P256/P384 或 RSA-PSS-2048/3072 作为经典组成部分。两份签名共同绑定算法名称、公钥和消息，接受条件为两份验签结果均通过。修改消息、经典签名或后量子签名时，分别记录各组成部分的结果。这是项目自定义的双签名教学格式，验证范围不包含 IETF 复合签名编码互通。</w:t>
      </w:r>
    </w:p>
    <w:p w14:paraId="1E032C21">
      <w:pPr>
        <w:ind w:firstLine="420"/>
        <w:jc w:val="both"/>
        <w:rPr>
          <w:lang w:eastAsia="zh-CN"/>
        </w:rPr>
      </w:pPr>
      <w:r>
        <w:rPr>
          <w:lang w:eastAsia="zh-CN"/>
        </w:rPr>
        <w:t>哈希签名的实现口径也需要保留：界面虽然使用 SLH-DSA 参数名称，实际调用的是 pqcrypto 的 SPHINCS+ simple 后端，其外部消息处理与 FIPS 205 接口存在差异。本文将其作为该后端的计算与验签演示，不据此宣称已经完成 FIPS 205 外部接口互通验证。</w:t>
      </w:r>
    </w:p>
    <w:p w14:paraId="7AC0BF48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4.4 计算数据的来源与用途</w:t>
      </w:r>
    </w:p>
    <w:p w14:paraId="4F77306E">
      <w:pPr>
        <w:ind w:firstLine="420"/>
        <w:jc w:val="both"/>
        <w:rPr>
          <w:lang w:eastAsia="zh-CN"/>
        </w:rPr>
      </w:pPr>
      <w:r>
        <w:rPr>
          <w:lang w:eastAsia="zh-CN"/>
        </w:rPr>
        <w:t>详情页按教学需要展示本轮临时种子、私钥中间量和共享秘密，数据留在内存和界面中，不自动写入日志。展示还区分直接解码、确定性重算和代数重建：原生库没有返回的随机流或被拒绝的重试，不补造数值。教学实现用于观察算法过程，不承担生产环境中的恒定时间密码实现职责。</w:t>
      </w:r>
    </w:p>
    <w:p w14:paraId="2A89CECB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五、本地实验站中的实际通信与对照验证</w:t>
      </w:r>
    </w:p>
    <w:p w14:paraId="03CF0BA1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5.1 为什么需要可控实验环境</w:t>
      </w:r>
    </w:p>
    <w:p w14:paraId="38FDD6B6">
      <w:pPr>
        <w:ind w:firstLine="420"/>
        <w:jc w:val="both"/>
        <w:rPr>
          <w:lang w:eastAsia="zh-CN"/>
        </w:rPr>
      </w:pPr>
      <w:r>
        <w:rPr>
          <w:lang w:eastAsia="zh-CN"/>
        </w:rPr>
        <w:t>公网探测的结果受对端配置影响，仅靠它难以覆盖所有预期组合和异常情况。本地实验站由项目生成实验身份并启动真实服务，客户端据此核对预期算法、身份和响应内容。当前四种实验模式分别关注 TLS 通道和应用消息签名，验证对象如下。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4140"/>
        <w:gridCol w:w="3620"/>
      </w:tblGrid>
      <w:tr w14:paraId="153B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40" w:type="dxa"/>
            <w:shd w:val="clear" w:color="auto" w:fill="E9EEF5"/>
            <w:vAlign w:val="center"/>
          </w:tcPr>
          <w:p w14:paraId="7D22D8EF">
            <w:pPr>
              <w:spacing w:before="60" w:after="60" w:line="276" w:lineRule="auto"/>
            </w:pPr>
            <w:r>
              <w:rPr>
                <w:b/>
                <w:sz w:val="18"/>
              </w:rPr>
              <w:t>实验模式</w:t>
            </w:r>
          </w:p>
        </w:tc>
        <w:tc>
          <w:tcPr>
            <w:tcW w:w="4140" w:type="dxa"/>
            <w:shd w:val="clear" w:color="auto" w:fill="E9EEF5"/>
            <w:vAlign w:val="center"/>
          </w:tcPr>
          <w:p w14:paraId="3CE93A57">
            <w:pPr>
              <w:spacing w:before="60" w:after="60" w:line="276" w:lineRule="auto"/>
            </w:pPr>
            <w:r>
              <w:rPr>
                <w:b/>
                <w:sz w:val="18"/>
              </w:rPr>
              <w:t>主要验证内容</w:t>
            </w:r>
          </w:p>
        </w:tc>
        <w:tc>
          <w:tcPr>
            <w:tcW w:w="3620" w:type="dxa"/>
            <w:shd w:val="clear" w:color="auto" w:fill="E9EEF5"/>
            <w:vAlign w:val="center"/>
          </w:tcPr>
          <w:p w14:paraId="5A6FFCA3">
            <w:pPr>
              <w:spacing w:before="60" w:after="60" w:line="276" w:lineRule="auto"/>
            </w:pPr>
            <w:r>
              <w:rPr>
                <w:b/>
                <w:sz w:val="18"/>
              </w:rPr>
              <w:t>认证依据与范围</w:t>
            </w:r>
          </w:p>
        </w:tc>
      </w:tr>
      <w:tr w14:paraId="3B16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vAlign w:val="center"/>
          </w:tcPr>
          <w:p w14:paraId="346722E3">
            <w:pPr>
              <w:spacing w:before="60" w:after="60" w:line="276" w:lineRule="auto"/>
            </w:pPr>
            <w:r>
              <w:rPr>
                <w:sz w:val="18"/>
              </w:rPr>
              <w:t>HTTPS</w:t>
            </w:r>
          </w:p>
        </w:tc>
        <w:tc>
          <w:tcPr>
            <w:tcW w:w="4140" w:type="dxa"/>
            <w:vAlign w:val="center"/>
          </w:tcPr>
          <w:p w14:paraId="73B22A4A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TLS 握手与证书校验；完成 GET 并核对响应体</w:t>
            </w:r>
          </w:p>
        </w:tc>
        <w:tc>
          <w:tcPr>
            <w:tcW w:w="3620" w:type="dxa"/>
            <w:vAlign w:val="center"/>
          </w:tcPr>
          <w:p w14:paraId="150D5232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显式信任实验 CA；验证加密通道及页面内容</w:t>
            </w:r>
          </w:p>
        </w:tc>
      </w:tr>
      <w:tr w14:paraId="4CFB4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vAlign w:val="center"/>
          </w:tcPr>
          <w:p w14:paraId="7C338F13">
            <w:pPr>
              <w:spacing w:before="60" w:after="60" w:line="276" w:lineRule="auto"/>
            </w:pPr>
            <w:r>
              <w:rPr>
                <w:sz w:val="18"/>
              </w:rPr>
              <w:t>TLS 1.3 握手</w:t>
            </w:r>
          </w:p>
        </w:tc>
        <w:tc>
          <w:tcPr>
            <w:tcW w:w="4140" w:type="dxa"/>
            <w:vAlign w:val="center"/>
          </w:tcPr>
          <w:p w14:paraId="6104C044">
            <w:pPr>
              <w:spacing w:before="60" w:after="60" w:line="276" w:lineRule="auto"/>
            </w:pPr>
            <w:r>
              <w:rPr>
                <w:sz w:val="18"/>
              </w:rPr>
              <w:t>握手签名、Finished、证书链与完整 TLS 会话</w:t>
            </w:r>
          </w:p>
        </w:tc>
        <w:tc>
          <w:tcPr>
            <w:tcW w:w="3620" w:type="dxa"/>
            <w:vAlign w:val="center"/>
          </w:tcPr>
          <w:p w14:paraId="0E50CDFE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显式信任实验 CA；不以 HTTP 请求作为检查项</w:t>
            </w:r>
          </w:p>
        </w:tc>
      </w:tr>
      <w:tr w14:paraId="6ABF9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vAlign w:val="center"/>
          </w:tcPr>
          <w:p w14:paraId="5E2839FB">
            <w:pPr>
              <w:spacing w:before="60" w:after="60" w:line="276" w:lineRule="auto"/>
            </w:pPr>
            <w:r>
              <w:rPr>
                <w:sz w:val="18"/>
              </w:rPr>
              <w:t>TCP 签名消息</w:t>
            </w:r>
          </w:p>
        </w:tc>
        <w:tc>
          <w:tcPr>
            <w:tcW w:w="4140" w:type="dxa"/>
            <w:vAlign w:val="center"/>
          </w:tcPr>
          <w:p w14:paraId="484531A4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实际消息往返、固定公钥验签、混合签名与篡改对照</w:t>
            </w:r>
          </w:p>
        </w:tc>
        <w:tc>
          <w:tcPr>
            <w:tcW w:w="3620" w:type="dxa"/>
            <w:vAlign w:val="center"/>
          </w:tcPr>
          <w:p w14:paraId="218E4A27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本地固定公钥；消息明文传输</w:t>
            </w:r>
          </w:p>
        </w:tc>
      </w:tr>
      <w:tr w14:paraId="248B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vAlign w:val="center"/>
          </w:tcPr>
          <w:p w14:paraId="523946ED">
            <w:pPr>
              <w:spacing w:before="60" w:after="60" w:line="276" w:lineRule="auto"/>
            </w:pPr>
            <w:r>
              <w:rPr>
                <w:sz w:val="18"/>
              </w:rPr>
              <w:t>UDP 签名消息</w:t>
            </w:r>
          </w:p>
        </w:tc>
        <w:tc>
          <w:tcPr>
            <w:tcW w:w="4140" w:type="dxa"/>
            <w:vAlign w:val="center"/>
          </w:tcPr>
          <w:p w14:paraId="7A62C245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消息往返、分片重组后的验签与负向对照</w:t>
            </w:r>
          </w:p>
        </w:tc>
        <w:tc>
          <w:tcPr>
            <w:tcW w:w="3620" w:type="dxa"/>
            <w:vAlign w:val="center"/>
          </w:tcPr>
          <w:p w14:paraId="39C3B88B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本地固定公钥；消息明文传输</w:t>
            </w:r>
          </w:p>
        </w:tc>
      </w:tr>
    </w:tbl>
    <w:p w14:paraId="16CD2D01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5.2 TLS 与 HTTPS 的两条验证路径</w:t>
      </w:r>
    </w:p>
    <w:p w14:paraId="584440ED">
      <w:pPr>
        <w:ind w:firstLine="420"/>
        <w:jc w:val="both"/>
        <w:rPr>
          <w:lang w:eastAsia="zh-CN"/>
        </w:rPr>
      </w:pPr>
      <w:r>
        <w:rPr>
          <w:lang w:eastAsia="zh-CN"/>
        </w:rPr>
        <w:t>TLS 实验使用 OpenSSL 生成 ML-DSA 根证书和服务器证书，服务器身份可选择 ML-DSA-44、65 或 87，密钥交换可选择前述三种混合组。证书包含 localhost 和 127.0.0.1 标识，服务仅监听本机；实验根由验证客户端显式指定，不导入系统信任库。</w:t>
      </w:r>
    </w:p>
    <w:p w14:paraId="4D7B9B77">
      <w:pPr>
        <w:ind w:firstLine="420"/>
        <w:jc w:val="both"/>
        <w:rPr>
          <w:lang w:eastAsia="zh-CN"/>
        </w:rPr>
      </w:pPr>
      <w:r>
        <w:t>第一条路径调用本项目检测器，检查混合密钥交换、握手解密、CertificateVerify 和 Finished。第二条路径使用 OpenSSL 客户端，显式信任实验根，检查证书链、根自签名、有效期、主机名和服务器用途，并完成 TLS 会话。</w:t>
      </w:r>
      <w:r>
        <w:rPr>
          <w:lang w:eastAsia="zh-CN"/>
        </w:rPr>
        <w:t>HTTPS 模式还实际请求页面，逐字节比较响应体。两条路径取得的证书与本地证书通过 DER 和 SHA-256 指纹核对，确认对应同一实验身份。</w:t>
      </w:r>
    </w:p>
    <w:p w14:paraId="1A07F621">
      <w:pPr>
        <w:ind w:firstLine="420"/>
        <w:jc w:val="both"/>
        <w:rPr>
          <w:lang w:eastAsia="zh-CN"/>
        </w:rPr>
      </w:pPr>
      <w:r>
        <w:rPr>
          <w:lang w:eastAsia="zh-CN"/>
        </w:rPr>
        <w:t>实验站另有 HTTP 报告页用于展示证据。打开该页说明展示服务可访问；HTTPS/TLS 是否验证成功，应读取实际被测端点及对应检查项。实验 CA 下成立的身份认证，也只在显式指定该实验根的信任范围内成立。</w:t>
      </w:r>
    </w:p>
    <w:p w14:paraId="3E7A17EB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5.3 TCP/UDP 消息签名验证</w:t>
      </w:r>
    </w:p>
    <w:p w14:paraId="6CF47A98">
      <w:pPr>
        <w:ind w:firstLine="420"/>
        <w:jc w:val="both"/>
        <w:rPr>
          <w:lang w:eastAsia="zh-CN"/>
        </w:rPr>
      </w:pPr>
      <w:r>
        <w:rPr>
          <w:lang w:eastAsia="zh-CN"/>
        </w:rPr>
        <w:t>消息实验把签名用于真实 TCP 或 UDP 往返。签名数据绑定协议标识、随机挑战、消息和身份，客户端从本地固定公钥文件取得预期身份后验签，避免直接信任响应自行携带的新公钥。选择经典与后量子混合签名时，两份签名都必须通过。消息模式可使用前述十七种后量子签名参数，经典组成部分有五种选择。</w:t>
      </w:r>
    </w:p>
    <w:p w14:paraId="7A100C75">
      <w:pPr>
        <w:ind w:firstLine="420"/>
        <w:jc w:val="both"/>
        <w:rPr>
          <w:lang w:eastAsia="zh-CN"/>
        </w:rPr>
      </w:pPr>
      <w:r>
        <w:rPr>
          <w:lang w:eastAsia="zh-CN"/>
        </w:rPr>
        <w:t>TCP 使用带长度的消息帧。UDP 对较大的签名响应做应用层分片，携带挑战、分片序号和总数，完整重组后才验签。这些实验检验的是消息完整性和固定公钥范围内的来源认证，传输内容仍为明文，不提供 TLS 加密或 CA 信任验证。</w:t>
      </w:r>
    </w:p>
    <w:p w14:paraId="54BACC6E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5.4 用负向样本检查验证是否生效</w:t>
      </w:r>
    </w:p>
    <w:p w14:paraId="1D416F68">
      <w:pPr>
        <w:ind w:firstLine="420"/>
        <w:jc w:val="both"/>
        <w:rPr>
          <w:lang w:eastAsia="zh-CN"/>
        </w:rPr>
      </w:pPr>
      <w:r>
        <w:rPr>
          <w:lang w:eastAsia="zh-CN"/>
        </w:rPr>
        <w:t>正常通信成功之外，还需要确认错误输入确实会被拒绝。实验站及其测试已经覆盖以下对照。其中，篡改证书签名时保持算法 OID 与长度不变，可以直接检查程序是否真正执行了签名验证。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260"/>
        <w:gridCol w:w="3040"/>
      </w:tblGrid>
      <w:tr w14:paraId="5B93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shd w:val="clear" w:color="auto" w:fill="E9EEF5"/>
            <w:vAlign w:val="center"/>
          </w:tcPr>
          <w:p w14:paraId="725B9B48">
            <w:pPr>
              <w:spacing w:before="60" w:after="60" w:line="276" w:lineRule="auto"/>
            </w:pPr>
            <w:r>
              <w:rPr>
                <w:b/>
                <w:sz w:val="18"/>
              </w:rPr>
              <w:t>对照场景</w:t>
            </w:r>
          </w:p>
        </w:tc>
        <w:tc>
          <w:tcPr>
            <w:tcW w:w="4260" w:type="dxa"/>
            <w:shd w:val="clear" w:color="auto" w:fill="E9EEF5"/>
            <w:vAlign w:val="center"/>
          </w:tcPr>
          <w:p w14:paraId="3F610354">
            <w:pPr>
              <w:spacing w:before="60" w:after="60" w:line="276" w:lineRule="auto"/>
            </w:pPr>
            <w:r>
              <w:rPr>
                <w:b/>
                <w:sz w:val="18"/>
              </w:rPr>
              <w:t>处理方式与预期结果</w:t>
            </w:r>
          </w:p>
        </w:tc>
        <w:tc>
          <w:tcPr>
            <w:tcW w:w="3040" w:type="dxa"/>
            <w:shd w:val="clear" w:color="auto" w:fill="E9EEF5"/>
            <w:vAlign w:val="center"/>
          </w:tcPr>
          <w:p w14:paraId="07C99632">
            <w:pPr>
              <w:spacing w:before="60" w:after="60" w:line="276" w:lineRule="auto"/>
            </w:pPr>
            <w:r>
              <w:rPr>
                <w:b/>
                <w:sz w:val="18"/>
              </w:rPr>
              <w:t>检验目的</w:t>
            </w:r>
          </w:p>
        </w:tc>
      </w:tr>
      <w:tr w14:paraId="2C46D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center"/>
          </w:tcPr>
          <w:p w14:paraId="4A58E8AD">
            <w:pPr>
              <w:spacing w:before="60" w:after="60" w:line="276" w:lineRule="auto"/>
            </w:pPr>
            <w:r>
              <w:rPr>
                <w:sz w:val="18"/>
              </w:rPr>
              <w:t>仅提供经典交换组</w:t>
            </w:r>
          </w:p>
        </w:tc>
        <w:tc>
          <w:tcPr>
            <w:tcW w:w="4260" w:type="dxa"/>
            <w:vAlign w:val="center"/>
          </w:tcPr>
          <w:p w14:paraId="4FE30086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向限定混合组的 TLS 服务发起连接，握手被拒绝</w:t>
            </w:r>
          </w:p>
        </w:tc>
        <w:tc>
          <w:tcPr>
            <w:tcW w:w="3040" w:type="dxa"/>
            <w:vAlign w:val="center"/>
          </w:tcPr>
          <w:p w14:paraId="5298000D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检查实验配置没有回退到经典交换</w:t>
            </w:r>
          </w:p>
        </w:tc>
      </w:tr>
      <w:tr w14:paraId="780C9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center"/>
          </w:tcPr>
          <w:p w14:paraId="34CECEB7">
            <w:pPr>
              <w:spacing w:before="60" w:after="60" w:line="276" w:lineRule="auto"/>
            </w:pPr>
            <w:r>
              <w:rPr>
                <w:sz w:val="18"/>
              </w:rPr>
              <w:t>错误主机名</w:t>
            </w:r>
          </w:p>
        </w:tc>
        <w:tc>
          <w:tcPr>
            <w:tcW w:w="4260" w:type="dxa"/>
            <w:vAlign w:val="center"/>
          </w:tcPr>
          <w:p w14:paraId="7CDD1BA4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 wrong.invalid 验证实验服务器证书，校验失败</w:t>
            </w:r>
          </w:p>
        </w:tc>
        <w:tc>
          <w:tcPr>
            <w:tcW w:w="3040" w:type="dxa"/>
            <w:vAlign w:val="center"/>
          </w:tcPr>
          <w:p w14:paraId="497A68A0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检查证书身份与目标名称的绑定</w:t>
            </w:r>
          </w:p>
        </w:tc>
      </w:tr>
      <w:tr w14:paraId="45ED8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center"/>
          </w:tcPr>
          <w:p w14:paraId="1688E740">
            <w:pPr>
              <w:spacing w:before="60" w:after="60" w:line="276" w:lineRule="auto"/>
            </w:pPr>
            <w:r>
              <w:rPr>
                <w:sz w:val="18"/>
              </w:rPr>
              <w:t>证书签名被修改</w:t>
            </w:r>
          </w:p>
        </w:tc>
        <w:tc>
          <w:tcPr>
            <w:tcW w:w="4260" w:type="dxa"/>
            <w:vAlign w:val="center"/>
          </w:tcPr>
          <w:p w14:paraId="1D1C4337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翻转证书签名字节，保持 OID 与长度不变，链验证失败</w:t>
            </w:r>
          </w:p>
        </w:tc>
        <w:tc>
          <w:tcPr>
            <w:tcW w:w="3040" w:type="dxa"/>
            <w:vAlign w:val="center"/>
          </w:tcPr>
          <w:p w14:paraId="604B5AF6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检查证书签名数据是否实际参与验证</w:t>
            </w:r>
          </w:p>
        </w:tc>
      </w:tr>
      <w:tr w14:paraId="1B748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center"/>
          </w:tcPr>
          <w:p w14:paraId="43A9FCBB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消息、签名或公钥错误</w:t>
            </w:r>
          </w:p>
        </w:tc>
        <w:tc>
          <w:tcPr>
            <w:tcW w:w="4260" w:type="dxa"/>
            <w:vAlign w:val="center"/>
          </w:tcPr>
          <w:p w14:paraId="6B516FF7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修改签名消息或签名，或改用另一公钥，验签失败</w:t>
            </w:r>
          </w:p>
        </w:tc>
        <w:tc>
          <w:tcPr>
            <w:tcW w:w="3040" w:type="dxa"/>
            <w:vAlign w:val="center"/>
          </w:tcPr>
          <w:p w14:paraId="2E41555C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检查消息内容、签名和身份之间的关系</w:t>
            </w:r>
          </w:p>
        </w:tc>
      </w:tr>
      <w:tr w14:paraId="0E01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center"/>
          </w:tcPr>
          <w:p w14:paraId="5FE05190">
            <w:pPr>
              <w:spacing w:before="60" w:after="60" w:line="276" w:lineRule="auto"/>
            </w:pPr>
            <w:r>
              <w:rPr>
                <w:sz w:val="18"/>
              </w:rPr>
              <w:t>重放或跨协议响应</w:t>
            </w:r>
          </w:p>
        </w:tc>
        <w:tc>
          <w:tcPr>
            <w:tcW w:w="4260" w:type="dxa"/>
            <w:vAlign w:val="center"/>
          </w:tcPr>
          <w:p w14:paraId="3BA5E5CB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对新挑战使用旧响应，或在另一协议下验证，结果被拒绝</w:t>
            </w:r>
          </w:p>
        </w:tc>
        <w:tc>
          <w:tcPr>
            <w:tcW w:w="3040" w:type="dxa"/>
            <w:vAlign w:val="center"/>
          </w:tcPr>
          <w:p w14:paraId="666D6679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检查挑战与协议标识是否绑定</w:t>
            </w:r>
          </w:p>
        </w:tc>
      </w:tr>
      <w:tr w14:paraId="75DAB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vAlign w:val="center"/>
          </w:tcPr>
          <w:p w14:paraId="5D1A7827">
            <w:pPr>
              <w:spacing w:before="60" w:after="60" w:line="276" w:lineRule="auto"/>
            </w:pPr>
            <w:r>
              <w:rPr>
                <w:sz w:val="18"/>
              </w:rPr>
              <w:t>混合签名的单路篡改</w:t>
            </w:r>
          </w:p>
        </w:tc>
        <w:tc>
          <w:tcPr>
            <w:tcW w:w="4260" w:type="dxa"/>
            <w:vAlign w:val="center"/>
          </w:tcPr>
          <w:p w14:paraId="5B8060EF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分别破坏经典或后量子签名，整体验签均不通过</w:t>
            </w:r>
          </w:p>
        </w:tc>
        <w:tc>
          <w:tcPr>
            <w:tcW w:w="3040" w:type="dxa"/>
            <w:vAlign w:val="center"/>
          </w:tcPr>
          <w:p w14:paraId="671398D3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检查两路验签均为必要条件</w:t>
            </w:r>
          </w:p>
        </w:tc>
      </w:tr>
    </w:tbl>
    <w:p w14:paraId="625E1BAF">
      <w:pPr>
        <w:ind w:firstLine="420"/>
        <w:jc w:val="both"/>
        <w:rPr>
          <w:lang w:eastAsia="zh-CN"/>
        </w:rPr>
      </w:pPr>
      <w:r>
        <w:rPr>
          <w:lang w:eastAsia="zh-CN"/>
        </w:rPr>
        <w:t>核心检测器还通过构造握手报文的自动化测试，检查签名方案不匹配、CertificateVerify 被篡改及参数长度错误等情况。这类测试与真实网络实验分别保留依据，报告中的通过和拒绝结果应对应具体样本。</w:t>
      </w:r>
    </w:p>
    <w:p w14:paraId="4F58F764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5.5 已有实测记录</w:t>
      </w:r>
    </w:p>
    <w:p w14:paraId="2317A9F8">
      <w:pPr>
        <w:ind w:firstLine="420"/>
        <w:jc w:val="both"/>
        <w:rPr>
          <w:lang w:eastAsia="zh-CN"/>
        </w:rPr>
      </w:pPr>
      <w:r>
        <w:rPr>
          <w:lang w:eastAsia="zh-CN"/>
        </w:rPr>
        <w:t>项目保存的 2026年10月7日验证记录显示，在 Conda code、Python 3.10、OpenSSL 3.6.5 环境下，完整回归为 351 项通过，无失败或跳过。真实集成用例覆盖九种 TLS 交换组与 ML-DSA 身份组合，以及十七种签名分别在 TCP、UDP 上的三十四种组合，另有五种经典混合签名的检查。上述结果对应记录中的环境与运行时间，原始输出保存在 docs/pqc-multilayer-pytest-2026-10-07.txt。</w:t>
      </w:r>
    </w:p>
    <w:p w14:paraId="5DE0657C">
      <w:pPr>
        <w:ind w:firstLine="420"/>
        <w:jc w:val="both"/>
        <w:rPr>
          <w:lang w:eastAsia="zh-CN"/>
        </w:rPr>
      </w:pPr>
      <w:r>
        <w:rPr>
          <w:lang w:eastAsia="zh-CN"/>
        </w:rPr>
        <w:t>同日展示记录中，HTTPS 使用 X25519MLKEM768 与 ML-DSA-65 完成握手、身份检查和页面请求；UDP 的 SLH-DSA-SHA2-256f 场景传输了 49,856 字节签名，响应分成 58 个片段后完成验签。这些实例分别给出了完整通道和大签名消息传输的可复核样本。后续运行应以新生成的证据为准，不能沿用服务停止前的成功状态。</w:t>
      </w:r>
    </w:p>
    <w:p w14:paraId="04A23073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六、检测结果如何记录与复核</w:t>
      </w:r>
    </w:p>
    <w:p w14:paraId="5D295C8E">
      <w:pPr>
        <w:ind w:firstLine="420"/>
        <w:jc w:val="both"/>
        <w:rPr>
          <w:lang w:eastAsia="zh-CN"/>
        </w:rPr>
      </w:pPr>
      <w:r>
        <w:rPr>
          <w:lang w:eastAsia="zh-CN"/>
        </w:rPr>
        <w:t>阅读结果时，先确认目标地址、端口、时间和证据来源，再看实际协商的组、算法参数和验证状态。抓包记录、主连接深度验证、支持矩阵探测和另行获取的证书，可能来自不同连接；报告需要保留这些区别，才能解释它们是否相互印证。</w:t>
      </w:r>
    </w:p>
    <w:p w14:paraId="16D096F2">
      <w:pPr>
        <w:ind w:firstLine="420"/>
        <w:jc w:val="both"/>
        <w:rPr>
          <w:lang w:eastAsia="zh-CN"/>
        </w:rPr>
      </w:pPr>
      <w:r>
        <w:t>主动 TLS 结果包含组编号、密码套件、key_share 实际及预期长度、CertificateVerify 和 Finished 状态，以及证书算法、参数长度、指纹、来源和服务器提供的证书列表。</w:t>
      </w:r>
      <w:r>
        <w:rPr>
          <w:lang w:eastAsia="zh-CN"/>
        </w:rPr>
        <w:t>实验站还保留具体检查项、原始输出及失败原因，分别说明实验 CA 或固定公钥的信任范围。验证失败、不支持验签和未能取得证据应按各自原因阅读。</w:t>
      </w:r>
    </w:p>
    <w:p w14:paraId="5B3B6FD8">
      <w:pPr>
        <w:ind w:firstLine="420"/>
        <w:jc w:val="both"/>
        <w:rPr>
          <w:lang w:eastAsia="zh-CN"/>
        </w:rPr>
      </w:pPr>
      <w:r>
        <w:rPr>
          <w:lang w:eastAsia="zh-CN"/>
        </w:rPr>
        <w:t>界面摘要用于定位问题，JSON 便于逐项比对。TLS 详细文本保留原始记录、解密后可取得的握手内容和字段说明；本地实验站提供对应报告与证据文件。复核时可以从结论回到字段或报文，再核对其验证步骤和样本来源。</w:t>
      </w:r>
    </w:p>
    <w:p w14:paraId="123E9893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七、当前范围与后续完善方向</w:t>
      </w:r>
    </w:p>
    <w:p w14:paraId="066FF07C">
      <w:pPr>
        <w:ind w:firstLine="420"/>
        <w:jc w:val="both"/>
        <w:rPr>
          <w:lang w:eastAsia="zh-CN"/>
        </w:rPr>
      </w:pPr>
      <w:r>
        <w:rPr>
          <w:lang w:eastAsia="zh-CN"/>
        </w:rPr>
        <w:t>当前较完整的验证集中在 TLS 1.3 主动检测、独立算法计算，以及本机 TLS/HTTPS 和签名消息实验。被动抓包页尚未支持导入会话密钥日志；IPsec、SSH 等协议已有解析基础，其后量子专项检测还需要结合具体协商格式和实际样本继续补充。</w:t>
      </w:r>
    </w:p>
    <w:p w14:paraId="0F69778D">
      <w:pPr>
        <w:ind w:firstLine="420"/>
        <w:jc w:val="both"/>
        <w:rPr>
          <w:lang w:eastAsia="zh-CN"/>
        </w:rPr>
      </w:pPr>
      <w:r>
        <w:rPr>
          <w:lang w:eastAsia="zh-CN"/>
        </w:rPr>
        <w:t xml:space="preserve">算法标识表需要随标准登记持续核对。目前代码仍把 0x11EE 映射为 X25519MLKEM1024，但 </w:t>
      </w:r>
      <w:r>
        <w:fldChar w:fldCharType="begin"/>
      </w:r>
      <w:r>
        <w:instrText xml:space="preserve"> HYPERLINK "https://www.iana.org/assignments/tls-parameters/tls-parameters.xhtml" \l "tls-parameters-8" \h </w:instrText>
      </w:r>
      <w:r>
        <w:fldChar w:fldCharType="separate"/>
      </w:r>
      <w:r>
        <w:rPr>
          <w:color w:val="1F3B73"/>
          <w:u w:val="single"/>
          <w:lang w:eastAsia="zh-CN"/>
        </w:rPr>
        <w:t>IANA 当前登记</w:t>
      </w:r>
      <w:r>
        <w:rPr>
          <w:color w:val="1F3B73"/>
          <w:u w:val="single"/>
          <w:lang w:eastAsia="zh-CN"/>
        </w:rPr>
        <w:fldChar w:fldCharType="end"/>
      </w:r>
      <w:r>
        <w:rPr>
          <w:lang w:eastAsia="zh-CN"/>
        </w:rPr>
        <w:t>中该编号对应 curveSM2MLKEM768。这一映射是后续应修正并补测的具体项；本文没有将它列入已验证混合组。旧版 Kyber 标识的观察记录同样应保留版本含义，不能与 ML-KEM 互换解释。</w:t>
      </w:r>
    </w:p>
    <w:p w14:paraId="5C1C2008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附录：实现位置与编写依据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7080"/>
      </w:tblGrid>
      <w:tr w14:paraId="3282A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20" w:type="dxa"/>
            <w:shd w:val="clear" w:color="auto" w:fill="E9EEF5"/>
            <w:vAlign w:val="center"/>
          </w:tcPr>
          <w:p w14:paraId="3E05BB82">
            <w:pPr>
              <w:spacing w:before="60" w:after="60" w:line="276" w:lineRule="auto"/>
            </w:pPr>
            <w:r>
              <w:rPr>
                <w:b/>
                <w:sz w:val="18"/>
              </w:rPr>
              <w:t>工作内容</w:t>
            </w:r>
          </w:p>
        </w:tc>
        <w:tc>
          <w:tcPr>
            <w:tcW w:w="7080" w:type="dxa"/>
            <w:shd w:val="clear" w:color="auto" w:fill="E9EEF5"/>
            <w:vAlign w:val="center"/>
          </w:tcPr>
          <w:p w14:paraId="7CF73394">
            <w:pPr>
              <w:spacing w:before="60" w:after="60" w:line="276" w:lineRule="auto"/>
            </w:pPr>
            <w:r>
              <w:rPr>
                <w:b/>
                <w:sz w:val="18"/>
              </w:rPr>
              <w:t>主要实现或验证文件</w:t>
            </w:r>
          </w:p>
        </w:tc>
      </w:tr>
      <w:tr w14:paraId="6F897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0" w:type="dxa"/>
            <w:vAlign w:val="center"/>
          </w:tcPr>
          <w:p w14:paraId="5A658B6D">
            <w:pPr>
              <w:spacing w:before="60" w:after="60" w:line="276" w:lineRule="auto"/>
            </w:pPr>
            <w:r>
              <w:rPr>
                <w:sz w:val="18"/>
              </w:rPr>
              <w:t>桌面入口与结果展示</w:t>
            </w:r>
          </w:p>
        </w:tc>
        <w:tc>
          <w:tcPr>
            <w:tcW w:w="7080" w:type="dxa"/>
            <w:vAlign w:val="center"/>
          </w:tcPr>
          <w:p w14:paraId="04A2AB12">
            <w:pPr>
              <w:spacing w:before="60" w:after="60" w:line="276" w:lineRule="auto"/>
            </w:pPr>
            <w:r>
              <w:rPr>
                <w:sz w:val="18"/>
              </w:rPr>
              <w:t>main.py；modules/pqc_lab_ui.py</w:t>
            </w:r>
          </w:p>
        </w:tc>
      </w:tr>
      <w:tr w14:paraId="390DE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0" w:type="dxa"/>
            <w:vAlign w:val="center"/>
          </w:tcPr>
          <w:p w14:paraId="078795BC">
            <w:pPr>
              <w:spacing w:before="60" w:after="6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主动 TLS 检测与验签</w:t>
            </w:r>
          </w:p>
        </w:tc>
        <w:tc>
          <w:tcPr>
            <w:tcW w:w="7080" w:type="dxa"/>
            <w:vAlign w:val="center"/>
          </w:tcPr>
          <w:p w14:paraId="77880AA9">
            <w:pPr>
              <w:spacing w:before="60" w:after="60" w:line="276" w:lineRule="auto"/>
            </w:pPr>
            <w:r>
              <w:rPr>
                <w:sz w:val="18"/>
              </w:rPr>
              <w:t>modules/pqc_detect.py</w:t>
            </w:r>
          </w:p>
        </w:tc>
      </w:tr>
      <w:tr w14:paraId="41E8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0" w:type="dxa"/>
            <w:vAlign w:val="center"/>
          </w:tcPr>
          <w:p w14:paraId="6637F00D">
            <w:pPr>
              <w:spacing w:before="60" w:after="60" w:line="276" w:lineRule="auto"/>
            </w:pPr>
            <w:r>
              <w:rPr>
                <w:sz w:val="18"/>
              </w:rPr>
              <w:t>抓包及跨协议解析</w:t>
            </w:r>
          </w:p>
        </w:tc>
        <w:tc>
          <w:tcPr>
            <w:tcW w:w="7080" w:type="dxa"/>
            <w:vAlign w:val="center"/>
          </w:tcPr>
          <w:p w14:paraId="0B0109FA">
            <w:pPr>
              <w:spacing w:before="60" w:after="60" w:line="276" w:lineRule="auto"/>
            </w:pPr>
            <w:r>
              <w:rPr>
                <w:sz w:val="18"/>
              </w:rPr>
              <w:t>modules/pqc_passive.py；modules/pcap_analysis.py；modules/tls_parser.py；modules/ipsec_parser.py</w:t>
            </w:r>
          </w:p>
        </w:tc>
      </w:tr>
      <w:tr w14:paraId="7E370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0" w:type="dxa"/>
            <w:vAlign w:val="center"/>
          </w:tcPr>
          <w:p w14:paraId="0EBD345E">
            <w:pPr>
              <w:spacing w:before="60" w:after="60" w:line="276" w:lineRule="auto"/>
            </w:pPr>
            <w:r>
              <w:rPr>
                <w:sz w:val="18"/>
              </w:rPr>
              <w:t>算法演示与计算详情</w:t>
            </w:r>
          </w:p>
        </w:tc>
        <w:tc>
          <w:tcPr>
            <w:tcW w:w="7080" w:type="dxa"/>
            <w:vAlign w:val="center"/>
          </w:tcPr>
          <w:p w14:paraId="0B8EBEB6">
            <w:pPr>
              <w:spacing w:before="60" w:after="60" w:line="276" w:lineRule="auto"/>
            </w:pPr>
            <w:r>
              <w:rPr>
                <w:sz w:val="18"/>
              </w:rPr>
              <w:t>modules/pqc_demo.py；modules/mlkem_trace.py；modules/ml_dsa_trace.py；modules/slh_dsa_trace.py；modules/falcon_trace.py</w:t>
            </w:r>
          </w:p>
        </w:tc>
      </w:tr>
      <w:tr w14:paraId="62EE1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0" w:type="dxa"/>
            <w:vAlign w:val="center"/>
          </w:tcPr>
          <w:p w14:paraId="20204E93">
            <w:pPr>
              <w:spacing w:before="60" w:after="60" w:line="276" w:lineRule="auto"/>
            </w:pPr>
            <w:r>
              <w:rPr>
                <w:sz w:val="18"/>
              </w:rPr>
              <w:t>本地 TLS/HTTPS 实验</w:t>
            </w:r>
          </w:p>
        </w:tc>
        <w:tc>
          <w:tcPr>
            <w:tcW w:w="7080" w:type="dxa"/>
            <w:vAlign w:val="center"/>
          </w:tcPr>
          <w:p w14:paraId="12730E09">
            <w:pPr>
              <w:spacing w:before="60" w:after="60" w:line="276" w:lineRule="auto"/>
            </w:pPr>
            <w:r>
              <w:rPr>
                <w:sz w:val="18"/>
              </w:rPr>
              <w:t>pqc_lab/lab.py；pqc_lab/profiles.py；pqc_lab/tls_frontend.py</w:t>
            </w:r>
          </w:p>
        </w:tc>
      </w:tr>
      <w:tr w14:paraId="24CF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0" w:type="dxa"/>
            <w:vAlign w:val="center"/>
          </w:tcPr>
          <w:p w14:paraId="640E32B0">
            <w:pPr>
              <w:spacing w:before="60" w:after="60" w:line="276" w:lineRule="auto"/>
            </w:pPr>
            <w:r>
              <w:rPr>
                <w:sz w:val="18"/>
              </w:rPr>
              <w:t>TCP/UDP 签名消息</w:t>
            </w:r>
          </w:p>
        </w:tc>
        <w:tc>
          <w:tcPr>
            <w:tcW w:w="7080" w:type="dxa"/>
            <w:vAlign w:val="center"/>
          </w:tcPr>
          <w:p w14:paraId="0FBB704B">
            <w:pPr>
              <w:spacing w:before="60" w:after="60" w:line="276" w:lineRule="auto"/>
            </w:pPr>
            <w:r>
              <w:rPr>
                <w:sz w:val="18"/>
              </w:rPr>
              <w:t>pqc_lab/signed_messages.py</w:t>
            </w:r>
          </w:p>
        </w:tc>
      </w:tr>
      <w:tr w14:paraId="34C2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0" w:type="dxa"/>
            <w:vAlign w:val="center"/>
          </w:tcPr>
          <w:p w14:paraId="4D07E2DC">
            <w:pPr>
              <w:spacing w:before="60" w:after="60" w:line="276" w:lineRule="auto"/>
            </w:pPr>
            <w:r>
              <w:rPr>
                <w:sz w:val="18"/>
              </w:rPr>
              <w:t>关键回归用例</w:t>
            </w:r>
          </w:p>
        </w:tc>
        <w:tc>
          <w:tcPr>
            <w:tcW w:w="7080" w:type="dxa"/>
            <w:vAlign w:val="center"/>
          </w:tcPr>
          <w:p w14:paraId="4296F859">
            <w:pPr>
              <w:spacing w:before="60" w:after="60" w:line="276" w:lineRule="auto"/>
            </w:pPr>
            <w:r>
              <w:rPr>
                <w:sz w:val="18"/>
              </w:rPr>
              <w:t>tests/test_pqc_authenticity.py；tests/test_pqc_lab.py；tests/test_pqc_lab_multilayer.py；tests/test_mlkem_trace.py</w:t>
            </w:r>
          </w:p>
        </w:tc>
      </w:tr>
    </w:tbl>
    <w:p w14:paraId="1E151D9D">
      <w:pPr>
        <w:spacing w:before="60" w:after="140"/>
        <w:jc w:val="both"/>
      </w:pPr>
      <w:r>
        <w:rPr>
          <w:sz w:val="18"/>
        </w:rPr>
        <w:t>本稿结合项目 README、项目说明文档、pqc_lab/README.md、上述实现与测试，以及 docs/2026-10-07-pqc-multilayer-validation.md 和相应存档证据修订。已完成的验证范围以这些记录为依据，后续运行结果以新报告为准。</w:t>
      </w:r>
    </w:p>
    <w:sectPr>
      <w:footerReference r:id="rId5" w:type="default"/>
      <w:pgSz w:w="12240" w:h="15840"/>
      <w:pgMar w:top="1361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8FAB5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BD7"/>
    <w:rsid w:val="0006063C"/>
    <w:rsid w:val="0015074B"/>
    <w:rsid w:val="0029639D"/>
    <w:rsid w:val="00326F90"/>
    <w:rsid w:val="007870B8"/>
    <w:rsid w:val="00831604"/>
    <w:rsid w:val="008E5127"/>
    <w:rsid w:val="00AA1D8D"/>
    <w:rsid w:val="00B47730"/>
    <w:rsid w:val="00CB0664"/>
    <w:rsid w:val="00FC693F"/>
    <w:rsid w:val="12754004"/>
    <w:rsid w:val="5C8A4706"/>
    <w:rsid w:val="680B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/>
      <w:outlineLvl w:val="0"/>
    </w:pPr>
    <w:rPr>
      <w:rFonts w:asciiTheme="majorHAnsi" w:hAnsiTheme="majorHAnsi" w:eastAsiaTheme="majorEastAsia" w:cstheme="majorBidi"/>
      <w:b/>
      <w:bCs/>
      <w:color w:val="1F3B73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1F3B73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1F3B7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6197</Words>
  <Characters>8222</Characters>
  <Lines>170</Lines>
  <Paragraphs>155</Paragraphs>
  <TotalTime>415</TotalTime>
  <ScaleCrop>false</ScaleCrop>
  <LinksUpToDate>false</LinksUpToDate>
  <CharactersWithSpaces>8643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2026年10月8日修订：改善行文，核对能力范围、证书来源和算法标识。</dc:description>
  <cp:lastModifiedBy>fine</cp:lastModifiedBy>
  <dcterms:modified xsi:type="dcterms:W3CDTF">2026-10-09T07:58:39Z</dcterms:modified>
  <dc:subject>根据项目实现及存档证据修订的检测内容说明</dc:subject>
  <dc:title>面向后量子密码的协议检测与算法验证—检测与验证内容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eyJoZGlkIjoiOTc3M2Y5NzIzMDFlZjAyY2Q4Njk5ODkyYjFjNzBiNTQiLCJ1c2VySWQiOiI0NTgwOTY5MjQifQ==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C3768F9A4C23425C954F04A8B24BFB5B_12</vt:lpwstr>
  </property>
</Properties>
</file>