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E41607">
      <w:pPr>
        <w:spacing w:after="1701"/>
        <w:ind w:firstLine="0"/>
        <w:jc w:val="right"/>
      </w:pPr>
      <w:r>
        <w:rPr>
          <w:rFonts w:ascii="Times New Roman" w:hAnsi="Times New Roman" w:eastAsia="宋体"/>
          <w:color w:val="000000"/>
        </w:rPr>
        <w:t xml:space="preserve">作品类别  </w:t>
      </w:r>
    </w:p>
    <w:p w14:paraId="7416AF63">
      <w:pPr>
        <w:spacing w:before="0" w:after="397" w:line="324" w:lineRule="auto"/>
        <w:ind w:firstLine="0"/>
        <w:jc w:val="center"/>
      </w:pPr>
      <w:r>
        <w:rPr>
          <w:rFonts w:ascii="Times New Roman" w:hAnsi="Times New Roman" w:eastAsia="宋体"/>
          <w:b/>
          <w:color w:val="000000"/>
          <w:sz w:val="40"/>
        </w:rPr>
        <w:t>2026年全国密码技术竞赛</w:t>
      </w:r>
    </w:p>
    <w:p w14:paraId="25762D01">
      <w:pPr>
        <w:pStyle w:val="31"/>
        <w:spacing w:before="0" w:after="1134" w:line="324" w:lineRule="auto"/>
        <w:ind w:firstLine="0"/>
        <w:jc w:val="center"/>
      </w:pPr>
      <w:r>
        <w:rPr>
          <w:rFonts w:ascii="Times New Roman" w:hAnsi="Times New Roman" w:eastAsia="宋体"/>
          <w:b/>
          <w:color w:val="000000"/>
          <w:sz w:val="56"/>
        </w:rPr>
        <w:t>作品设计报告</w:t>
      </w:r>
    </w:p>
    <w:p w14:paraId="21013378">
      <w:pPr>
        <w:pStyle w:val="31"/>
        <w:spacing w:before="0" w:after="283" w:line="324" w:lineRule="auto"/>
        <w:ind w:firstLine="0"/>
        <w:jc w:val="center"/>
      </w:pPr>
      <w:r>
        <w:rPr>
          <w:rFonts w:ascii="Times New Roman" w:hAnsi="Times New Roman" w:eastAsia="宋体"/>
          <w:b/>
          <w:color w:val="000000"/>
          <w:sz w:val="48"/>
        </w:rPr>
        <w:t>面向后量子密码的协议检测</w:t>
      </w:r>
      <w:r>
        <w:rPr>
          <w:rFonts w:ascii="Times New Roman" w:hAnsi="Times New Roman" w:eastAsia="宋体"/>
          <w:b/>
          <w:color w:val="000000"/>
          <w:sz w:val="48"/>
        </w:rPr>
        <w:br w:type="textWrapping"/>
      </w:r>
      <w:r>
        <w:rPr>
          <w:rFonts w:ascii="Times New Roman" w:hAnsi="Times New Roman" w:eastAsia="宋体"/>
          <w:b/>
          <w:color w:val="000000"/>
          <w:sz w:val="48"/>
        </w:rPr>
        <w:t>与算法验证平台</w:t>
      </w:r>
    </w:p>
    <w:p w14:paraId="1B0C4D41">
      <w:pPr>
        <w:pStyle w:val="26"/>
        <w:spacing w:before="0" w:after="1134" w:line="324" w:lineRule="auto"/>
        <w:ind w:firstLine="0"/>
        <w:jc w:val="center"/>
      </w:pPr>
      <w:r>
        <w:rPr>
          <w:rFonts w:ascii="Times New Roman" w:hAnsi="Times New Roman" w:eastAsia="宋体"/>
          <w:b/>
          <w:color w:val="000000"/>
          <w:sz w:val="32"/>
        </w:rPr>
        <w:t>面向密码迁移的协议分析与验证</w:t>
      </w:r>
    </w:p>
    <w:p w14:paraId="5EFD48CF">
      <w:pPr>
        <w:spacing w:before="0" w:after="0" w:line="324" w:lineRule="auto"/>
        <w:ind w:firstLine="0"/>
        <w:jc w:val="center"/>
      </w:pPr>
      <w:r>
        <w:rPr>
          <w:rFonts w:ascii="Times New Roman" w:hAnsi="Times New Roman" w:eastAsia="宋体"/>
          <w:b w:val="0"/>
          <w:color w:val="000000"/>
          <w:sz w:val="26"/>
        </w:rPr>
        <w:t>2026年10月</w:t>
      </w:r>
    </w:p>
    <w:p w14:paraId="3F4B284B">
      <w:pPr>
        <w:sectPr>
          <w:pgSz w:w="11906" w:h="16838"/>
          <w:pgMar w:top="1247" w:right="1417" w:bottom="1191" w:left="1417" w:header="454" w:footer="510" w:gutter="0"/>
          <w:cols w:space="720" w:num="1"/>
          <w:docGrid w:linePitch="360" w:charSpace="0"/>
        </w:sectPr>
      </w:pPr>
    </w:p>
    <w:p w14:paraId="5175A000">
      <w:pPr>
        <w:pStyle w:val="3"/>
        <w:pageBreakBefore w:val="0"/>
        <w:ind w:firstLine="0"/>
        <w:jc w:val="center"/>
      </w:pPr>
      <w:r>
        <w:rPr>
          <w:rFonts w:ascii="Times New Roman" w:hAnsi="Times New Roman" w:eastAsia="宋体"/>
          <w:color w:val="000000"/>
        </w:rPr>
        <w:t>摘要</w:t>
      </w:r>
    </w:p>
    <w:p w14:paraId="13A20625">
      <w:pPr>
        <w:jc w:val="both"/>
      </w:pPr>
      <w:r>
        <w:rPr>
          <w:rFonts w:ascii="Times New Roman" w:hAnsi="Times New Roman" w:eastAsia="宋体"/>
          <w:color w:val="000000"/>
        </w:rPr>
        <w:t>针对后量子迁移中密钥交换与身份认证升级不同步、仅凭算法标识难以确认实际使用的问题，本作品设计并实现面向后量子密码的协议检测与算法验证平台。平台采用Python与PySide6构建桌面界面，集成被动报文分析、主动TLS1.3深度检测、独立算法计算和本地网络实验。主动检测生成真实ML-KEM与ECDHE临时密钥，恢复混合共享秘密并派生握手密钥，对服务端加密飞行进行AEAD认证解密，再校验Finished和CertificateVerify；检测结论区分密钥交换、证书算法、握手验证与身份信任，并保留同次握手及独立连接的证据来源。算法演示支持ML-KEM、混合加密、后量子签名与混合签名的计算和篡改对照；本地实验站提供TLS、HTTPS与TCP/UDP签名消息的真实通信验证。2026年10月7日存档记录中，完整回归351项通过，真实集成覆盖九种TLS交换组与ML-DSA身份组合以及三十四种TCP/UDP签名组合。作品为迁移配置排查和密码教学提供了可追溯的证据与验证流程；通用检测器的结论限于本次服务器侧握手，CA信任、证书链签名、域名和有效期由实验站的独立路径检查。</w:t>
      </w:r>
    </w:p>
    <w:p w14:paraId="65BC47AF">
      <w:pPr>
        <w:spacing w:before="240"/>
        <w:ind w:firstLine="0"/>
        <w:jc w:val="both"/>
      </w:pPr>
      <w:r>
        <w:rPr>
          <w:rFonts w:ascii="Times New Roman" w:hAnsi="Times New Roman" w:eastAsia="宋体"/>
          <w:b/>
          <w:color w:val="000000"/>
          <w:sz w:val="24"/>
        </w:rPr>
        <w:t xml:space="preserve">关键词  </w:t>
      </w:r>
      <w:r>
        <w:rPr>
          <w:rFonts w:ascii="Times New Roman" w:hAnsi="Times New Roman" w:eastAsia="宋体"/>
          <w:b w:val="0"/>
          <w:color w:val="000000"/>
          <w:sz w:val="24"/>
        </w:rPr>
        <w:t>后量子密码；TLS1.3；混合密钥交换；协议检测；握手验证</w:t>
      </w:r>
    </w:p>
    <w:p w14:paraId="277AEAD8">
      <w:r>
        <w:br w:type="page"/>
      </w:r>
    </w:p>
    <w:p w14:paraId="46EFEAF0">
      <w:pPr>
        <w:pStyle w:val="3"/>
        <w:pageBreakBefore w:val="0"/>
        <w:ind w:firstLine="0"/>
        <w:jc w:val="center"/>
      </w:pPr>
      <w:r>
        <w:rPr>
          <w:rFonts w:ascii="Times New Roman" w:hAnsi="Times New Roman" w:eastAsia="宋体"/>
          <w:color w:val="000000"/>
        </w:rPr>
        <w:t>目录</w:t>
      </w:r>
    </w:p>
    <w:p w14:paraId="2C400939">
      <w:pPr>
        <w:pStyle w:val="164"/>
        <w:tabs>
          <w:tab w:val="right" w:leader="dot" w:pos="9014"/>
        </w:tabs>
        <w:spacing w:after="40" w:line="320" w:lineRule="exact"/>
        <w:ind w:left="0"/>
      </w:pPr>
      <w:r>
        <w:fldChar w:fldCharType="begin"/>
      </w:r>
      <w:r>
        <w:instrText xml:space="preserve"> HYPERLINK \l "heading_10" </w:instrText>
      </w:r>
      <w:r>
        <w:fldChar w:fldCharType="separate"/>
      </w:r>
      <w:r>
        <w:rPr>
          <w:rFonts w:ascii="Times New Roman" w:hAnsi="Times New Roman" w:eastAsia="宋体"/>
          <w:b/>
          <w:color w:val="000000"/>
          <w:sz w:val="22"/>
        </w:rPr>
        <w:t>1 作品背景及意义</w:t>
      </w:r>
      <w:r>
        <w:rPr>
          <w:rFonts w:ascii="Times New Roman" w:hAnsi="Times New Roman" w:eastAsia="宋体"/>
          <w:b/>
          <w:color w:val="000000"/>
          <w:sz w:val="22"/>
        </w:rPr>
        <w:fldChar w:fldCharType="end"/>
      </w:r>
      <w:r>
        <w:rPr>
          <w:rFonts w:ascii="Times New Roman" w:hAnsi="Times New Roman" w:eastAsia="宋体"/>
          <w:color w:val="000000"/>
          <w:sz w:val="22"/>
        </w:rPr>
        <w:tab/>
      </w:r>
      <w:r>
        <w:fldChar w:fldCharType="begin"/>
      </w:r>
      <w:r>
        <w:instrText xml:space="preserve">PAGEREF heading_10 \h</w:instrText>
      </w:r>
      <w:r>
        <w:fldChar w:fldCharType="separate"/>
      </w:r>
      <w:r>
        <w:rPr>
          <w:rFonts w:ascii="Times New Roman" w:hAnsi="Times New Roman" w:eastAsia="宋体"/>
          <w:color w:val="000000"/>
          <w:sz w:val="22"/>
        </w:rPr>
        <w:t>1</w:t>
      </w:r>
      <w:r>
        <w:rPr>
          <w:rFonts w:ascii="Times New Roman" w:hAnsi="Times New Roman" w:eastAsia="宋体"/>
          <w:color w:val="000000"/>
          <w:sz w:val="22"/>
        </w:rPr>
        <w:fldChar w:fldCharType="end"/>
      </w:r>
    </w:p>
    <w:p w14:paraId="1CA36CBD">
      <w:pPr>
        <w:pStyle w:val="164"/>
        <w:tabs>
          <w:tab w:val="right" w:leader="dot" w:pos="9014"/>
        </w:tabs>
        <w:spacing w:after="40" w:line="320" w:lineRule="exact"/>
        <w:ind w:left="369"/>
      </w:pPr>
      <w:r>
        <w:fldChar w:fldCharType="begin"/>
      </w:r>
      <w:r>
        <w:instrText xml:space="preserve"> HYPERLINK \l "heading_11" </w:instrText>
      </w:r>
      <w:r>
        <w:fldChar w:fldCharType="separate"/>
      </w:r>
      <w:r>
        <w:rPr>
          <w:rFonts w:ascii="Times New Roman" w:hAnsi="Times New Roman" w:eastAsia="宋体"/>
          <w:b w:val="0"/>
          <w:color w:val="000000"/>
          <w:sz w:val="22"/>
        </w:rPr>
        <w:t>1.1 后量子迁移中的检测需求</w:t>
      </w:r>
      <w:r>
        <w:rPr>
          <w:rFonts w:ascii="Times New Roman" w:hAnsi="Times New Roman" w:eastAsia="宋体"/>
          <w:b w:val="0"/>
          <w:color w:val="000000"/>
          <w:sz w:val="22"/>
        </w:rPr>
        <w:fldChar w:fldCharType="end"/>
      </w:r>
      <w:r>
        <w:rPr>
          <w:rFonts w:ascii="Times New Roman" w:hAnsi="Times New Roman" w:eastAsia="宋体"/>
          <w:color w:val="000000"/>
          <w:sz w:val="22"/>
        </w:rPr>
        <w:tab/>
      </w:r>
      <w:r>
        <w:fldChar w:fldCharType="begin"/>
      </w:r>
      <w:r>
        <w:instrText xml:space="preserve">PAGEREF heading_11 \h</w:instrText>
      </w:r>
      <w:r>
        <w:fldChar w:fldCharType="separate"/>
      </w:r>
      <w:r>
        <w:rPr>
          <w:rFonts w:ascii="Times New Roman" w:hAnsi="Times New Roman" w:eastAsia="宋体"/>
          <w:color w:val="000000"/>
          <w:sz w:val="22"/>
        </w:rPr>
        <w:t>1</w:t>
      </w:r>
      <w:r>
        <w:rPr>
          <w:rFonts w:ascii="Times New Roman" w:hAnsi="Times New Roman" w:eastAsia="宋体"/>
          <w:color w:val="000000"/>
          <w:sz w:val="22"/>
        </w:rPr>
        <w:fldChar w:fldCharType="end"/>
      </w:r>
    </w:p>
    <w:p w14:paraId="7075AD41">
      <w:pPr>
        <w:pStyle w:val="164"/>
        <w:tabs>
          <w:tab w:val="right" w:leader="dot" w:pos="9014"/>
        </w:tabs>
        <w:spacing w:after="40" w:line="320" w:lineRule="exact"/>
        <w:ind w:left="369"/>
      </w:pPr>
      <w:r>
        <w:fldChar w:fldCharType="begin"/>
      </w:r>
      <w:r>
        <w:instrText xml:space="preserve"> HYPERLINK \l "heading_12" </w:instrText>
      </w:r>
      <w:r>
        <w:fldChar w:fldCharType="separate"/>
      </w:r>
      <w:r>
        <w:rPr>
          <w:rFonts w:ascii="Times New Roman" w:hAnsi="Times New Roman" w:eastAsia="宋体"/>
          <w:b w:val="0"/>
          <w:color w:val="000000"/>
          <w:sz w:val="22"/>
        </w:rPr>
        <w:t>1.2 标准与相关技术现状</w:t>
      </w:r>
      <w:r>
        <w:rPr>
          <w:rFonts w:ascii="Times New Roman" w:hAnsi="Times New Roman" w:eastAsia="宋体"/>
          <w:b w:val="0"/>
          <w:color w:val="000000"/>
          <w:sz w:val="22"/>
        </w:rPr>
        <w:fldChar w:fldCharType="end"/>
      </w:r>
      <w:r>
        <w:rPr>
          <w:rFonts w:ascii="Times New Roman" w:hAnsi="Times New Roman" w:eastAsia="宋体"/>
          <w:color w:val="000000"/>
          <w:sz w:val="22"/>
        </w:rPr>
        <w:tab/>
      </w:r>
      <w:r>
        <w:fldChar w:fldCharType="begin"/>
      </w:r>
      <w:r>
        <w:instrText xml:space="preserve">PAGEREF heading_12 \h</w:instrText>
      </w:r>
      <w:r>
        <w:fldChar w:fldCharType="separate"/>
      </w:r>
      <w:r>
        <w:rPr>
          <w:rFonts w:ascii="Times New Roman" w:hAnsi="Times New Roman" w:eastAsia="宋体"/>
          <w:color w:val="000000"/>
          <w:sz w:val="22"/>
        </w:rPr>
        <w:t>1</w:t>
      </w:r>
      <w:r>
        <w:rPr>
          <w:rFonts w:ascii="Times New Roman" w:hAnsi="Times New Roman" w:eastAsia="宋体"/>
          <w:color w:val="000000"/>
          <w:sz w:val="22"/>
        </w:rPr>
        <w:fldChar w:fldCharType="end"/>
      </w:r>
    </w:p>
    <w:p w14:paraId="4AD0BBD6">
      <w:pPr>
        <w:pStyle w:val="164"/>
        <w:tabs>
          <w:tab w:val="right" w:leader="dot" w:pos="9014"/>
        </w:tabs>
        <w:spacing w:after="40" w:line="320" w:lineRule="exact"/>
        <w:ind w:left="369"/>
      </w:pPr>
      <w:r>
        <w:fldChar w:fldCharType="begin"/>
      </w:r>
      <w:r>
        <w:instrText xml:space="preserve"> HYPERLINK \l "heading_13" </w:instrText>
      </w:r>
      <w:r>
        <w:fldChar w:fldCharType="separate"/>
      </w:r>
      <w:r>
        <w:rPr>
          <w:rFonts w:ascii="Times New Roman" w:hAnsi="Times New Roman" w:eastAsia="宋体"/>
          <w:b w:val="0"/>
          <w:color w:val="000000"/>
          <w:sz w:val="22"/>
        </w:rPr>
        <w:t>1.3 研究目标与作品特色</w:t>
      </w:r>
      <w:r>
        <w:rPr>
          <w:rFonts w:ascii="Times New Roman" w:hAnsi="Times New Roman" w:eastAsia="宋体"/>
          <w:b w:val="0"/>
          <w:color w:val="000000"/>
          <w:sz w:val="22"/>
        </w:rPr>
        <w:fldChar w:fldCharType="end"/>
      </w:r>
      <w:r>
        <w:rPr>
          <w:rFonts w:ascii="Times New Roman" w:hAnsi="Times New Roman" w:eastAsia="宋体"/>
          <w:color w:val="000000"/>
          <w:sz w:val="22"/>
        </w:rPr>
        <w:tab/>
      </w:r>
      <w:r>
        <w:fldChar w:fldCharType="begin"/>
      </w:r>
      <w:r>
        <w:instrText xml:space="preserve">PAGEREF heading_13 \h</w:instrText>
      </w:r>
      <w:r>
        <w:fldChar w:fldCharType="separate"/>
      </w:r>
      <w:r>
        <w:rPr>
          <w:rFonts w:ascii="Times New Roman" w:hAnsi="Times New Roman" w:eastAsia="宋体"/>
          <w:color w:val="000000"/>
          <w:sz w:val="22"/>
        </w:rPr>
        <w:t>1</w:t>
      </w:r>
      <w:r>
        <w:rPr>
          <w:rFonts w:ascii="Times New Roman" w:hAnsi="Times New Roman" w:eastAsia="宋体"/>
          <w:color w:val="000000"/>
          <w:sz w:val="22"/>
        </w:rPr>
        <w:fldChar w:fldCharType="end"/>
      </w:r>
    </w:p>
    <w:p w14:paraId="6B2E060B">
      <w:pPr>
        <w:pStyle w:val="164"/>
        <w:tabs>
          <w:tab w:val="right" w:leader="dot" w:pos="9014"/>
        </w:tabs>
        <w:spacing w:after="40" w:line="320" w:lineRule="exact"/>
        <w:ind w:left="0"/>
      </w:pPr>
      <w:r>
        <w:fldChar w:fldCharType="begin"/>
      </w:r>
      <w:r>
        <w:instrText xml:space="preserve"> HYPERLINK \l "heading_14" </w:instrText>
      </w:r>
      <w:r>
        <w:fldChar w:fldCharType="separate"/>
      </w:r>
      <w:r>
        <w:rPr>
          <w:rFonts w:ascii="Times New Roman" w:hAnsi="Times New Roman" w:eastAsia="宋体"/>
          <w:b/>
          <w:color w:val="000000"/>
          <w:sz w:val="22"/>
        </w:rPr>
        <w:t>2 作品功能与总体设计</w:t>
      </w:r>
      <w:r>
        <w:rPr>
          <w:rFonts w:ascii="Times New Roman" w:hAnsi="Times New Roman" w:eastAsia="宋体"/>
          <w:b/>
          <w:color w:val="000000"/>
          <w:sz w:val="22"/>
        </w:rPr>
        <w:fldChar w:fldCharType="end"/>
      </w:r>
      <w:r>
        <w:rPr>
          <w:rFonts w:ascii="Times New Roman" w:hAnsi="Times New Roman" w:eastAsia="宋体"/>
          <w:color w:val="000000"/>
          <w:sz w:val="22"/>
        </w:rPr>
        <w:tab/>
      </w:r>
      <w:r>
        <w:fldChar w:fldCharType="begin"/>
      </w:r>
      <w:r>
        <w:instrText xml:space="preserve">PAGEREF heading_14 \h</w:instrText>
      </w:r>
      <w:r>
        <w:fldChar w:fldCharType="separate"/>
      </w:r>
      <w:r>
        <w:rPr>
          <w:rFonts w:ascii="Times New Roman" w:hAnsi="Times New Roman" w:eastAsia="宋体"/>
          <w:color w:val="000000"/>
          <w:sz w:val="22"/>
        </w:rPr>
        <w:t>3</w:t>
      </w:r>
      <w:r>
        <w:rPr>
          <w:rFonts w:ascii="Times New Roman" w:hAnsi="Times New Roman" w:eastAsia="宋体"/>
          <w:color w:val="000000"/>
          <w:sz w:val="22"/>
        </w:rPr>
        <w:fldChar w:fldCharType="end"/>
      </w:r>
    </w:p>
    <w:p w14:paraId="7F53BB38">
      <w:pPr>
        <w:pStyle w:val="164"/>
        <w:tabs>
          <w:tab w:val="right" w:leader="dot" w:pos="9014"/>
        </w:tabs>
        <w:spacing w:after="40" w:line="320" w:lineRule="exact"/>
        <w:ind w:left="369"/>
      </w:pPr>
      <w:r>
        <w:fldChar w:fldCharType="begin"/>
      </w:r>
      <w:r>
        <w:instrText xml:space="preserve"> HYPERLINK \l "heading_15" </w:instrText>
      </w:r>
      <w:r>
        <w:fldChar w:fldCharType="separate"/>
      </w:r>
      <w:r>
        <w:rPr>
          <w:rFonts w:ascii="Times New Roman" w:hAnsi="Times New Roman" w:eastAsia="宋体"/>
          <w:b w:val="0"/>
          <w:color w:val="000000"/>
          <w:sz w:val="22"/>
        </w:rPr>
        <w:t>2.1 功能组成与实现范围</w:t>
      </w:r>
      <w:r>
        <w:rPr>
          <w:rFonts w:ascii="Times New Roman" w:hAnsi="Times New Roman" w:eastAsia="宋体"/>
          <w:b w:val="0"/>
          <w:color w:val="000000"/>
          <w:sz w:val="22"/>
        </w:rPr>
        <w:fldChar w:fldCharType="end"/>
      </w:r>
      <w:r>
        <w:rPr>
          <w:rFonts w:ascii="Times New Roman" w:hAnsi="Times New Roman" w:eastAsia="宋体"/>
          <w:color w:val="000000"/>
          <w:sz w:val="22"/>
        </w:rPr>
        <w:tab/>
      </w:r>
      <w:r>
        <w:fldChar w:fldCharType="begin"/>
      </w:r>
      <w:r>
        <w:instrText xml:space="preserve">PAGEREF heading_15 \h</w:instrText>
      </w:r>
      <w:r>
        <w:fldChar w:fldCharType="separate"/>
      </w:r>
      <w:r>
        <w:rPr>
          <w:rFonts w:ascii="Times New Roman" w:hAnsi="Times New Roman" w:eastAsia="宋体"/>
          <w:color w:val="000000"/>
          <w:sz w:val="22"/>
        </w:rPr>
        <w:t>3</w:t>
      </w:r>
      <w:r>
        <w:rPr>
          <w:rFonts w:ascii="Times New Roman" w:hAnsi="Times New Roman" w:eastAsia="宋体"/>
          <w:color w:val="000000"/>
          <w:sz w:val="22"/>
        </w:rPr>
        <w:fldChar w:fldCharType="end"/>
      </w:r>
    </w:p>
    <w:p w14:paraId="0B2C2F38">
      <w:pPr>
        <w:pStyle w:val="164"/>
        <w:tabs>
          <w:tab w:val="right" w:leader="dot" w:pos="9014"/>
        </w:tabs>
        <w:spacing w:after="40" w:line="320" w:lineRule="exact"/>
        <w:ind w:left="369"/>
      </w:pPr>
      <w:r>
        <w:fldChar w:fldCharType="begin"/>
      </w:r>
      <w:r>
        <w:instrText xml:space="preserve"> HYPERLINK \l "heading_16" </w:instrText>
      </w:r>
      <w:r>
        <w:fldChar w:fldCharType="separate"/>
      </w:r>
      <w:r>
        <w:rPr>
          <w:rFonts w:ascii="Times New Roman" w:hAnsi="Times New Roman" w:eastAsia="宋体"/>
          <w:b w:val="0"/>
          <w:color w:val="000000"/>
          <w:sz w:val="22"/>
        </w:rPr>
        <w:t>2.2 分层架构与检测流程</w:t>
      </w:r>
      <w:r>
        <w:rPr>
          <w:rFonts w:ascii="Times New Roman" w:hAnsi="Times New Roman" w:eastAsia="宋体"/>
          <w:b w:val="0"/>
          <w:color w:val="000000"/>
          <w:sz w:val="22"/>
        </w:rPr>
        <w:fldChar w:fldCharType="end"/>
      </w:r>
      <w:r>
        <w:rPr>
          <w:rFonts w:ascii="Times New Roman" w:hAnsi="Times New Roman" w:eastAsia="宋体"/>
          <w:color w:val="000000"/>
          <w:sz w:val="22"/>
        </w:rPr>
        <w:tab/>
      </w:r>
      <w:r>
        <w:fldChar w:fldCharType="begin"/>
      </w:r>
      <w:r>
        <w:instrText xml:space="preserve">PAGEREF heading_16 \h</w:instrText>
      </w:r>
      <w:r>
        <w:fldChar w:fldCharType="separate"/>
      </w:r>
      <w:r>
        <w:rPr>
          <w:rFonts w:ascii="Times New Roman" w:hAnsi="Times New Roman" w:eastAsia="宋体"/>
          <w:color w:val="000000"/>
          <w:sz w:val="22"/>
        </w:rPr>
        <w:t>3</w:t>
      </w:r>
      <w:r>
        <w:rPr>
          <w:rFonts w:ascii="Times New Roman" w:hAnsi="Times New Roman" w:eastAsia="宋体"/>
          <w:color w:val="000000"/>
          <w:sz w:val="22"/>
        </w:rPr>
        <w:fldChar w:fldCharType="end"/>
      </w:r>
    </w:p>
    <w:p w14:paraId="4A3A8DBD">
      <w:pPr>
        <w:pStyle w:val="164"/>
        <w:tabs>
          <w:tab w:val="right" w:leader="dot" w:pos="9014"/>
        </w:tabs>
        <w:spacing w:after="40" w:line="320" w:lineRule="exact"/>
        <w:ind w:left="369"/>
      </w:pPr>
      <w:r>
        <w:fldChar w:fldCharType="begin"/>
      </w:r>
      <w:r>
        <w:instrText xml:space="preserve"> HYPERLINK \l "heading_17" </w:instrText>
      </w:r>
      <w:r>
        <w:fldChar w:fldCharType="separate"/>
      </w:r>
      <w:r>
        <w:rPr>
          <w:rFonts w:ascii="Times New Roman" w:hAnsi="Times New Roman" w:eastAsia="宋体"/>
          <w:b w:val="0"/>
          <w:color w:val="000000"/>
          <w:sz w:val="22"/>
        </w:rPr>
        <w:t>2.3 模块契约与验证状态</w:t>
      </w:r>
      <w:r>
        <w:rPr>
          <w:rFonts w:ascii="Times New Roman" w:hAnsi="Times New Roman" w:eastAsia="宋体"/>
          <w:b w:val="0"/>
          <w:color w:val="000000"/>
          <w:sz w:val="22"/>
        </w:rPr>
        <w:fldChar w:fldCharType="end"/>
      </w:r>
      <w:r>
        <w:rPr>
          <w:rFonts w:ascii="Times New Roman" w:hAnsi="Times New Roman" w:eastAsia="宋体"/>
          <w:color w:val="000000"/>
          <w:sz w:val="22"/>
        </w:rPr>
        <w:tab/>
      </w:r>
      <w:r>
        <w:fldChar w:fldCharType="begin"/>
      </w:r>
      <w:r>
        <w:instrText xml:space="preserve">PAGEREF heading_17 \h</w:instrText>
      </w:r>
      <w:r>
        <w:fldChar w:fldCharType="separate"/>
      </w:r>
      <w:r>
        <w:rPr>
          <w:rFonts w:ascii="Times New Roman" w:hAnsi="Times New Roman" w:eastAsia="宋体"/>
          <w:color w:val="000000"/>
          <w:sz w:val="22"/>
        </w:rPr>
        <w:t>4</w:t>
      </w:r>
      <w:r>
        <w:rPr>
          <w:rFonts w:ascii="Times New Roman" w:hAnsi="Times New Roman" w:eastAsia="宋体"/>
          <w:color w:val="000000"/>
          <w:sz w:val="22"/>
        </w:rPr>
        <w:fldChar w:fldCharType="end"/>
      </w:r>
    </w:p>
    <w:p w14:paraId="169DEE64">
      <w:pPr>
        <w:pStyle w:val="164"/>
        <w:tabs>
          <w:tab w:val="right" w:leader="dot" w:pos="9014"/>
        </w:tabs>
        <w:spacing w:after="40" w:line="320" w:lineRule="exact"/>
        <w:ind w:left="0"/>
      </w:pPr>
      <w:r>
        <w:fldChar w:fldCharType="begin"/>
      </w:r>
      <w:r>
        <w:instrText xml:space="preserve"> HYPERLINK \l "heading_18" </w:instrText>
      </w:r>
      <w:r>
        <w:fldChar w:fldCharType="separate"/>
      </w:r>
      <w:r>
        <w:rPr>
          <w:rFonts w:ascii="Times New Roman" w:hAnsi="Times New Roman" w:eastAsia="宋体"/>
          <w:b/>
          <w:color w:val="000000"/>
          <w:sz w:val="22"/>
        </w:rPr>
        <w:t>3 算法库与关键技术</w:t>
      </w:r>
      <w:r>
        <w:rPr>
          <w:rFonts w:ascii="Times New Roman" w:hAnsi="Times New Roman" w:eastAsia="宋体"/>
          <w:b/>
          <w:color w:val="000000"/>
          <w:sz w:val="22"/>
        </w:rPr>
        <w:fldChar w:fldCharType="end"/>
      </w:r>
      <w:r>
        <w:rPr>
          <w:rFonts w:ascii="Times New Roman" w:hAnsi="Times New Roman" w:eastAsia="宋体"/>
          <w:color w:val="000000"/>
          <w:sz w:val="22"/>
        </w:rPr>
        <w:tab/>
      </w:r>
      <w:r>
        <w:fldChar w:fldCharType="begin"/>
      </w:r>
      <w:r>
        <w:instrText xml:space="preserve">PAGEREF heading_18 \h</w:instrText>
      </w:r>
      <w:r>
        <w:fldChar w:fldCharType="separate"/>
      </w:r>
      <w:r>
        <w:rPr>
          <w:rFonts w:ascii="Times New Roman" w:hAnsi="Times New Roman" w:eastAsia="宋体"/>
          <w:color w:val="000000"/>
          <w:sz w:val="22"/>
        </w:rPr>
        <w:t>6</w:t>
      </w:r>
      <w:r>
        <w:rPr>
          <w:rFonts w:ascii="Times New Roman" w:hAnsi="Times New Roman" w:eastAsia="宋体"/>
          <w:color w:val="000000"/>
          <w:sz w:val="22"/>
        </w:rPr>
        <w:fldChar w:fldCharType="end"/>
      </w:r>
    </w:p>
    <w:p w14:paraId="2A574619">
      <w:pPr>
        <w:pStyle w:val="164"/>
        <w:tabs>
          <w:tab w:val="right" w:leader="dot" w:pos="9014"/>
        </w:tabs>
        <w:spacing w:after="40" w:line="320" w:lineRule="exact"/>
        <w:ind w:left="369"/>
      </w:pPr>
      <w:r>
        <w:fldChar w:fldCharType="begin"/>
      </w:r>
      <w:r>
        <w:instrText xml:space="preserve"> HYPERLINK \l "heading_19" </w:instrText>
      </w:r>
      <w:r>
        <w:fldChar w:fldCharType="separate"/>
      </w:r>
      <w:r>
        <w:rPr>
          <w:rFonts w:ascii="Times New Roman" w:hAnsi="Times New Roman" w:eastAsia="宋体"/>
          <w:b w:val="0"/>
          <w:color w:val="000000"/>
          <w:sz w:val="22"/>
        </w:rPr>
        <w:t>3.1 算法库组成与适配原则</w:t>
      </w:r>
      <w:r>
        <w:rPr>
          <w:rFonts w:ascii="Times New Roman" w:hAnsi="Times New Roman" w:eastAsia="宋体"/>
          <w:b w:val="0"/>
          <w:color w:val="000000"/>
          <w:sz w:val="22"/>
        </w:rPr>
        <w:fldChar w:fldCharType="end"/>
      </w:r>
      <w:r>
        <w:rPr>
          <w:rFonts w:ascii="Times New Roman" w:hAnsi="Times New Roman" w:eastAsia="宋体"/>
          <w:color w:val="000000"/>
          <w:sz w:val="22"/>
        </w:rPr>
        <w:tab/>
      </w:r>
      <w:r>
        <w:fldChar w:fldCharType="begin"/>
      </w:r>
      <w:r>
        <w:instrText xml:space="preserve">PAGEREF heading_19 \h</w:instrText>
      </w:r>
      <w:r>
        <w:fldChar w:fldCharType="separate"/>
      </w:r>
      <w:r>
        <w:rPr>
          <w:rFonts w:ascii="Times New Roman" w:hAnsi="Times New Roman" w:eastAsia="宋体"/>
          <w:color w:val="000000"/>
          <w:sz w:val="22"/>
        </w:rPr>
        <w:t>6</w:t>
      </w:r>
      <w:r>
        <w:rPr>
          <w:rFonts w:ascii="Times New Roman" w:hAnsi="Times New Roman" w:eastAsia="宋体"/>
          <w:color w:val="000000"/>
          <w:sz w:val="22"/>
        </w:rPr>
        <w:fldChar w:fldCharType="end"/>
      </w:r>
    </w:p>
    <w:p w14:paraId="3FF355F7">
      <w:pPr>
        <w:pStyle w:val="164"/>
        <w:tabs>
          <w:tab w:val="right" w:leader="dot" w:pos="9014"/>
        </w:tabs>
        <w:spacing w:after="40" w:line="320" w:lineRule="exact"/>
        <w:ind w:left="369"/>
      </w:pPr>
      <w:r>
        <w:fldChar w:fldCharType="begin"/>
      </w:r>
      <w:r>
        <w:instrText xml:space="preserve"> HYPERLINK \l "heading_20" </w:instrText>
      </w:r>
      <w:r>
        <w:fldChar w:fldCharType="separate"/>
      </w:r>
      <w:r>
        <w:rPr>
          <w:rFonts w:ascii="Times New Roman" w:hAnsi="Times New Roman" w:eastAsia="宋体"/>
          <w:b w:val="0"/>
          <w:color w:val="000000"/>
          <w:sz w:val="22"/>
        </w:rPr>
        <w:t>3.2 混合密钥交换与参数校验</w:t>
      </w:r>
      <w:r>
        <w:rPr>
          <w:rFonts w:ascii="Times New Roman" w:hAnsi="Times New Roman" w:eastAsia="宋体"/>
          <w:b w:val="0"/>
          <w:color w:val="000000"/>
          <w:sz w:val="22"/>
        </w:rPr>
        <w:fldChar w:fldCharType="end"/>
      </w:r>
      <w:r>
        <w:rPr>
          <w:rFonts w:ascii="Times New Roman" w:hAnsi="Times New Roman" w:eastAsia="宋体"/>
          <w:color w:val="000000"/>
          <w:sz w:val="22"/>
        </w:rPr>
        <w:tab/>
      </w:r>
      <w:r>
        <w:fldChar w:fldCharType="begin"/>
      </w:r>
      <w:r>
        <w:instrText xml:space="preserve">PAGEREF heading_20 \h</w:instrText>
      </w:r>
      <w:r>
        <w:fldChar w:fldCharType="separate"/>
      </w:r>
      <w:r>
        <w:rPr>
          <w:rFonts w:ascii="Times New Roman" w:hAnsi="Times New Roman" w:eastAsia="宋体"/>
          <w:color w:val="000000"/>
          <w:sz w:val="22"/>
        </w:rPr>
        <w:t>6</w:t>
      </w:r>
      <w:r>
        <w:rPr>
          <w:rFonts w:ascii="Times New Roman" w:hAnsi="Times New Roman" w:eastAsia="宋体"/>
          <w:color w:val="000000"/>
          <w:sz w:val="22"/>
        </w:rPr>
        <w:fldChar w:fldCharType="end"/>
      </w:r>
    </w:p>
    <w:p w14:paraId="3DB6715C">
      <w:pPr>
        <w:pStyle w:val="164"/>
        <w:tabs>
          <w:tab w:val="right" w:leader="dot" w:pos="9014"/>
        </w:tabs>
        <w:spacing w:after="40" w:line="320" w:lineRule="exact"/>
        <w:ind w:left="369"/>
      </w:pPr>
      <w:r>
        <w:fldChar w:fldCharType="begin"/>
      </w:r>
      <w:r>
        <w:instrText xml:space="preserve"> HYPERLINK \l "heading_21" </w:instrText>
      </w:r>
      <w:r>
        <w:fldChar w:fldCharType="separate"/>
      </w:r>
      <w:r>
        <w:rPr>
          <w:rFonts w:ascii="Times New Roman" w:hAnsi="Times New Roman" w:eastAsia="宋体"/>
          <w:b w:val="0"/>
          <w:color w:val="000000"/>
          <w:sz w:val="22"/>
        </w:rPr>
        <w:t>3.3 握手密钥派生与加密飞行解析</w:t>
      </w:r>
      <w:r>
        <w:rPr>
          <w:rFonts w:ascii="Times New Roman" w:hAnsi="Times New Roman" w:eastAsia="宋体"/>
          <w:b w:val="0"/>
          <w:color w:val="000000"/>
          <w:sz w:val="22"/>
        </w:rPr>
        <w:fldChar w:fldCharType="end"/>
      </w:r>
      <w:r>
        <w:rPr>
          <w:rFonts w:ascii="Times New Roman" w:hAnsi="Times New Roman" w:eastAsia="宋体"/>
          <w:color w:val="000000"/>
          <w:sz w:val="22"/>
        </w:rPr>
        <w:tab/>
      </w:r>
      <w:r>
        <w:fldChar w:fldCharType="begin"/>
      </w:r>
      <w:r>
        <w:instrText xml:space="preserve">PAGEREF heading_21 \h</w:instrText>
      </w:r>
      <w:r>
        <w:fldChar w:fldCharType="separate"/>
      </w:r>
      <w:r>
        <w:rPr>
          <w:rFonts w:ascii="Times New Roman" w:hAnsi="Times New Roman" w:eastAsia="宋体"/>
          <w:color w:val="000000"/>
          <w:sz w:val="22"/>
        </w:rPr>
        <w:t>7</w:t>
      </w:r>
      <w:r>
        <w:rPr>
          <w:rFonts w:ascii="Times New Roman" w:hAnsi="Times New Roman" w:eastAsia="宋体"/>
          <w:color w:val="000000"/>
          <w:sz w:val="22"/>
        </w:rPr>
        <w:fldChar w:fldCharType="end"/>
      </w:r>
    </w:p>
    <w:p w14:paraId="24EE525E">
      <w:pPr>
        <w:pStyle w:val="164"/>
        <w:tabs>
          <w:tab w:val="right" w:leader="dot" w:pos="9014"/>
        </w:tabs>
        <w:spacing w:after="40" w:line="320" w:lineRule="exact"/>
        <w:ind w:left="369"/>
      </w:pPr>
      <w:r>
        <w:fldChar w:fldCharType="begin"/>
      </w:r>
      <w:r>
        <w:instrText xml:space="preserve"> HYPERLINK \l "heading_22" </w:instrText>
      </w:r>
      <w:r>
        <w:fldChar w:fldCharType="separate"/>
      </w:r>
      <w:r>
        <w:rPr>
          <w:rFonts w:ascii="Times New Roman" w:hAnsi="Times New Roman" w:eastAsia="宋体"/>
          <w:b w:val="0"/>
          <w:color w:val="000000"/>
          <w:sz w:val="22"/>
        </w:rPr>
        <w:t>3.4 证书公钥提取与握手验证</w:t>
      </w:r>
      <w:r>
        <w:rPr>
          <w:rFonts w:ascii="Times New Roman" w:hAnsi="Times New Roman" w:eastAsia="宋体"/>
          <w:b w:val="0"/>
          <w:color w:val="000000"/>
          <w:sz w:val="22"/>
        </w:rPr>
        <w:fldChar w:fldCharType="end"/>
      </w:r>
      <w:r>
        <w:rPr>
          <w:rFonts w:ascii="Times New Roman" w:hAnsi="Times New Roman" w:eastAsia="宋体"/>
          <w:color w:val="000000"/>
          <w:sz w:val="22"/>
        </w:rPr>
        <w:tab/>
      </w:r>
      <w:r>
        <w:fldChar w:fldCharType="begin"/>
      </w:r>
      <w:r>
        <w:instrText xml:space="preserve">PAGEREF heading_22 \h</w:instrText>
      </w:r>
      <w:r>
        <w:fldChar w:fldCharType="separate"/>
      </w:r>
      <w:r>
        <w:rPr>
          <w:rFonts w:ascii="Times New Roman" w:hAnsi="Times New Roman" w:eastAsia="宋体"/>
          <w:color w:val="000000"/>
          <w:sz w:val="22"/>
        </w:rPr>
        <w:t>7</w:t>
      </w:r>
      <w:r>
        <w:rPr>
          <w:rFonts w:ascii="Times New Roman" w:hAnsi="Times New Roman" w:eastAsia="宋体"/>
          <w:color w:val="000000"/>
          <w:sz w:val="22"/>
        </w:rPr>
        <w:fldChar w:fldCharType="end"/>
      </w:r>
    </w:p>
    <w:p w14:paraId="1FFBF7D7">
      <w:pPr>
        <w:pStyle w:val="164"/>
        <w:tabs>
          <w:tab w:val="right" w:leader="dot" w:pos="9014"/>
        </w:tabs>
        <w:spacing w:after="40" w:line="320" w:lineRule="exact"/>
        <w:ind w:left="369"/>
      </w:pPr>
      <w:r>
        <w:fldChar w:fldCharType="begin"/>
      </w:r>
      <w:r>
        <w:instrText xml:space="preserve"> HYPERLINK \l "heading_23" </w:instrText>
      </w:r>
      <w:r>
        <w:fldChar w:fldCharType="separate"/>
      </w:r>
      <w:r>
        <w:rPr>
          <w:rFonts w:ascii="Times New Roman" w:hAnsi="Times New Roman" w:eastAsia="宋体"/>
          <w:b w:val="0"/>
          <w:color w:val="000000"/>
          <w:sz w:val="22"/>
        </w:rPr>
        <w:t>3.5 独立算法验证与计算展示</w:t>
      </w:r>
      <w:r>
        <w:rPr>
          <w:rFonts w:ascii="Times New Roman" w:hAnsi="Times New Roman" w:eastAsia="宋体"/>
          <w:b w:val="0"/>
          <w:color w:val="000000"/>
          <w:sz w:val="22"/>
        </w:rPr>
        <w:fldChar w:fldCharType="end"/>
      </w:r>
      <w:r>
        <w:rPr>
          <w:rFonts w:ascii="Times New Roman" w:hAnsi="Times New Roman" w:eastAsia="宋体"/>
          <w:color w:val="000000"/>
          <w:sz w:val="22"/>
        </w:rPr>
        <w:tab/>
      </w:r>
      <w:r>
        <w:fldChar w:fldCharType="begin"/>
      </w:r>
      <w:r>
        <w:instrText xml:space="preserve">PAGEREF heading_23 \h</w:instrText>
      </w:r>
      <w:r>
        <w:fldChar w:fldCharType="separate"/>
      </w:r>
      <w:r>
        <w:rPr>
          <w:rFonts w:ascii="Times New Roman" w:hAnsi="Times New Roman" w:eastAsia="宋体"/>
          <w:color w:val="000000"/>
          <w:sz w:val="22"/>
        </w:rPr>
        <w:t>10</w:t>
      </w:r>
      <w:r>
        <w:rPr>
          <w:rFonts w:ascii="Times New Roman" w:hAnsi="Times New Roman" w:eastAsia="宋体"/>
          <w:color w:val="000000"/>
          <w:sz w:val="22"/>
        </w:rPr>
        <w:fldChar w:fldCharType="end"/>
      </w:r>
    </w:p>
    <w:p w14:paraId="3FFE25E3">
      <w:pPr>
        <w:pStyle w:val="164"/>
        <w:tabs>
          <w:tab w:val="right" w:leader="dot" w:pos="9014"/>
        </w:tabs>
        <w:spacing w:after="40" w:line="320" w:lineRule="exact"/>
        <w:ind w:left="369"/>
      </w:pPr>
      <w:r>
        <w:fldChar w:fldCharType="begin"/>
      </w:r>
      <w:r>
        <w:instrText xml:space="preserve"> HYPERLINK \l "heading_24" </w:instrText>
      </w:r>
      <w:r>
        <w:fldChar w:fldCharType="separate"/>
      </w:r>
      <w:r>
        <w:rPr>
          <w:rFonts w:ascii="Times New Roman" w:hAnsi="Times New Roman" w:eastAsia="宋体"/>
          <w:b w:val="0"/>
          <w:color w:val="000000"/>
          <w:sz w:val="22"/>
        </w:rPr>
        <w:t>3.6 计算数据来源与使用边界</w:t>
      </w:r>
      <w:r>
        <w:rPr>
          <w:rFonts w:ascii="Times New Roman" w:hAnsi="Times New Roman" w:eastAsia="宋体"/>
          <w:b w:val="0"/>
          <w:color w:val="000000"/>
          <w:sz w:val="22"/>
        </w:rPr>
        <w:fldChar w:fldCharType="end"/>
      </w:r>
      <w:r>
        <w:rPr>
          <w:rFonts w:ascii="Times New Roman" w:hAnsi="Times New Roman" w:eastAsia="宋体"/>
          <w:color w:val="000000"/>
          <w:sz w:val="22"/>
        </w:rPr>
        <w:tab/>
      </w:r>
      <w:r>
        <w:fldChar w:fldCharType="begin"/>
      </w:r>
      <w:r>
        <w:instrText xml:space="preserve">PAGEREF heading_24 \h</w:instrText>
      </w:r>
      <w:r>
        <w:fldChar w:fldCharType="separate"/>
      </w:r>
      <w:r>
        <w:rPr>
          <w:rFonts w:ascii="Times New Roman" w:hAnsi="Times New Roman" w:eastAsia="宋体"/>
          <w:color w:val="000000"/>
          <w:sz w:val="22"/>
        </w:rPr>
        <w:t>10</w:t>
      </w:r>
      <w:r>
        <w:rPr>
          <w:rFonts w:ascii="Times New Roman" w:hAnsi="Times New Roman" w:eastAsia="宋体"/>
          <w:color w:val="000000"/>
          <w:sz w:val="22"/>
        </w:rPr>
        <w:fldChar w:fldCharType="end"/>
      </w:r>
    </w:p>
    <w:p w14:paraId="65F5C441">
      <w:pPr>
        <w:pStyle w:val="164"/>
        <w:tabs>
          <w:tab w:val="right" w:leader="dot" w:pos="9014"/>
        </w:tabs>
        <w:spacing w:after="40" w:line="320" w:lineRule="exact"/>
        <w:ind w:left="0"/>
      </w:pPr>
      <w:r>
        <w:fldChar w:fldCharType="begin"/>
      </w:r>
      <w:r>
        <w:instrText xml:space="preserve"> HYPERLINK \l "heading_25" </w:instrText>
      </w:r>
      <w:r>
        <w:fldChar w:fldCharType="separate"/>
      </w:r>
      <w:r>
        <w:rPr>
          <w:rFonts w:ascii="Times New Roman" w:hAnsi="Times New Roman" w:eastAsia="宋体"/>
          <w:b/>
          <w:color w:val="000000"/>
          <w:sz w:val="22"/>
        </w:rPr>
        <w:t>4 协议检测与证据管理</w:t>
      </w:r>
      <w:r>
        <w:rPr>
          <w:rFonts w:ascii="Times New Roman" w:hAnsi="Times New Roman" w:eastAsia="宋体"/>
          <w:b/>
          <w:color w:val="000000"/>
          <w:sz w:val="22"/>
        </w:rPr>
        <w:fldChar w:fldCharType="end"/>
      </w:r>
      <w:r>
        <w:rPr>
          <w:rFonts w:ascii="Times New Roman" w:hAnsi="Times New Roman" w:eastAsia="宋体"/>
          <w:color w:val="000000"/>
          <w:sz w:val="22"/>
        </w:rPr>
        <w:tab/>
      </w:r>
      <w:r>
        <w:fldChar w:fldCharType="begin"/>
      </w:r>
      <w:r>
        <w:instrText xml:space="preserve">PAGEREF heading_25 \h</w:instrText>
      </w:r>
      <w:r>
        <w:fldChar w:fldCharType="separate"/>
      </w:r>
      <w:r>
        <w:rPr>
          <w:rFonts w:ascii="Times New Roman" w:hAnsi="Times New Roman" w:eastAsia="宋体"/>
          <w:color w:val="000000"/>
          <w:sz w:val="22"/>
        </w:rPr>
        <w:t>12</w:t>
      </w:r>
      <w:r>
        <w:rPr>
          <w:rFonts w:ascii="Times New Roman" w:hAnsi="Times New Roman" w:eastAsia="宋体"/>
          <w:color w:val="000000"/>
          <w:sz w:val="22"/>
        </w:rPr>
        <w:fldChar w:fldCharType="end"/>
      </w:r>
    </w:p>
    <w:p w14:paraId="603894D0">
      <w:pPr>
        <w:pStyle w:val="164"/>
        <w:tabs>
          <w:tab w:val="right" w:leader="dot" w:pos="9014"/>
        </w:tabs>
        <w:spacing w:after="40" w:line="320" w:lineRule="exact"/>
        <w:ind w:left="369"/>
      </w:pPr>
      <w:r>
        <w:fldChar w:fldCharType="begin"/>
      </w:r>
      <w:r>
        <w:instrText xml:space="preserve"> HYPERLINK \l "heading_26" </w:instrText>
      </w:r>
      <w:r>
        <w:fldChar w:fldCharType="separate"/>
      </w:r>
      <w:r>
        <w:rPr>
          <w:rFonts w:ascii="Times New Roman" w:hAnsi="Times New Roman" w:eastAsia="宋体"/>
          <w:b w:val="0"/>
          <w:color w:val="000000"/>
          <w:sz w:val="22"/>
        </w:rPr>
        <w:t>4.1 被动报文分析与协商还原</w:t>
      </w:r>
      <w:r>
        <w:rPr>
          <w:rFonts w:ascii="Times New Roman" w:hAnsi="Times New Roman" w:eastAsia="宋体"/>
          <w:b w:val="0"/>
          <w:color w:val="000000"/>
          <w:sz w:val="22"/>
        </w:rPr>
        <w:fldChar w:fldCharType="end"/>
      </w:r>
      <w:r>
        <w:rPr>
          <w:rFonts w:ascii="Times New Roman" w:hAnsi="Times New Roman" w:eastAsia="宋体"/>
          <w:color w:val="000000"/>
          <w:sz w:val="22"/>
        </w:rPr>
        <w:tab/>
      </w:r>
      <w:r>
        <w:fldChar w:fldCharType="begin"/>
      </w:r>
      <w:r>
        <w:instrText xml:space="preserve">PAGEREF heading_26 \h</w:instrText>
      </w:r>
      <w:r>
        <w:fldChar w:fldCharType="separate"/>
      </w:r>
      <w:r>
        <w:rPr>
          <w:rFonts w:ascii="Times New Roman" w:hAnsi="Times New Roman" w:eastAsia="宋体"/>
          <w:color w:val="000000"/>
          <w:sz w:val="22"/>
        </w:rPr>
        <w:t>12</w:t>
      </w:r>
      <w:r>
        <w:rPr>
          <w:rFonts w:ascii="Times New Roman" w:hAnsi="Times New Roman" w:eastAsia="宋体"/>
          <w:color w:val="000000"/>
          <w:sz w:val="22"/>
        </w:rPr>
        <w:fldChar w:fldCharType="end"/>
      </w:r>
    </w:p>
    <w:p w14:paraId="74BE07B9">
      <w:pPr>
        <w:pStyle w:val="164"/>
        <w:tabs>
          <w:tab w:val="right" w:leader="dot" w:pos="9014"/>
        </w:tabs>
        <w:spacing w:after="40" w:line="320" w:lineRule="exact"/>
        <w:ind w:left="369"/>
      </w:pPr>
      <w:r>
        <w:fldChar w:fldCharType="begin"/>
      </w:r>
      <w:r>
        <w:instrText xml:space="preserve"> HYPERLINK \l "heading_27" </w:instrText>
      </w:r>
      <w:r>
        <w:fldChar w:fldCharType="separate"/>
      </w:r>
      <w:r>
        <w:rPr>
          <w:rFonts w:ascii="Times New Roman" w:hAnsi="Times New Roman" w:eastAsia="宋体"/>
          <w:b w:val="0"/>
          <w:color w:val="000000"/>
          <w:sz w:val="22"/>
        </w:rPr>
        <w:t>4.2 被动分析的可见性限制</w:t>
      </w:r>
      <w:r>
        <w:rPr>
          <w:rFonts w:ascii="Times New Roman" w:hAnsi="Times New Roman" w:eastAsia="宋体"/>
          <w:b w:val="0"/>
          <w:color w:val="000000"/>
          <w:sz w:val="22"/>
        </w:rPr>
        <w:fldChar w:fldCharType="end"/>
      </w:r>
      <w:r>
        <w:rPr>
          <w:rFonts w:ascii="Times New Roman" w:hAnsi="Times New Roman" w:eastAsia="宋体"/>
          <w:color w:val="000000"/>
          <w:sz w:val="22"/>
        </w:rPr>
        <w:tab/>
      </w:r>
      <w:r>
        <w:fldChar w:fldCharType="begin"/>
      </w:r>
      <w:r>
        <w:instrText xml:space="preserve">PAGEREF heading_27 \h</w:instrText>
      </w:r>
      <w:r>
        <w:fldChar w:fldCharType="separate"/>
      </w:r>
      <w:r>
        <w:rPr>
          <w:rFonts w:ascii="Times New Roman" w:hAnsi="Times New Roman" w:eastAsia="宋体"/>
          <w:color w:val="000000"/>
          <w:sz w:val="22"/>
        </w:rPr>
        <w:t>12</w:t>
      </w:r>
      <w:r>
        <w:rPr>
          <w:rFonts w:ascii="Times New Roman" w:hAnsi="Times New Roman" w:eastAsia="宋体"/>
          <w:color w:val="000000"/>
          <w:sz w:val="22"/>
        </w:rPr>
        <w:fldChar w:fldCharType="end"/>
      </w:r>
    </w:p>
    <w:p w14:paraId="23155950">
      <w:pPr>
        <w:pStyle w:val="164"/>
        <w:tabs>
          <w:tab w:val="right" w:leader="dot" w:pos="9014"/>
        </w:tabs>
        <w:spacing w:after="40" w:line="320" w:lineRule="exact"/>
        <w:ind w:left="369"/>
      </w:pPr>
      <w:r>
        <w:fldChar w:fldCharType="begin"/>
      </w:r>
      <w:r>
        <w:instrText xml:space="preserve"> HYPERLINK \l "heading_28" </w:instrText>
      </w:r>
      <w:r>
        <w:fldChar w:fldCharType="separate"/>
      </w:r>
      <w:r>
        <w:rPr>
          <w:rFonts w:ascii="Times New Roman" w:hAnsi="Times New Roman" w:eastAsia="宋体"/>
          <w:b w:val="0"/>
          <w:color w:val="000000"/>
          <w:sz w:val="22"/>
        </w:rPr>
        <w:t>4.3 抓包观察与主动复测的衔接</w:t>
      </w:r>
      <w:r>
        <w:rPr>
          <w:rFonts w:ascii="Times New Roman" w:hAnsi="Times New Roman" w:eastAsia="宋体"/>
          <w:b w:val="0"/>
          <w:color w:val="000000"/>
          <w:sz w:val="22"/>
        </w:rPr>
        <w:fldChar w:fldCharType="end"/>
      </w:r>
      <w:r>
        <w:rPr>
          <w:rFonts w:ascii="Times New Roman" w:hAnsi="Times New Roman" w:eastAsia="宋体"/>
          <w:color w:val="000000"/>
          <w:sz w:val="22"/>
        </w:rPr>
        <w:tab/>
      </w:r>
      <w:r>
        <w:fldChar w:fldCharType="begin"/>
      </w:r>
      <w:r>
        <w:instrText xml:space="preserve">PAGEREF heading_28 \h</w:instrText>
      </w:r>
      <w:r>
        <w:fldChar w:fldCharType="separate"/>
      </w:r>
      <w:r>
        <w:rPr>
          <w:rFonts w:ascii="Times New Roman" w:hAnsi="Times New Roman" w:eastAsia="宋体"/>
          <w:color w:val="000000"/>
          <w:sz w:val="22"/>
        </w:rPr>
        <w:t>12</w:t>
      </w:r>
      <w:r>
        <w:rPr>
          <w:rFonts w:ascii="Times New Roman" w:hAnsi="Times New Roman" w:eastAsia="宋体"/>
          <w:color w:val="000000"/>
          <w:sz w:val="22"/>
        </w:rPr>
        <w:fldChar w:fldCharType="end"/>
      </w:r>
    </w:p>
    <w:p w14:paraId="57D07053">
      <w:pPr>
        <w:pStyle w:val="164"/>
        <w:tabs>
          <w:tab w:val="right" w:leader="dot" w:pos="9014"/>
        </w:tabs>
        <w:spacing w:after="40" w:line="320" w:lineRule="exact"/>
        <w:ind w:left="369"/>
      </w:pPr>
      <w:r>
        <w:fldChar w:fldCharType="begin"/>
      </w:r>
      <w:r>
        <w:instrText xml:space="preserve"> HYPERLINK \l "heading_29" </w:instrText>
      </w:r>
      <w:r>
        <w:fldChar w:fldCharType="separate"/>
      </w:r>
      <w:r>
        <w:rPr>
          <w:rFonts w:ascii="Times New Roman" w:hAnsi="Times New Roman" w:eastAsia="宋体"/>
          <w:b w:val="0"/>
          <w:color w:val="000000"/>
          <w:sz w:val="22"/>
        </w:rPr>
        <w:t>4.4 分层结论与失败处理</w:t>
      </w:r>
      <w:r>
        <w:rPr>
          <w:rFonts w:ascii="Times New Roman" w:hAnsi="Times New Roman" w:eastAsia="宋体"/>
          <w:b w:val="0"/>
          <w:color w:val="000000"/>
          <w:sz w:val="22"/>
        </w:rPr>
        <w:fldChar w:fldCharType="end"/>
      </w:r>
      <w:r>
        <w:rPr>
          <w:rFonts w:ascii="Times New Roman" w:hAnsi="Times New Roman" w:eastAsia="宋体"/>
          <w:color w:val="000000"/>
          <w:sz w:val="22"/>
        </w:rPr>
        <w:tab/>
      </w:r>
      <w:r>
        <w:fldChar w:fldCharType="begin"/>
      </w:r>
      <w:r>
        <w:instrText xml:space="preserve">PAGEREF heading_29 \h</w:instrText>
      </w:r>
      <w:r>
        <w:fldChar w:fldCharType="separate"/>
      </w:r>
      <w:r>
        <w:rPr>
          <w:rFonts w:ascii="Times New Roman" w:hAnsi="Times New Roman" w:eastAsia="宋体"/>
          <w:color w:val="000000"/>
          <w:sz w:val="22"/>
        </w:rPr>
        <w:t>13</w:t>
      </w:r>
      <w:r>
        <w:rPr>
          <w:rFonts w:ascii="Times New Roman" w:hAnsi="Times New Roman" w:eastAsia="宋体"/>
          <w:color w:val="000000"/>
          <w:sz w:val="22"/>
        </w:rPr>
        <w:fldChar w:fldCharType="end"/>
      </w:r>
    </w:p>
    <w:p w14:paraId="58A591CE">
      <w:pPr>
        <w:pStyle w:val="164"/>
        <w:tabs>
          <w:tab w:val="right" w:leader="dot" w:pos="9014"/>
        </w:tabs>
        <w:spacing w:after="40" w:line="320" w:lineRule="exact"/>
        <w:ind w:left="369"/>
      </w:pPr>
      <w:r>
        <w:fldChar w:fldCharType="begin"/>
      </w:r>
      <w:r>
        <w:instrText xml:space="preserve"> HYPERLINK \l "heading_30" </w:instrText>
      </w:r>
      <w:r>
        <w:fldChar w:fldCharType="separate"/>
      </w:r>
      <w:r>
        <w:rPr>
          <w:rFonts w:ascii="Times New Roman" w:hAnsi="Times New Roman" w:eastAsia="宋体"/>
          <w:b w:val="0"/>
          <w:color w:val="000000"/>
          <w:sz w:val="22"/>
        </w:rPr>
        <w:t>4.5 结果记录与复核</w:t>
      </w:r>
      <w:r>
        <w:rPr>
          <w:rFonts w:ascii="Times New Roman" w:hAnsi="Times New Roman" w:eastAsia="宋体"/>
          <w:b w:val="0"/>
          <w:color w:val="000000"/>
          <w:sz w:val="22"/>
        </w:rPr>
        <w:fldChar w:fldCharType="end"/>
      </w:r>
      <w:r>
        <w:rPr>
          <w:rFonts w:ascii="Times New Roman" w:hAnsi="Times New Roman" w:eastAsia="宋体"/>
          <w:color w:val="000000"/>
          <w:sz w:val="22"/>
        </w:rPr>
        <w:tab/>
      </w:r>
      <w:r>
        <w:fldChar w:fldCharType="begin"/>
      </w:r>
      <w:r>
        <w:instrText xml:space="preserve">PAGEREF heading_30 \h</w:instrText>
      </w:r>
      <w:r>
        <w:fldChar w:fldCharType="separate"/>
      </w:r>
      <w:r>
        <w:rPr>
          <w:rFonts w:ascii="Times New Roman" w:hAnsi="Times New Roman" w:eastAsia="宋体"/>
          <w:color w:val="000000"/>
          <w:sz w:val="22"/>
        </w:rPr>
        <w:t>13</w:t>
      </w:r>
      <w:r>
        <w:rPr>
          <w:rFonts w:ascii="Times New Roman" w:hAnsi="Times New Roman" w:eastAsia="宋体"/>
          <w:color w:val="000000"/>
          <w:sz w:val="22"/>
        </w:rPr>
        <w:fldChar w:fldCharType="end"/>
      </w:r>
    </w:p>
    <w:p w14:paraId="6BAD0300">
      <w:pPr>
        <w:pStyle w:val="164"/>
        <w:tabs>
          <w:tab w:val="right" w:leader="dot" w:pos="9014"/>
        </w:tabs>
        <w:spacing w:after="40" w:line="320" w:lineRule="exact"/>
        <w:ind w:left="0"/>
      </w:pPr>
      <w:r>
        <w:fldChar w:fldCharType="begin"/>
      </w:r>
      <w:r>
        <w:instrText xml:space="preserve"> HYPERLINK \l "heading_31" </w:instrText>
      </w:r>
      <w:r>
        <w:fldChar w:fldCharType="separate"/>
      </w:r>
      <w:r>
        <w:rPr>
          <w:rFonts w:ascii="Times New Roman" w:hAnsi="Times New Roman" w:eastAsia="宋体"/>
          <w:b/>
          <w:color w:val="000000"/>
          <w:sz w:val="22"/>
        </w:rPr>
        <w:t>5 原型实验与结果分析</w:t>
      </w:r>
      <w:r>
        <w:rPr>
          <w:rFonts w:ascii="Times New Roman" w:hAnsi="Times New Roman" w:eastAsia="宋体"/>
          <w:b/>
          <w:color w:val="000000"/>
          <w:sz w:val="22"/>
        </w:rPr>
        <w:fldChar w:fldCharType="end"/>
      </w:r>
      <w:r>
        <w:rPr>
          <w:rFonts w:ascii="Times New Roman" w:hAnsi="Times New Roman" w:eastAsia="宋体"/>
          <w:color w:val="000000"/>
          <w:sz w:val="22"/>
        </w:rPr>
        <w:tab/>
      </w:r>
      <w:r>
        <w:fldChar w:fldCharType="begin"/>
      </w:r>
      <w:r>
        <w:instrText xml:space="preserve">PAGEREF heading_31 \h</w:instrText>
      </w:r>
      <w:r>
        <w:fldChar w:fldCharType="separate"/>
      </w:r>
      <w:r>
        <w:rPr>
          <w:rFonts w:ascii="Times New Roman" w:hAnsi="Times New Roman" w:eastAsia="宋体"/>
          <w:color w:val="000000"/>
          <w:sz w:val="22"/>
        </w:rPr>
        <w:t>15</w:t>
      </w:r>
      <w:r>
        <w:rPr>
          <w:rFonts w:ascii="Times New Roman" w:hAnsi="Times New Roman" w:eastAsia="宋体"/>
          <w:color w:val="000000"/>
          <w:sz w:val="22"/>
        </w:rPr>
        <w:fldChar w:fldCharType="end"/>
      </w:r>
    </w:p>
    <w:p w14:paraId="0CFCD793">
      <w:pPr>
        <w:pStyle w:val="164"/>
        <w:tabs>
          <w:tab w:val="right" w:leader="dot" w:pos="9014"/>
        </w:tabs>
        <w:spacing w:after="40" w:line="320" w:lineRule="exact"/>
        <w:ind w:left="369"/>
      </w:pPr>
      <w:r>
        <w:fldChar w:fldCharType="begin"/>
      </w:r>
      <w:r>
        <w:instrText xml:space="preserve"> HYPERLINK \l "heading_32" </w:instrText>
      </w:r>
      <w:r>
        <w:fldChar w:fldCharType="separate"/>
      </w:r>
      <w:r>
        <w:rPr>
          <w:rFonts w:ascii="Times New Roman" w:hAnsi="Times New Roman" w:eastAsia="宋体"/>
          <w:b w:val="0"/>
          <w:color w:val="000000"/>
          <w:sz w:val="22"/>
        </w:rPr>
        <w:t>5.1 实验对象与运行环境</w:t>
      </w:r>
      <w:r>
        <w:rPr>
          <w:rFonts w:ascii="Times New Roman" w:hAnsi="Times New Roman" w:eastAsia="宋体"/>
          <w:b w:val="0"/>
          <w:color w:val="000000"/>
          <w:sz w:val="22"/>
        </w:rPr>
        <w:fldChar w:fldCharType="end"/>
      </w:r>
      <w:r>
        <w:rPr>
          <w:rFonts w:ascii="Times New Roman" w:hAnsi="Times New Roman" w:eastAsia="宋体"/>
          <w:color w:val="000000"/>
          <w:sz w:val="22"/>
        </w:rPr>
        <w:tab/>
      </w:r>
      <w:r>
        <w:fldChar w:fldCharType="begin"/>
      </w:r>
      <w:r>
        <w:instrText xml:space="preserve">PAGEREF heading_32 \h</w:instrText>
      </w:r>
      <w:r>
        <w:fldChar w:fldCharType="separate"/>
      </w:r>
      <w:r>
        <w:rPr>
          <w:rFonts w:ascii="Times New Roman" w:hAnsi="Times New Roman" w:eastAsia="宋体"/>
          <w:color w:val="000000"/>
          <w:sz w:val="22"/>
        </w:rPr>
        <w:t>15</w:t>
      </w:r>
      <w:r>
        <w:rPr>
          <w:rFonts w:ascii="Times New Roman" w:hAnsi="Times New Roman" w:eastAsia="宋体"/>
          <w:color w:val="000000"/>
          <w:sz w:val="22"/>
        </w:rPr>
        <w:fldChar w:fldCharType="end"/>
      </w:r>
    </w:p>
    <w:p w14:paraId="660AA350">
      <w:pPr>
        <w:pStyle w:val="164"/>
        <w:tabs>
          <w:tab w:val="right" w:leader="dot" w:pos="9014"/>
        </w:tabs>
        <w:spacing w:after="40" w:line="320" w:lineRule="exact"/>
        <w:ind w:left="369"/>
      </w:pPr>
      <w:r>
        <w:fldChar w:fldCharType="begin"/>
      </w:r>
      <w:r>
        <w:instrText xml:space="preserve"> HYPERLINK \l "heading_33" </w:instrText>
      </w:r>
      <w:r>
        <w:fldChar w:fldCharType="separate"/>
      </w:r>
      <w:r>
        <w:rPr>
          <w:rFonts w:ascii="Times New Roman" w:hAnsi="Times New Roman" w:eastAsia="宋体"/>
          <w:b w:val="0"/>
          <w:color w:val="000000"/>
          <w:sz w:val="22"/>
        </w:rPr>
        <w:t>5.2 TLS与HTTPS的双路径验证</w:t>
      </w:r>
      <w:r>
        <w:rPr>
          <w:rFonts w:ascii="Times New Roman" w:hAnsi="Times New Roman" w:eastAsia="宋体"/>
          <w:b w:val="0"/>
          <w:color w:val="000000"/>
          <w:sz w:val="22"/>
        </w:rPr>
        <w:fldChar w:fldCharType="end"/>
      </w:r>
      <w:r>
        <w:rPr>
          <w:rFonts w:ascii="Times New Roman" w:hAnsi="Times New Roman" w:eastAsia="宋体"/>
          <w:color w:val="000000"/>
          <w:sz w:val="22"/>
        </w:rPr>
        <w:tab/>
      </w:r>
      <w:r>
        <w:fldChar w:fldCharType="begin"/>
      </w:r>
      <w:r>
        <w:instrText xml:space="preserve">PAGEREF heading_33 \h</w:instrText>
      </w:r>
      <w:r>
        <w:fldChar w:fldCharType="separate"/>
      </w:r>
      <w:r>
        <w:rPr>
          <w:rFonts w:ascii="Times New Roman" w:hAnsi="Times New Roman" w:eastAsia="宋体"/>
          <w:color w:val="000000"/>
          <w:sz w:val="22"/>
        </w:rPr>
        <w:t>15</w:t>
      </w:r>
      <w:r>
        <w:rPr>
          <w:rFonts w:ascii="Times New Roman" w:hAnsi="Times New Roman" w:eastAsia="宋体"/>
          <w:color w:val="000000"/>
          <w:sz w:val="22"/>
        </w:rPr>
        <w:fldChar w:fldCharType="end"/>
      </w:r>
    </w:p>
    <w:p w14:paraId="6CD23BBF">
      <w:pPr>
        <w:pStyle w:val="164"/>
        <w:tabs>
          <w:tab w:val="right" w:leader="dot" w:pos="9014"/>
        </w:tabs>
        <w:spacing w:after="40" w:line="320" w:lineRule="exact"/>
        <w:ind w:left="369"/>
      </w:pPr>
      <w:r>
        <w:fldChar w:fldCharType="begin"/>
      </w:r>
      <w:r>
        <w:instrText xml:space="preserve"> HYPERLINK \l "heading_34" </w:instrText>
      </w:r>
      <w:r>
        <w:fldChar w:fldCharType="separate"/>
      </w:r>
      <w:r>
        <w:rPr>
          <w:rFonts w:ascii="Times New Roman" w:hAnsi="Times New Roman" w:eastAsia="宋体"/>
          <w:b w:val="0"/>
          <w:color w:val="000000"/>
          <w:sz w:val="22"/>
        </w:rPr>
        <w:t>5.3 TCP与UDP签名消息验证</w:t>
      </w:r>
      <w:r>
        <w:rPr>
          <w:rFonts w:ascii="Times New Roman" w:hAnsi="Times New Roman" w:eastAsia="宋体"/>
          <w:b w:val="0"/>
          <w:color w:val="000000"/>
          <w:sz w:val="22"/>
        </w:rPr>
        <w:fldChar w:fldCharType="end"/>
      </w:r>
      <w:r>
        <w:rPr>
          <w:rFonts w:ascii="Times New Roman" w:hAnsi="Times New Roman" w:eastAsia="宋体"/>
          <w:color w:val="000000"/>
          <w:sz w:val="22"/>
        </w:rPr>
        <w:tab/>
      </w:r>
      <w:r>
        <w:fldChar w:fldCharType="begin"/>
      </w:r>
      <w:r>
        <w:instrText xml:space="preserve">PAGEREF heading_34 \h</w:instrText>
      </w:r>
      <w:r>
        <w:fldChar w:fldCharType="separate"/>
      </w:r>
      <w:r>
        <w:rPr>
          <w:rFonts w:ascii="Times New Roman" w:hAnsi="Times New Roman" w:eastAsia="宋体"/>
          <w:color w:val="000000"/>
          <w:sz w:val="22"/>
        </w:rPr>
        <w:t>16</w:t>
      </w:r>
      <w:r>
        <w:rPr>
          <w:rFonts w:ascii="Times New Roman" w:hAnsi="Times New Roman" w:eastAsia="宋体"/>
          <w:color w:val="000000"/>
          <w:sz w:val="22"/>
        </w:rPr>
        <w:fldChar w:fldCharType="end"/>
      </w:r>
    </w:p>
    <w:p w14:paraId="3E08D383">
      <w:pPr>
        <w:pStyle w:val="164"/>
        <w:tabs>
          <w:tab w:val="right" w:leader="dot" w:pos="9014"/>
        </w:tabs>
        <w:spacing w:after="40" w:line="320" w:lineRule="exact"/>
        <w:ind w:left="369"/>
      </w:pPr>
      <w:r>
        <w:fldChar w:fldCharType="begin"/>
      </w:r>
      <w:r>
        <w:instrText xml:space="preserve"> HYPERLINK \l "heading_35" </w:instrText>
      </w:r>
      <w:r>
        <w:fldChar w:fldCharType="separate"/>
      </w:r>
      <w:r>
        <w:rPr>
          <w:rFonts w:ascii="Times New Roman" w:hAnsi="Times New Roman" w:eastAsia="宋体"/>
          <w:b w:val="0"/>
          <w:color w:val="000000"/>
          <w:sz w:val="22"/>
        </w:rPr>
        <w:t>5.4 异常输入与篡改对照</w:t>
      </w:r>
      <w:r>
        <w:rPr>
          <w:rFonts w:ascii="Times New Roman" w:hAnsi="Times New Roman" w:eastAsia="宋体"/>
          <w:b w:val="0"/>
          <w:color w:val="000000"/>
          <w:sz w:val="22"/>
        </w:rPr>
        <w:fldChar w:fldCharType="end"/>
      </w:r>
      <w:r>
        <w:rPr>
          <w:rFonts w:ascii="Times New Roman" w:hAnsi="Times New Roman" w:eastAsia="宋体"/>
          <w:color w:val="000000"/>
          <w:sz w:val="22"/>
        </w:rPr>
        <w:tab/>
      </w:r>
      <w:r>
        <w:fldChar w:fldCharType="begin"/>
      </w:r>
      <w:r>
        <w:instrText xml:space="preserve">PAGEREF heading_35 \h</w:instrText>
      </w:r>
      <w:r>
        <w:fldChar w:fldCharType="separate"/>
      </w:r>
      <w:r>
        <w:rPr>
          <w:rFonts w:ascii="Times New Roman" w:hAnsi="Times New Roman" w:eastAsia="宋体"/>
          <w:color w:val="000000"/>
          <w:sz w:val="22"/>
        </w:rPr>
        <w:t>16</w:t>
      </w:r>
      <w:r>
        <w:rPr>
          <w:rFonts w:ascii="Times New Roman" w:hAnsi="Times New Roman" w:eastAsia="宋体"/>
          <w:color w:val="000000"/>
          <w:sz w:val="22"/>
        </w:rPr>
        <w:fldChar w:fldCharType="end"/>
      </w:r>
    </w:p>
    <w:p w14:paraId="1FC41C12">
      <w:pPr>
        <w:pStyle w:val="164"/>
        <w:tabs>
          <w:tab w:val="right" w:leader="dot" w:pos="9014"/>
        </w:tabs>
        <w:spacing w:after="40" w:line="320" w:lineRule="exact"/>
        <w:ind w:left="369"/>
      </w:pPr>
      <w:r>
        <w:fldChar w:fldCharType="begin"/>
      </w:r>
      <w:r>
        <w:instrText xml:space="preserve"> HYPERLINK \l "heading_36" </w:instrText>
      </w:r>
      <w:r>
        <w:fldChar w:fldCharType="separate"/>
      </w:r>
      <w:r>
        <w:rPr>
          <w:rFonts w:ascii="Times New Roman" w:hAnsi="Times New Roman" w:eastAsia="宋体"/>
          <w:b w:val="0"/>
          <w:color w:val="000000"/>
          <w:sz w:val="22"/>
        </w:rPr>
        <w:t>5.5 已有实测结果与适用范围</w:t>
      </w:r>
      <w:r>
        <w:rPr>
          <w:rFonts w:ascii="Times New Roman" w:hAnsi="Times New Roman" w:eastAsia="宋体"/>
          <w:b w:val="0"/>
          <w:color w:val="000000"/>
          <w:sz w:val="22"/>
        </w:rPr>
        <w:fldChar w:fldCharType="end"/>
      </w:r>
      <w:r>
        <w:rPr>
          <w:rFonts w:ascii="Times New Roman" w:hAnsi="Times New Roman" w:eastAsia="宋体"/>
          <w:color w:val="000000"/>
          <w:sz w:val="22"/>
        </w:rPr>
        <w:tab/>
      </w:r>
      <w:r>
        <w:fldChar w:fldCharType="begin"/>
      </w:r>
      <w:r>
        <w:instrText xml:space="preserve">PAGEREF heading_36 \h</w:instrText>
      </w:r>
      <w:r>
        <w:fldChar w:fldCharType="separate"/>
      </w:r>
      <w:r>
        <w:rPr>
          <w:rFonts w:ascii="Times New Roman" w:hAnsi="Times New Roman" w:eastAsia="宋体"/>
          <w:color w:val="000000"/>
          <w:sz w:val="22"/>
        </w:rPr>
        <w:t>17</w:t>
      </w:r>
      <w:r>
        <w:rPr>
          <w:rFonts w:ascii="Times New Roman" w:hAnsi="Times New Roman" w:eastAsia="宋体"/>
          <w:color w:val="000000"/>
          <w:sz w:val="22"/>
        </w:rPr>
        <w:fldChar w:fldCharType="end"/>
      </w:r>
    </w:p>
    <w:p w14:paraId="702357C2">
      <w:pPr>
        <w:pStyle w:val="164"/>
        <w:tabs>
          <w:tab w:val="right" w:leader="dot" w:pos="9014"/>
        </w:tabs>
        <w:spacing w:after="40" w:line="320" w:lineRule="exact"/>
        <w:ind w:left="0"/>
      </w:pPr>
      <w:r>
        <w:fldChar w:fldCharType="begin"/>
      </w:r>
      <w:r>
        <w:instrText xml:space="preserve"> HYPERLINK \l "heading_37" </w:instrText>
      </w:r>
      <w:r>
        <w:fldChar w:fldCharType="separate"/>
      </w:r>
      <w:r>
        <w:rPr>
          <w:rFonts w:ascii="Times New Roman" w:hAnsi="Times New Roman" w:eastAsia="宋体"/>
          <w:b/>
          <w:color w:val="000000"/>
          <w:sz w:val="22"/>
        </w:rPr>
        <w:t>6 应用设计与扩展方向</w:t>
      </w:r>
      <w:r>
        <w:rPr>
          <w:rFonts w:ascii="Times New Roman" w:hAnsi="Times New Roman" w:eastAsia="宋体"/>
          <w:b/>
          <w:color w:val="000000"/>
          <w:sz w:val="22"/>
        </w:rPr>
        <w:fldChar w:fldCharType="end"/>
      </w:r>
      <w:r>
        <w:rPr>
          <w:rFonts w:ascii="Times New Roman" w:hAnsi="Times New Roman" w:eastAsia="宋体"/>
          <w:color w:val="000000"/>
          <w:sz w:val="22"/>
        </w:rPr>
        <w:tab/>
      </w:r>
      <w:r>
        <w:fldChar w:fldCharType="begin"/>
      </w:r>
      <w:r>
        <w:instrText xml:space="preserve">PAGEREF heading_37 \h</w:instrText>
      </w:r>
      <w:r>
        <w:fldChar w:fldCharType="separate"/>
      </w:r>
      <w:r>
        <w:rPr>
          <w:rFonts w:ascii="Times New Roman" w:hAnsi="Times New Roman" w:eastAsia="宋体"/>
          <w:color w:val="000000"/>
          <w:sz w:val="22"/>
        </w:rPr>
        <w:t>18</w:t>
      </w:r>
      <w:r>
        <w:rPr>
          <w:rFonts w:ascii="Times New Roman" w:hAnsi="Times New Roman" w:eastAsia="宋体"/>
          <w:color w:val="000000"/>
          <w:sz w:val="22"/>
        </w:rPr>
        <w:fldChar w:fldCharType="end"/>
      </w:r>
    </w:p>
    <w:p w14:paraId="68E78AC5">
      <w:pPr>
        <w:pStyle w:val="164"/>
        <w:tabs>
          <w:tab w:val="right" w:leader="dot" w:pos="9014"/>
        </w:tabs>
        <w:spacing w:after="40" w:line="320" w:lineRule="exact"/>
        <w:ind w:left="369"/>
      </w:pPr>
      <w:r>
        <w:fldChar w:fldCharType="begin"/>
      </w:r>
      <w:r>
        <w:instrText xml:space="preserve"> HYPERLINK \l "heading_38" </w:instrText>
      </w:r>
      <w:r>
        <w:fldChar w:fldCharType="separate"/>
      </w:r>
      <w:r>
        <w:rPr>
          <w:rFonts w:ascii="Times New Roman" w:hAnsi="Times New Roman" w:eastAsia="宋体"/>
          <w:b w:val="0"/>
          <w:color w:val="000000"/>
          <w:sz w:val="22"/>
        </w:rPr>
        <w:t>6.1 后量子迁移评估与配置定位</w:t>
      </w:r>
      <w:r>
        <w:rPr>
          <w:rFonts w:ascii="Times New Roman" w:hAnsi="Times New Roman" w:eastAsia="宋体"/>
          <w:b w:val="0"/>
          <w:color w:val="000000"/>
          <w:sz w:val="22"/>
        </w:rPr>
        <w:fldChar w:fldCharType="end"/>
      </w:r>
      <w:r>
        <w:rPr>
          <w:rFonts w:ascii="Times New Roman" w:hAnsi="Times New Roman" w:eastAsia="宋体"/>
          <w:color w:val="000000"/>
          <w:sz w:val="22"/>
        </w:rPr>
        <w:tab/>
      </w:r>
      <w:r>
        <w:fldChar w:fldCharType="begin"/>
      </w:r>
      <w:r>
        <w:instrText xml:space="preserve">PAGEREF heading_38 \h</w:instrText>
      </w:r>
      <w:r>
        <w:fldChar w:fldCharType="separate"/>
      </w:r>
      <w:r>
        <w:rPr>
          <w:rFonts w:ascii="Times New Roman" w:hAnsi="Times New Roman" w:eastAsia="宋体"/>
          <w:color w:val="000000"/>
          <w:sz w:val="22"/>
        </w:rPr>
        <w:t>18</w:t>
      </w:r>
      <w:r>
        <w:rPr>
          <w:rFonts w:ascii="Times New Roman" w:hAnsi="Times New Roman" w:eastAsia="宋体"/>
          <w:color w:val="000000"/>
          <w:sz w:val="22"/>
        </w:rPr>
        <w:fldChar w:fldCharType="end"/>
      </w:r>
    </w:p>
    <w:p w14:paraId="32D4228A">
      <w:pPr>
        <w:pStyle w:val="164"/>
        <w:tabs>
          <w:tab w:val="right" w:leader="dot" w:pos="9014"/>
        </w:tabs>
        <w:spacing w:after="40" w:line="320" w:lineRule="exact"/>
        <w:ind w:left="369"/>
      </w:pPr>
      <w:r>
        <w:fldChar w:fldCharType="begin"/>
      </w:r>
      <w:r>
        <w:instrText xml:space="preserve"> HYPERLINK \l "heading_39" </w:instrText>
      </w:r>
      <w:r>
        <w:fldChar w:fldCharType="separate"/>
      </w:r>
      <w:r>
        <w:rPr>
          <w:rFonts w:ascii="Times New Roman" w:hAnsi="Times New Roman" w:eastAsia="宋体"/>
          <w:b w:val="0"/>
          <w:color w:val="000000"/>
          <w:sz w:val="22"/>
        </w:rPr>
        <w:t>6.2 教学实验与算法复核</w:t>
      </w:r>
      <w:r>
        <w:rPr>
          <w:rFonts w:ascii="Times New Roman" w:hAnsi="Times New Roman" w:eastAsia="宋体"/>
          <w:b w:val="0"/>
          <w:color w:val="000000"/>
          <w:sz w:val="22"/>
        </w:rPr>
        <w:fldChar w:fldCharType="end"/>
      </w:r>
      <w:r>
        <w:rPr>
          <w:rFonts w:ascii="Times New Roman" w:hAnsi="Times New Roman" w:eastAsia="宋体"/>
          <w:color w:val="000000"/>
          <w:sz w:val="22"/>
        </w:rPr>
        <w:tab/>
      </w:r>
      <w:r>
        <w:fldChar w:fldCharType="begin"/>
      </w:r>
      <w:r>
        <w:instrText xml:space="preserve">PAGEREF heading_39 \h</w:instrText>
      </w:r>
      <w:r>
        <w:fldChar w:fldCharType="separate"/>
      </w:r>
      <w:r>
        <w:rPr>
          <w:rFonts w:ascii="Times New Roman" w:hAnsi="Times New Roman" w:eastAsia="宋体"/>
          <w:color w:val="000000"/>
          <w:sz w:val="22"/>
        </w:rPr>
        <w:t>18</w:t>
      </w:r>
      <w:r>
        <w:rPr>
          <w:rFonts w:ascii="Times New Roman" w:hAnsi="Times New Roman" w:eastAsia="宋体"/>
          <w:color w:val="000000"/>
          <w:sz w:val="22"/>
        </w:rPr>
        <w:fldChar w:fldCharType="end"/>
      </w:r>
    </w:p>
    <w:p w14:paraId="73BC5790">
      <w:pPr>
        <w:pStyle w:val="164"/>
        <w:tabs>
          <w:tab w:val="right" w:leader="dot" w:pos="9014"/>
        </w:tabs>
        <w:spacing w:after="40" w:line="320" w:lineRule="exact"/>
        <w:ind w:left="369"/>
      </w:pPr>
      <w:r>
        <w:fldChar w:fldCharType="begin"/>
      </w:r>
      <w:r>
        <w:instrText xml:space="preserve"> HYPERLINK \l "heading_40" </w:instrText>
      </w:r>
      <w:r>
        <w:fldChar w:fldCharType="separate"/>
      </w:r>
      <w:r>
        <w:rPr>
          <w:rFonts w:ascii="Times New Roman" w:hAnsi="Times New Roman" w:eastAsia="宋体"/>
          <w:b w:val="0"/>
          <w:color w:val="000000"/>
          <w:sz w:val="22"/>
        </w:rPr>
        <w:t>6.3 当前限制与适用边界</w:t>
      </w:r>
      <w:r>
        <w:rPr>
          <w:rFonts w:ascii="Times New Roman" w:hAnsi="Times New Roman" w:eastAsia="宋体"/>
          <w:b w:val="0"/>
          <w:color w:val="000000"/>
          <w:sz w:val="22"/>
        </w:rPr>
        <w:fldChar w:fldCharType="end"/>
      </w:r>
      <w:r>
        <w:rPr>
          <w:rFonts w:ascii="Times New Roman" w:hAnsi="Times New Roman" w:eastAsia="宋体"/>
          <w:color w:val="000000"/>
          <w:sz w:val="22"/>
        </w:rPr>
        <w:tab/>
      </w:r>
      <w:r>
        <w:fldChar w:fldCharType="begin"/>
      </w:r>
      <w:r>
        <w:instrText xml:space="preserve">PAGEREF heading_40 \h</w:instrText>
      </w:r>
      <w:r>
        <w:fldChar w:fldCharType="separate"/>
      </w:r>
      <w:r>
        <w:rPr>
          <w:rFonts w:ascii="Times New Roman" w:hAnsi="Times New Roman" w:eastAsia="宋体"/>
          <w:color w:val="000000"/>
          <w:sz w:val="22"/>
        </w:rPr>
        <w:t>18</w:t>
      </w:r>
      <w:r>
        <w:rPr>
          <w:rFonts w:ascii="Times New Roman" w:hAnsi="Times New Roman" w:eastAsia="宋体"/>
          <w:color w:val="000000"/>
          <w:sz w:val="22"/>
        </w:rPr>
        <w:fldChar w:fldCharType="end"/>
      </w:r>
    </w:p>
    <w:p w14:paraId="71B8CD06">
      <w:pPr>
        <w:pStyle w:val="164"/>
        <w:tabs>
          <w:tab w:val="right" w:leader="dot" w:pos="9014"/>
        </w:tabs>
        <w:spacing w:after="40" w:line="320" w:lineRule="exact"/>
        <w:ind w:left="369"/>
      </w:pPr>
      <w:r>
        <w:fldChar w:fldCharType="begin"/>
      </w:r>
      <w:r>
        <w:instrText xml:space="preserve"> HYPERLINK \l "heading_41" </w:instrText>
      </w:r>
      <w:r>
        <w:fldChar w:fldCharType="separate"/>
      </w:r>
      <w:r>
        <w:rPr>
          <w:rFonts w:ascii="Times New Roman" w:hAnsi="Times New Roman" w:eastAsia="宋体"/>
          <w:b w:val="0"/>
          <w:color w:val="000000"/>
          <w:sz w:val="22"/>
        </w:rPr>
        <w:t>6.4 标准登记与后续完善</w:t>
      </w:r>
      <w:r>
        <w:rPr>
          <w:rFonts w:ascii="Times New Roman" w:hAnsi="Times New Roman" w:eastAsia="宋体"/>
          <w:b w:val="0"/>
          <w:color w:val="000000"/>
          <w:sz w:val="22"/>
        </w:rPr>
        <w:fldChar w:fldCharType="end"/>
      </w:r>
      <w:r>
        <w:rPr>
          <w:rFonts w:ascii="Times New Roman" w:hAnsi="Times New Roman" w:eastAsia="宋体"/>
          <w:color w:val="000000"/>
          <w:sz w:val="22"/>
        </w:rPr>
        <w:tab/>
      </w:r>
      <w:r>
        <w:fldChar w:fldCharType="begin"/>
      </w:r>
      <w:r>
        <w:instrText xml:space="preserve">PAGEREF heading_41 \h</w:instrText>
      </w:r>
      <w:r>
        <w:fldChar w:fldCharType="separate"/>
      </w:r>
      <w:r>
        <w:rPr>
          <w:rFonts w:ascii="Times New Roman" w:hAnsi="Times New Roman" w:eastAsia="宋体"/>
          <w:color w:val="000000"/>
          <w:sz w:val="22"/>
        </w:rPr>
        <w:t>18</w:t>
      </w:r>
      <w:r>
        <w:rPr>
          <w:rFonts w:ascii="Times New Roman" w:hAnsi="Times New Roman" w:eastAsia="宋体"/>
          <w:color w:val="000000"/>
          <w:sz w:val="22"/>
        </w:rPr>
        <w:fldChar w:fldCharType="end"/>
      </w:r>
    </w:p>
    <w:p w14:paraId="5E881682">
      <w:pPr>
        <w:pStyle w:val="164"/>
        <w:tabs>
          <w:tab w:val="right" w:leader="dot" w:pos="9014"/>
        </w:tabs>
        <w:spacing w:after="40" w:line="320" w:lineRule="exact"/>
        <w:ind w:left="0"/>
      </w:pPr>
      <w:r>
        <w:fldChar w:fldCharType="begin"/>
      </w:r>
      <w:r>
        <w:instrText xml:space="preserve"> HYPERLINK \l "heading_42" </w:instrText>
      </w:r>
      <w:r>
        <w:fldChar w:fldCharType="separate"/>
      </w:r>
      <w:r>
        <w:rPr>
          <w:rFonts w:ascii="Times New Roman" w:hAnsi="Times New Roman" w:eastAsia="宋体"/>
          <w:b/>
          <w:color w:val="000000"/>
          <w:sz w:val="22"/>
        </w:rPr>
        <w:t>7 总结</w:t>
      </w:r>
      <w:r>
        <w:rPr>
          <w:rFonts w:ascii="Times New Roman" w:hAnsi="Times New Roman" w:eastAsia="宋体"/>
          <w:b/>
          <w:color w:val="000000"/>
          <w:sz w:val="22"/>
        </w:rPr>
        <w:fldChar w:fldCharType="end"/>
      </w:r>
      <w:r>
        <w:rPr>
          <w:rFonts w:ascii="Times New Roman" w:hAnsi="Times New Roman" w:eastAsia="宋体"/>
          <w:color w:val="000000"/>
          <w:sz w:val="22"/>
        </w:rPr>
        <w:tab/>
      </w:r>
      <w:r>
        <w:fldChar w:fldCharType="begin"/>
      </w:r>
      <w:r>
        <w:instrText xml:space="preserve">PAGEREF heading_42 \h</w:instrText>
      </w:r>
      <w:r>
        <w:fldChar w:fldCharType="separate"/>
      </w:r>
      <w:r>
        <w:rPr>
          <w:rFonts w:ascii="Times New Roman" w:hAnsi="Times New Roman" w:eastAsia="宋体"/>
          <w:color w:val="000000"/>
          <w:sz w:val="22"/>
        </w:rPr>
        <w:t>20</w:t>
      </w:r>
      <w:r>
        <w:rPr>
          <w:rFonts w:ascii="Times New Roman" w:hAnsi="Times New Roman" w:eastAsia="宋体"/>
          <w:color w:val="000000"/>
          <w:sz w:val="22"/>
        </w:rPr>
        <w:fldChar w:fldCharType="end"/>
      </w:r>
    </w:p>
    <w:p w14:paraId="5B5E5A51">
      <w:pPr>
        <w:pStyle w:val="164"/>
        <w:tabs>
          <w:tab w:val="right" w:leader="dot" w:pos="9014"/>
        </w:tabs>
        <w:spacing w:after="40" w:line="320" w:lineRule="exact"/>
        <w:ind w:left="0"/>
      </w:pPr>
      <w:r>
        <w:fldChar w:fldCharType="begin"/>
      </w:r>
      <w:r>
        <w:instrText xml:space="preserve"> HYPERLINK \l "heading_43" </w:instrText>
      </w:r>
      <w:r>
        <w:fldChar w:fldCharType="separate"/>
      </w:r>
      <w:r>
        <w:rPr>
          <w:rFonts w:ascii="Times New Roman" w:hAnsi="Times New Roman" w:eastAsia="宋体"/>
          <w:b/>
          <w:color w:val="000000"/>
          <w:sz w:val="22"/>
        </w:rPr>
        <w:t>参考文献</w:t>
      </w:r>
      <w:r>
        <w:rPr>
          <w:rFonts w:ascii="Times New Roman" w:hAnsi="Times New Roman" w:eastAsia="宋体"/>
          <w:b/>
          <w:color w:val="000000"/>
          <w:sz w:val="22"/>
        </w:rPr>
        <w:fldChar w:fldCharType="end"/>
      </w:r>
      <w:r>
        <w:rPr>
          <w:rFonts w:ascii="Times New Roman" w:hAnsi="Times New Roman" w:eastAsia="宋体"/>
          <w:color w:val="000000"/>
          <w:sz w:val="22"/>
        </w:rPr>
        <w:tab/>
      </w:r>
      <w:r>
        <w:fldChar w:fldCharType="begin"/>
      </w:r>
      <w:r>
        <w:instrText xml:space="preserve">PAGEREF heading_43 \h</w:instrText>
      </w:r>
      <w:r>
        <w:fldChar w:fldCharType="separate"/>
      </w:r>
      <w:r>
        <w:rPr>
          <w:rFonts w:ascii="Times New Roman" w:hAnsi="Times New Roman" w:eastAsia="宋体"/>
          <w:color w:val="000000"/>
          <w:sz w:val="22"/>
        </w:rPr>
        <w:t>21</w:t>
      </w:r>
      <w:r>
        <w:rPr>
          <w:rFonts w:ascii="Times New Roman" w:hAnsi="Times New Roman" w:eastAsia="宋体"/>
          <w:color w:val="000000"/>
          <w:sz w:val="22"/>
        </w:rPr>
        <w:fldChar w:fldCharType="end"/>
      </w:r>
    </w:p>
    <w:p w14:paraId="70B62B3A">
      <w:pPr>
        <w:sectPr>
          <w:headerReference r:id="rId5" w:type="default"/>
          <w:footerReference r:id="rId6" w:type="default"/>
          <w:pgSz w:w="11906" w:h="16838"/>
          <w:pgMar w:top="1247" w:right="1417" w:bottom="1191" w:left="1417" w:header="454" w:footer="510" w:gutter="0"/>
          <w:pgNumType w:fmt="upperRoman" w:start="1"/>
          <w:cols w:space="720" w:num="1"/>
          <w:docGrid w:linePitch="360" w:charSpace="0"/>
        </w:sectPr>
      </w:pPr>
    </w:p>
    <w:p w14:paraId="0F678459">
      <w:pPr>
        <w:pStyle w:val="3"/>
        <w:pageBreakBefore w:val="0"/>
      </w:pPr>
      <w:bookmarkStart w:id="0" w:name="heading_10"/>
      <w:r>
        <w:rPr>
          <w:rFonts w:ascii="Times New Roman" w:hAnsi="Times New Roman" w:eastAsia="黑体"/>
          <w:b/>
          <w:color w:val="000000"/>
        </w:rPr>
        <w:t>1 作品背景及意义</w:t>
      </w:r>
      <w:bookmarkEnd w:id="0"/>
    </w:p>
    <w:p w14:paraId="75893CA6">
      <w:pPr>
        <w:pStyle w:val="4"/>
      </w:pPr>
      <w:bookmarkStart w:id="1" w:name="heading_11"/>
      <w:r>
        <w:rPr>
          <w:rFonts w:ascii="Times New Roman" w:hAnsi="Times New Roman" w:eastAsia="黑体"/>
          <w:b/>
          <w:color w:val="000000"/>
        </w:rPr>
        <w:t>1.1 后量子迁移中的检测需求</w:t>
      </w:r>
      <w:bookmarkEnd w:id="1"/>
    </w:p>
    <w:p w14:paraId="15DFEFD1">
      <w:pPr>
        <w:jc w:val="both"/>
      </w:pPr>
      <w:r>
        <w:rPr>
          <w:rFonts w:ascii="Times New Roman" w:hAnsi="Times New Roman" w:eastAsia="宋体"/>
          <w:color w:val="000000"/>
        </w:rPr>
        <w:t>判断一条连接是否使用了后量子密码，既要看实际协商的密钥交换算法，也要看用于身份认证的证书和签名。两者的迁移进度可能不同：服务器可以采用ML-KEM混合密钥交换，同时继续使用RSA或ECDSA证书。如果只依据其中一项给出整体结论，就容易把局部升级写成完整的后量子化。</w:t>
      </w:r>
    </w:p>
    <w:p w14:paraId="6A24220B">
      <w:pPr>
        <w:jc w:val="both"/>
      </w:pPr>
      <w:r>
        <w:rPr>
          <w:rFonts w:ascii="Times New Roman" w:hAnsi="Times New Roman" w:eastAsia="宋体"/>
          <w:color w:val="000000"/>
        </w:rPr>
        <w:t>本作品面向现有网络系统向后量子密码迁移时的检测与复核需求，重点回答三类问题：本次连接实际选择了什么算法，算法标识与报文参数是否一致，以及服务器是否真正使用相应密钥完成了握手签名和密钥确认。检测结果同时保留证据来源与信任范围，供配置排查、迁移评估和实验教学使用。</w:t>
      </w:r>
    </w:p>
    <w:p w14:paraId="54EC642B">
      <w:pPr>
        <w:jc w:val="both"/>
      </w:pPr>
      <w:r>
        <w:rPr>
          <w:rFonts w:ascii="Times New Roman" w:hAnsi="Times New Roman" w:eastAsia="宋体"/>
          <w:color w:val="000000"/>
        </w:rPr>
        <w:t>仅查看算法名称不足以完成上述判断。ClientHello中的候选组不代表服务器已选用该组；OID与参数长度一致也不代表签名已通过；另一次主动连接的验证结果不能替代原抓包会话的事实。因此，平台把报文观察、参数核对、密码学校验和身份信任检查分别记录，并建立从结论返回证据的复核路径。</w:t>
      </w:r>
    </w:p>
    <w:p w14:paraId="3B5BA000">
      <w:pPr>
        <w:pStyle w:val="4"/>
      </w:pPr>
      <w:bookmarkStart w:id="2" w:name="heading_12"/>
      <w:r>
        <w:rPr>
          <w:rFonts w:ascii="Times New Roman" w:hAnsi="Times New Roman" w:eastAsia="黑体"/>
          <w:b/>
          <w:color w:val="000000"/>
        </w:rPr>
        <w:t>1.2 标准与相关技术现状</w:t>
      </w:r>
      <w:bookmarkEnd w:id="2"/>
    </w:p>
    <w:p w14:paraId="4D88AC20">
      <w:pPr>
        <w:jc w:val="both"/>
      </w:pPr>
      <w:r>
        <w:rPr>
          <w:rFonts w:ascii="Times New Roman" w:hAnsi="Times New Roman" w:eastAsia="宋体"/>
          <w:color w:val="000000"/>
        </w:rPr>
        <w:t>后量子密码标准为算法参数和运算接口提供了核对依据。NIST发布的FIPS203规定ML-KEM密钥封装机制，FIPS204规定ML-DSA数字签名，FIPS205规定无状态哈希签名SLH-DSA</w:t>
      </w:r>
      <w:r>
        <w:rPr>
          <w:rFonts w:ascii="Times New Roman" w:hAnsi="Times New Roman" w:eastAsia="宋体"/>
          <w:color w:val="000000"/>
          <w:vertAlign w:val="superscript"/>
        </w:rPr>
        <w:t>[1-3]</w:t>
      </w:r>
      <w:r>
        <w:rPr>
          <w:rFonts w:ascii="Times New Roman" w:hAnsi="Times New Roman" w:eastAsia="宋体"/>
          <w:color w:val="000000"/>
        </w:rPr>
        <w:t>。密钥封装与数字签名承担不同任务，前者用于建立共享秘密，后者用于签名与验签；检测时应分别识别其在密钥交换和证书认证中的使用情况。</w:t>
      </w:r>
    </w:p>
    <w:p w14:paraId="0A9D1DBF">
      <w:pPr>
        <w:jc w:val="both"/>
      </w:pPr>
      <w:r>
        <w:rPr>
          <w:rFonts w:ascii="Times New Roman" w:hAnsi="Times New Roman" w:eastAsia="宋体"/>
          <w:color w:val="000000"/>
        </w:rPr>
        <w:t>TLS1.3的握手转录、HKDF密钥派生、CertificateVerify与Finished计算由RFC8446规定，证书信任路径检查还涉及X.509证书与RFC5280</w:t>
      </w:r>
      <w:r>
        <w:rPr>
          <w:rFonts w:ascii="Times New Roman" w:hAnsi="Times New Roman" w:eastAsia="宋体"/>
          <w:color w:val="000000"/>
          <w:vertAlign w:val="superscript"/>
        </w:rPr>
        <w:t>[4-5]</w:t>
      </w:r>
      <w:r>
        <w:rPr>
          <w:rFonts w:ascii="Times New Roman" w:hAnsi="Times New Roman" w:eastAsia="宋体"/>
          <w:color w:val="000000"/>
        </w:rPr>
        <w:t>。IANA登记表给出协商组等协议标识</w:t>
      </w:r>
      <w:r>
        <w:rPr>
          <w:rFonts w:ascii="Times New Roman" w:hAnsi="Times New Roman" w:eastAsia="宋体"/>
          <w:color w:val="000000"/>
          <w:vertAlign w:val="superscript"/>
        </w:rPr>
        <w:t>[6]</w:t>
      </w:r>
      <w:r>
        <w:rPr>
          <w:rFonts w:ascii="Times New Roman" w:hAnsi="Times New Roman" w:eastAsia="宋体"/>
          <w:color w:val="000000"/>
        </w:rPr>
        <w:t>。本作品据此核对算法名称、组编号、参数长度与签名输入，避免把格式识别和完整身份验证合并为一个结论。</w:t>
      </w:r>
    </w:p>
    <w:p w14:paraId="2973DA42">
      <w:pPr>
        <w:jc w:val="both"/>
      </w:pPr>
      <w:r>
        <w:rPr>
          <w:rFonts w:ascii="Times New Roman" w:hAnsi="Times New Roman" w:eastAsia="宋体"/>
          <w:color w:val="000000"/>
        </w:rPr>
        <w:t>在工程实现中，抓包工具可以提供实际通信证据，密码库负责执行密钥交换和验签，TLS实现负责建立真实实验通道。本作品结合报文解析、pqcrypto与cryptography算法接口以及OpenSSL实验服务，把这些能力组织为同一检测流程。作品的技术特色体现在检测证据关联、分层验证和负向对照，不以提出新的密码算法为目标。</w:t>
      </w:r>
    </w:p>
    <w:p w14:paraId="21E8DBDA">
      <w:pPr>
        <w:pStyle w:val="4"/>
      </w:pPr>
      <w:bookmarkStart w:id="3" w:name="heading_13"/>
      <w:r>
        <w:rPr>
          <w:rFonts w:ascii="Times New Roman" w:hAnsi="Times New Roman" w:eastAsia="黑体"/>
          <w:b/>
          <w:color w:val="000000"/>
        </w:rPr>
        <w:t>1.3 研究目标与作品特色</w:t>
      </w:r>
      <w:bookmarkEnd w:id="3"/>
    </w:p>
    <w:p w14:paraId="4939A85C">
      <w:pPr>
        <w:jc w:val="both"/>
      </w:pPr>
      <w:r>
        <w:rPr>
          <w:rFonts w:ascii="Times New Roman" w:hAnsi="Times New Roman" w:eastAsia="宋体"/>
          <w:color w:val="000000"/>
        </w:rPr>
        <w:t>第一，区分密钥交换与身份认证的迁移状态。对服务器实际选择的group、证书公钥算法和证书签名算法分别取证，使“部分抗量子”能够定位到尚未迁移的层次。</w:t>
      </w:r>
    </w:p>
    <w:p w14:paraId="5E4ADEA0">
      <w:pPr>
        <w:jc w:val="both"/>
      </w:pPr>
      <w:r>
        <w:rPr>
          <w:rFonts w:ascii="Times New Roman" w:hAnsi="Times New Roman" w:eastAsia="宋体"/>
          <w:color w:val="000000"/>
        </w:rPr>
        <w:t>第二，以真实密钥材料执行主动深度检测。平台生成ML-KEM与ECDHE临时密钥，恢复混合共享秘密，派生握手密钥并解密服务器握手飞行，再校验Finished与CertificateVerify，将仅观察到算法标识的结论推进为服务器侧握手的密码学验证。</w:t>
      </w:r>
    </w:p>
    <w:p w14:paraId="438D1E77">
      <w:pPr>
        <w:jc w:val="both"/>
      </w:pPr>
      <w:r>
        <w:rPr>
          <w:rFonts w:ascii="Times New Roman" w:hAnsi="Times New Roman" w:eastAsia="宋体"/>
          <w:color w:val="000000"/>
        </w:rPr>
        <w:t>第三，关联被动抓包与主动复测，同时保留连接来源。原会话证据和新连接结果并列展示，证书是否来自同次握手单独标注，以减少跨连接证据混用。</w:t>
      </w:r>
    </w:p>
    <w:p w14:paraId="0259F9BC">
      <w:pPr>
        <w:jc w:val="both"/>
      </w:pPr>
      <w:r>
        <w:rPr>
          <w:rFonts w:ascii="Times New Roman" w:hAnsi="Times New Roman" w:eastAsia="宋体"/>
          <w:color w:val="000000"/>
        </w:rPr>
        <w:t>第四，以可控实验站和算法计算详情支持复核。真实TLS/HTTPS通信、TCP/UDP签名消息以及篡改、重放和错误身份对照相互补充；独立算法演示展示可追溯的实际计算，便于解释检测结果。</w:t>
      </w:r>
    </w:p>
    <w:p w14:paraId="60F89D37">
      <w:pPr>
        <w:pStyle w:val="3"/>
      </w:pPr>
      <w:bookmarkStart w:id="4" w:name="heading_14"/>
      <w:r>
        <w:rPr>
          <w:rFonts w:ascii="Times New Roman" w:hAnsi="Times New Roman" w:eastAsia="黑体"/>
          <w:b/>
          <w:color w:val="000000"/>
        </w:rPr>
        <w:t>2 作品功能与总体设计</w:t>
      </w:r>
      <w:bookmarkEnd w:id="4"/>
    </w:p>
    <w:p w14:paraId="159073D2">
      <w:pPr>
        <w:pStyle w:val="4"/>
      </w:pPr>
      <w:bookmarkStart w:id="5" w:name="heading_15"/>
      <w:r>
        <w:rPr>
          <w:rFonts w:ascii="Times New Roman" w:hAnsi="Times New Roman" w:eastAsia="黑体"/>
          <w:b/>
          <w:color w:val="000000"/>
        </w:rPr>
        <w:t>2.1 功能组成与实现范围</w:t>
      </w:r>
      <w:bookmarkEnd w:id="5"/>
    </w:p>
    <w:p w14:paraId="551E92F5">
      <w:pPr>
        <w:jc w:val="both"/>
      </w:pPr>
      <w:r>
        <w:rPr>
          <w:rFonts w:ascii="Times New Roman" w:hAnsi="Times New Roman" w:eastAsia="宋体"/>
          <w:color w:val="000000"/>
        </w:rPr>
        <w:t>平台采用Python与PySide6构建桌面界面，协议解析、主动检测、算法演示和实验服务分别由独立模块承担。使用时可以从一份已有抓包开始，找到关注的会话、检查协商字段，再对对应目标发起主动复测；也可以直接输入域名或地址进行检测。这样，报文中观察到的现象和新连接的验证结果能够相互参照。</w:t>
      </w:r>
    </w:p>
    <w:p w14:paraId="375A0876">
      <w:pPr>
        <w:jc w:val="both"/>
      </w:pPr>
      <w:r>
        <w:rPr>
          <w:rFonts w:ascii="Times New Roman" w:hAnsi="Times New Roman" w:eastAsia="宋体"/>
          <w:color w:val="000000"/>
        </w:rPr>
        <w:t>目前，协议分析支持pcap/pcapng文件导入和现场抓包，可展示TLS、TLCP、SSH、CSSH的握手信息，以及IKEv1/IKEv2、ESP、AH和NAT-T的可见字段。其中，后量子密钥交换与服务器握手的主动验证主要围绕TLS1.3实现。其他协议的字段解析已经接入，但验证能力应按具体协议和可见报文说明。</w:t>
      </w:r>
    </w:p>
    <w:p w14:paraId="3F595BC8">
      <w:pPr>
        <w:jc w:val="both"/>
      </w:pPr>
      <w:r>
        <w:rPr>
          <w:rFonts w:ascii="Times New Roman" w:hAnsi="Times New Roman" w:eastAsia="宋体"/>
          <w:color w:val="000000"/>
        </w:rPr>
        <w:t>算法部分支持ML-KEM密钥封装、ECDH与ML-KEM混合加密、后量子数字签名及经典算法与后量子算法组成的混合签名。证书分析和本地文件识别可补充查看算法标识与参数；编码、摘要和常见密码运算工具则用于整理输入和核对数据。</w:t>
      </w:r>
    </w:p>
    <w:p w14:paraId="04075B95">
      <w:pPr>
        <w:pStyle w:val="15"/>
        <w:keepNext/>
        <w:spacing w:before="100" w:after="120"/>
        <w:ind w:firstLine="0"/>
        <w:jc w:val="center"/>
      </w:pPr>
      <w:r>
        <w:rPr>
          <w:rFonts w:ascii="Times New Roman" w:hAnsi="Times New Roman" w:eastAsia="宋体"/>
          <w:color w:val="000000"/>
        </w:rPr>
        <w:t>表2-1 功能组成与验证范围</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587"/>
        <w:gridCol w:w="2324"/>
        <w:gridCol w:w="5159"/>
      </w:tblGrid>
      <w:tr w14:paraId="78DCF9F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1587" w:type="dxa"/>
            <w:shd w:val="clear" w:color="auto" w:fill="E8EDF2"/>
            <w:tcMar>
              <w:top w:w="90" w:type="dxa"/>
              <w:left w:w="100" w:type="dxa"/>
              <w:bottom w:w="90" w:type="dxa"/>
              <w:right w:w="100" w:type="dxa"/>
            </w:tcMar>
            <w:vAlign w:val="center"/>
          </w:tcPr>
          <w:p w14:paraId="69A91D3C">
            <w:pPr>
              <w:keepNext/>
              <w:spacing w:before="0" w:after="0" w:line="300" w:lineRule="exact"/>
              <w:ind w:firstLine="0"/>
              <w:jc w:val="center"/>
            </w:pPr>
            <w:r>
              <w:rPr>
                <w:rFonts w:ascii="Times New Roman" w:hAnsi="Times New Roman" w:eastAsia="宋体"/>
                <w:b/>
                <w:color w:val="000000"/>
                <w:sz w:val="21"/>
              </w:rPr>
              <w:t>功能模块</w:t>
            </w:r>
          </w:p>
        </w:tc>
        <w:tc>
          <w:tcPr>
            <w:tcW w:w="2324" w:type="dxa"/>
            <w:shd w:val="clear" w:color="auto" w:fill="E8EDF2"/>
            <w:tcMar>
              <w:top w:w="90" w:type="dxa"/>
              <w:left w:w="100" w:type="dxa"/>
              <w:bottom w:w="90" w:type="dxa"/>
              <w:right w:w="100" w:type="dxa"/>
            </w:tcMar>
            <w:vAlign w:val="center"/>
          </w:tcPr>
          <w:p w14:paraId="5DE29370">
            <w:pPr>
              <w:keepNext/>
              <w:spacing w:before="0" w:after="0" w:line="300" w:lineRule="exact"/>
              <w:ind w:firstLine="0"/>
              <w:jc w:val="center"/>
            </w:pPr>
            <w:r>
              <w:rPr>
                <w:rFonts w:ascii="Times New Roman" w:hAnsi="Times New Roman" w:eastAsia="宋体"/>
                <w:b/>
                <w:color w:val="000000"/>
                <w:sz w:val="21"/>
              </w:rPr>
              <w:t>主要任务</w:t>
            </w:r>
          </w:p>
        </w:tc>
        <w:tc>
          <w:tcPr>
            <w:tcW w:w="5159" w:type="dxa"/>
            <w:shd w:val="clear" w:color="auto" w:fill="E8EDF2"/>
            <w:tcMar>
              <w:top w:w="90" w:type="dxa"/>
              <w:left w:w="100" w:type="dxa"/>
              <w:bottom w:w="90" w:type="dxa"/>
              <w:right w:w="100" w:type="dxa"/>
            </w:tcMar>
            <w:vAlign w:val="center"/>
          </w:tcPr>
          <w:p w14:paraId="2BAF3083">
            <w:pPr>
              <w:keepNext/>
              <w:spacing w:before="0" w:after="0" w:line="300" w:lineRule="exact"/>
              <w:ind w:firstLine="0"/>
              <w:jc w:val="center"/>
            </w:pPr>
            <w:r>
              <w:rPr>
                <w:rFonts w:ascii="Times New Roman" w:hAnsi="Times New Roman" w:eastAsia="宋体"/>
                <w:b/>
                <w:color w:val="000000"/>
                <w:sz w:val="21"/>
              </w:rPr>
              <w:t>当前验证范围</w:t>
            </w:r>
          </w:p>
        </w:tc>
      </w:tr>
      <w:tr w14:paraId="54D7A08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587" w:type="dxa"/>
            <w:tcMar>
              <w:top w:w="90" w:type="dxa"/>
              <w:left w:w="100" w:type="dxa"/>
              <w:bottom w:w="90" w:type="dxa"/>
              <w:right w:w="100" w:type="dxa"/>
            </w:tcMar>
            <w:vAlign w:val="center"/>
          </w:tcPr>
          <w:p w14:paraId="206029C5">
            <w:pPr>
              <w:keepNext/>
              <w:spacing w:before="0" w:after="0" w:line="300" w:lineRule="exact"/>
              <w:ind w:firstLine="0"/>
              <w:jc w:val="center"/>
            </w:pPr>
            <w:r>
              <w:rPr>
                <w:rFonts w:ascii="Times New Roman" w:hAnsi="Times New Roman" w:eastAsia="宋体"/>
                <w:b w:val="0"/>
                <w:color w:val="000000"/>
                <w:sz w:val="21"/>
              </w:rPr>
              <w:t>协议分析</w:t>
            </w:r>
          </w:p>
        </w:tc>
        <w:tc>
          <w:tcPr>
            <w:tcW w:w="2324" w:type="dxa"/>
            <w:tcMar>
              <w:top w:w="90" w:type="dxa"/>
              <w:left w:w="100" w:type="dxa"/>
              <w:bottom w:w="90" w:type="dxa"/>
              <w:right w:w="100" w:type="dxa"/>
            </w:tcMar>
            <w:vAlign w:val="center"/>
          </w:tcPr>
          <w:p w14:paraId="1829A4F9">
            <w:pPr>
              <w:keepNext/>
              <w:spacing w:before="0" w:after="0" w:line="300" w:lineRule="exact"/>
              <w:ind w:firstLine="0"/>
              <w:jc w:val="left"/>
            </w:pPr>
            <w:r>
              <w:rPr>
                <w:rFonts w:ascii="Times New Roman" w:hAnsi="Times New Roman" w:eastAsia="宋体"/>
                <w:b w:val="0"/>
                <w:color w:val="000000"/>
                <w:sz w:val="21"/>
              </w:rPr>
              <w:t>导入抓包、现场抓包、会话重组与字段展示</w:t>
            </w:r>
          </w:p>
        </w:tc>
        <w:tc>
          <w:tcPr>
            <w:tcW w:w="5159" w:type="dxa"/>
            <w:tcMar>
              <w:top w:w="90" w:type="dxa"/>
              <w:left w:w="100" w:type="dxa"/>
              <w:bottom w:w="90" w:type="dxa"/>
              <w:right w:w="100" w:type="dxa"/>
            </w:tcMar>
            <w:vAlign w:val="center"/>
          </w:tcPr>
          <w:p w14:paraId="7E0A9025">
            <w:pPr>
              <w:keepNext/>
              <w:spacing w:before="0" w:after="0" w:line="300" w:lineRule="exact"/>
              <w:ind w:firstLine="0"/>
              <w:jc w:val="left"/>
            </w:pPr>
            <w:r>
              <w:rPr>
                <w:rFonts w:ascii="Times New Roman" w:hAnsi="Times New Roman" w:eastAsia="宋体"/>
                <w:b w:val="0"/>
                <w:color w:val="000000"/>
                <w:sz w:val="21"/>
              </w:rPr>
              <w:t>TLS、TLCP、SSH、CSSH及IPsec可见字段；被动后量子识别以可观察证据为限</w:t>
            </w:r>
          </w:p>
        </w:tc>
      </w:tr>
      <w:tr w14:paraId="3175763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587" w:type="dxa"/>
            <w:tcMar>
              <w:top w:w="90" w:type="dxa"/>
              <w:left w:w="100" w:type="dxa"/>
              <w:bottom w:w="90" w:type="dxa"/>
              <w:right w:w="100" w:type="dxa"/>
            </w:tcMar>
            <w:vAlign w:val="center"/>
          </w:tcPr>
          <w:p w14:paraId="029E1579">
            <w:pPr>
              <w:keepNext/>
              <w:spacing w:before="0" w:after="0" w:line="300" w:lineRule="exact"/>
              <w:ind w:firstLine="0"/>
              <w:jc w:val="center"/>
            </w:pPr>
            <w:r>
              <w:rPr>
                <w:rFonts w:ascii="Times New Roman" w:hAnsi="Times New Roman" w:eastAsia="宋体"/>
                <w:b w:val="0"/>
                <w:color w:val="000000"/>
                <w:sz w:val="21"/>
              </w:rPr>
              <w:t>主动TLS检测</w:t>
            </w:r>
          </w:p>
        </w:tc>
        <w:tc>
          <w:tcPr>
            <w:tcW w:w="2324" w:type="dxa"/>
            <w:tcMar>
              <w:top w:w="90" w:type="dxa"/>
              <w:left w:w="100" w:type="dxa"/>
              <w:bottom w:w="90" w:type="dxa"/>
              <w:right w:w="100" w:type="dxa"/>
            </w:tcMar>
            <w:vAlign w:val="center"/>
          </w:tcPr>
          <w:p w14:paraId="0A91C900">
            <w:pPr>
              <w:keepNext/>
              <w:spacing w:before="0" w:after="0" w:line="300" w:lineRule="exact"/>
              <w:ind w:firstLine="0"/>
              <w:jc w:val="left"/>
            </w:pPr>
            <w:r>
              <w:rPr>
                <w:rFonts w:ascii="Times New Roman" w:hAnsi="Times New Roman" w:eastAsia="宋体"/>
                <w:b w:val="0"/>
                <w:color w:val="000000"/>
                <w:sz w:val="21"/>
              </w:rPr>
              <w:t>混合组协商、参数核对、握手解密与验签</w:t>
            </w:r>
          </w:p>
        </w:tc>
        <w:tc>
          <w:tcPr>
            <w:tcW w:w="5159" w:type="dxa"/>
            <w:tcMar>
              <w:top w:w="90" w:type="dxa"/>
              <w:left w:w="100" w:type="dxa"/>
              <w:bottom w:w="90" w:type="dxa"/>
              <w:right w:w="100" w:type="dxa"/>
            </w:tcMar>
            <w:vAlign w:val="center"/>
          </w:tcPr>
          <w:p w14:paraId="073D1573">
            <w:pPr>
              <w:keepNext/>
              <w:spacing w:before="0" w:after="0" w:line="300" w:lineRule="exact"/>
              <w:ind w:firstLine="0"/>
              <w:jc w:val="left"/>
            </w:pPr>
            <w:r>
              <w:rPr>
                <w:rFonts w:ascii="Times New Roman" w:hAnsi="Times New Roman" w:eastAsia="宋体"/>
                <w:b w:val="0"/>
                <w:color w:val="000000"/>
                <w:sz w:val="21"/>
              </w:rPr>
              <w:t>TLS1.3服务器侧Finished与CertificateVerify；通用检测器未验证CA信任</w:t>
            </w:r>
          </w:p>
        </w:tc>
      </w:tr>
      <w:tr w14:paraId="1433D37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587" w:type="dxa"/>
            <w:tcMar>
              <w:top w:w="90" w:type="dxa"/>
              <w:left w:w="100" w:type="dxa"/>
              <w:bottom w:w="90" w:type="dxa"/>
              <w:right w:w="100" w:type="dxa"/>
            </w:tcMar>
            <w:vAlign w:val="center"/>
          </w:tcPr>
          <w:p w14:paraId="752F1F39">
            <w:pPr>
              <w:keepNext/>
              <w:spacing w:before="0" w:after="0" w:line="300" w:lineRule="exact"/>
              <w:ind w:firstLine="0"/>
              <w:jc w:val="center"/>
            </w:pPr>
            <w:r>
              <w:rPr>
                <w:rFonts w:ascii="Times New Roman" w:hAnsi="Times New Roman" w:eastAsia="宋体"/>
                <w:b w:val="0"/>
                <w:color w:val="000000"/>
                <w:sz w:val="21"/>
              </w:rPr>
              <w:t>独立算法验证</w:t>
            </w:r>
          </w:p>
        </w:tc>
        <w:tc>
          <w:tcPr>
            <w:tcW w:w="2324" w:type="dxa"/>
            <w:tcMar>
              <w:top w:w="90" w:type="dxa"/>
              <w:left w:w="100" w:type="dxa"/>
              <w:bottom w:w="90" w:type="dxa"/>
              <w:right w:w="100" w:type="dxa"/>
            </w:tcMar>
            <w:vAlign w:val="center"/>
          </w:tcPr>
          <w:p w14:paraId="7B7B0788">
            <w:pPr>
              <w:keepNext/>
              <w:spacing w:before="0" w:after="0" w:line="300" w:lineRule="exact"/>
              <w:ind w:firstLine="0"/>
              <w:jc w:val="left"/>
            </w:pPr>
            <w:r>
              <w:rPr>
                <w:rFonts w:ascii="Times New Roman" w:hAnsi="Times New Roman" w:eastAsia="宋体"/>
                <w:b w:val="0"/>
                <w:color w:val="000000"/>
                <w:sz w:val="21"/>
              </w:rPr>
              <w:t>KEM、混合加密、后量子签名与混合签名</w:t>
            </w:r>
          </w:p>
        </w:tc>
        <w:tc>
          <w:tcPr>
            <w:tcW w:w="5159" w:type="dxa"/>
            <w:tcMar>
              <w:top w:w="90" w:type="dxa"/>
              <w:left w:w="100" w:type="dxa"/>
              <w:bottom w:w="90" w:type="dxa"/>
              <w:right w:w="100" w:type="dxa"/>
            </w:tcMar>
            <w:vAlign w:val="center"/>
          </w:tcPr>
          <w:p w14:paraId="0072F51E">
            <w:pPr>
              <w:keepNext/>
              <w:spacing w:before="0" w:after="0" w:line="300" w:lineRule="exact"/>
              <w:ind w:firstLine="0"/>
              <w:jc w:val="left"/>
            </w:pPr>
            <w:r>
              <w:rPr>
                <w:rFonts w:ascii="Times New Roman" w:hAnsi="Times New Roman" w:eastAsia="宋体"/>
                <w:b w:val="0"/>
                <w:color w:val="000000"/>
                <w:sz w:val="21"/>
              </w:rPr>
              <w:t>实际计算、原生互操作、标准样本和篡改对照；教学格式边界单独说明</w:t>
            </w:r>
          </w:p>
        </w:tc>
      </w:tr>
      <w:tr w14:paraId="23C1D69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587" w:type="dxa"/>
            <w:tcMar>
              <w:top w:w="90" w:type="dxa"/>
              <w:left w:w="100" w:type="dxa"/>
              <w:bottom w:w="90" w:type="dxa"/>
              <w:right w:w="100" w:type="dxa"/>
            </w:tcMar>
            <w:vAlign w:val="center"/>
          </w:tcPr>
          <w:p w14:paraId="0F71A1CA">
            <w:pPr>
              <w:keepNext/>
              <w:spacing w:before="0" w:after="0" w:line="300" w:lineRule="exact"/>
              <w:ind w:firstLine="0"/>
              <w:jc w:val="center"/>
            </w:pPr>
            <w:r>
              <w:rPr>
                <w:rFonts w:ascii="Times New Roman" w:hAnsi="Times New Roman" w:eastAsia="宋体"/>
                <w:b w:val="0"/>
                <w:color w:val="000000"/>
                <w:sz w:val="21"/>
              </w:rPr>
              <w:t>本地实验站</w:t>
            </w:r>
          </w:p>
        </w:tc>
        <w:tc>
          <w:tcPr>
            <w:tcW w:w="2324" w:type="dxa"/>
            <w:tcMar>
              <w:top w:w="90" w:type="dxa"/>
              <w:left w:w="100" w:type="dxa"/>
              <w:bottom w:w="90" w:type="dxa"/>
              <w:right w:w="100" w:type="dxa"/>
            </w:tcMar>
            <w:vAlign w:val="center"/>
          </w:tcPr>
          <w:p w14:paraId="2718FB49">
            <w:pPr>
              <w:keepNext/>
              <w:spacing w:before="0" w:after="0" w:line="300" w:lineRule="exact"/>
              <w:ind w:firstLine="0"/>
              <w:jc w:val="left"/>
            </w:pPr>
            <w:r>
              <w:rPr>
                <w:rFonts w:ascii="Times New Roman" w:hAnsi="Times New Roman" w:eastAsia="宋体"/>
                <w:b w:val="0"/>
                <w:color w:val="000000"/>
                <w:sz w:val="21"/>
              </w:rPr>
              <w:t>启动真实服务并逐项验证</w:t>
            </w:r>
          </w:p>
        </w:tc>
        <w:tc>
          <w:tcPr>
            <w:tcW w:w="5159" w:type="dxa"/>
            <w:tcMar>
              <w:top w:w="90" w:type="dxa"/>
              <w:left w:w="100" w:type="dxa"/>
              <w:bottom w:w="90" w:type="dxa"/>
              <w:right w:w="100" w:type="dxa"/>
            </w:tcMar>
            <w:vAlign w:val="center"/>
          </w:tcPr>
          <w:p w14:paraId="031887ED">
            <w:pPr>
              <w:keepNext/>
              <w:spacing w:before="0" w:after="0" w:line="300" w:lineRule="exact"/>
              <w:ind w:firstLine="0"/>
              <w:jc w:val="left"/>
            </w:pPr>
            <w:r>
              <w:rPr>
                <w:rFonts w:ascii="Times New Roman" w:hAnsi="Times New Roman" w:eastAsia="宋体"/>
                <w:b w:val="0"/>
                <w:color w:val="000000"/>
                <w:sz w:val="21"/>
              </w:rPr>
              <w:t>TLS/HTTPS实验CA身份检查；TCP/UDP固定公钥消息验签</w:t>
            </w:r>
          </w:p>
        </w:tc>
      </w:tr>
      <w:tr w14:paraId="6789995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587" w:type="dxa"/>
            <w:tcMar>
              <w:top w:w="90" w:type="dxa"/>
              <w:left w:w="100" w:type="dxa"/>
              <w:bottom w:w="90" w:type="dxa"/>
              <w:right w:w="100" w:type="dxa"/>
            </w:tcMar>
            <w:vAlign w:val="center"/>
          </w:tcPr>
          <w:p w14:paraId="14C70F8D">
            <w:pPr>
              <w:keepNext/>
              <w:spacing w:before="0" w:after="0" w:line="300" w:lineRule="exact"/>
              <w:ind w:firstLine="0"/>
              <w:jc w:val="center"/>
            </w:pPr>
            <w:r>
              <w:rPr>
                <w:rFonts w:ascii="Times New Roman" w:hAnsi="Times New Roman" w:eastAsia="宋体"/>
                <w:b w:val="0"/>
                <w:color w:val="000000"/>
                <w:sz w:val="21"/>
              </w:rPr>
              <w:t>证据管理</w:t>
            </w:r>
          </w:p>
        </w:tc>
        <w:tc>
          <w:tcPr>
            <w:tcW w:w="2324" w:type="dxa"/>
            <w:tcMar>
              <w:top w:w="90" w:type="dxa"/>
              <w:left w:w="100" w:type="dxa"/>
              <w:bottom w:w="90" w:type="dxa"/>
              <w:right w:w="100" w:type="dxa"/>
            </w:tcMar>
            <w:vAlign w:val="center"/>
          </w:tcPr>
          <w:p w14:paraId="019D0A5B">
            <w:pPr>
              <w:keepNext/>
              <w:spacing w:before="0" w:after="0" w:line="300" w:lineRule="exact"/>
              <w:ind w:firstLine="0"/>
              <w:jc w:val="left"/>
            </w:pPr>
            <w:r>
              <w:rPr>
                <w:rFonts w:ascii="Times New Roman" w:hAnsi="Times New Roman" w:eastAsia="宋体"/>
                <w:b w:val="0"/>
                <w:color w:val="000000"/>
                <w:sz w:val="21"/>
              </w:rPr>
              <w:t>摘要、JSON、详细报文与实验报告</w:t>
            </w:r>
          </w:p>
        </w:tc>
        <w:tc>
          <w:tcPr>
            <w:tcW w:w="5159" w:type="dxa"/>
            <w:tcMar>
              <w:top w:w="90" w:type="dxa"/>
              <w:left w:w="100" w:type="dxa"/>
              <w:bottom w:w="90" w:type="dxa"/>
              <w:right w:w="100" w:type="dxa"/>
            </w:tcMar>
            <w:vAlign w:val="center"/>
          </w:tcPr>
          <w:p w14:paraId="5CAB5E0B">
            <w:pPr>
              <w:keepNext w:val="0"/>
              <w:spacing w:before="0" w:after="0" w:line="300" w:lineRule="exact"/>
              <w:ind w:firstLine="0"/>
              <w:jc w:val="left"/>
            </w:pPr>
            <w:r>
              <w:rPr>
                <w:rFonts w:ascii="Times New Roman" w:hAnsi="Times New Roman" w:eastAsia="宋体"/>
                <w:b w:val="0"/>
                <w:color w:val="000000"/>
                <w:sz w:val="21"/>
              </w:rPr>
              <w:t>保留目标、时间、来源、算法参数、检查状态及失败原因</w:t>
            </w:r>
          </w:p>
        </w:tc>
      </w:tr>
    </w:tbl>
    <w:p w14:paraId="71153CAB">
      <w:pPr>
        <w:spacing w:before="0" w:after="0" w:line="240" w:lineRule="auto"/>
        <w:ind w:firstLine="0"/>
      </w:pPr>
    </w:p>
    <w:p w14:paraId="4518F476">
      <w:pPr>
        <w:pStyle w:val="4"/>
      </w:pPr>
      <w:bookmarkStart w:id="6" w:name="heading_16"/>
      <w:r>
        <w:rPr>
          <w:rFonts w:ascii="Times New Roman" w:hAnsi="Times New Roman" w:eastAsia="黑体"/>
          <w:b/>
          <w:color w:val="000000"/>
        </w:rPr>
        <w:t>2.2 分层架构与检测流程</w:t>
      </w:r>
      <w:bookmarkEnd w:id="6"/>
    </w:p>
    <w:p w14:paraId="19C151C7">
      <w:pPr>
        <w:jc w:val="both"/>
      </w:pPr>
      <w:r>
        <w:rPr>
          <w:rFonts w:ascii="Times New Roman" w:hAnsi="Times New Roman" w:eastAsia="宋体"/>
          <w:color w:val="000000"/>
        </w:rPr>
        <w:t>平台由界面交互、协议证据、密码验证和实验服务四类模块组成。界面负责输入、运行控制和结果展示；协议模块负责报文重组与字段解析；验证模块负责真实密钥交换、握手解密和验签；实验服务提供预期算法与身份已知的对照环境。各模块通过结构化结果传递信息，原始报文和算法参数仍保留各自来源。</w:t>
      </w:r>
    </w:p>
    <w:p w14:paraId="55773079">
      <w:pPr>
        <w:jc w:val="both"/>
      </w:pPr>
      <w:r>
        <w:rPr>
          <w:rFonts w:ascii="Times New Roman" w:hAnsi="Times New Roman" w:eastAsia="宋体"/>
          <w:color w:val="000000"/>
        </w:rPr>
        <w:t>典型流程从抓包或目标地址进入。抓包路径先识别会话与服务器实际选组，再根据SNI或可确认的服务器IP发起主动复测；直接检测路径则生成临时密钥并执行TLS1.3握手验证。两条路径均输出密钥交换、证书算法和验证状态。需要检验身份信任或应用消息时，转入本地实验站使用显式实验根CA或固定公钥执行独立检查。</w:t>
      </w:r>
    </w:p>
    <w:p w14:paraId="40556BB8">
      <w:pPr>
        <w:jc w:val="both"/>
      </w:pPr>
      <w:r>
        <w:rPr>
          <w:rFonts w:ascii="Times New Roman" w:hAnsi="Times New Roman" w:eastAsia="宋体"/>
          <w:color w:val="000000"/>
        </w:rPr>
        <w:t>各阶段的证据强度逐步增加：报文观察说明本次连接出现了什么，参数校验检查标识与数据是否一致，Finished与CertificateVerify校验确认服务器握手运算，实验站的证书路径或固定公钥检查进一步限定身份认证依据。这些结果可以相互补充，但不自动替代另一阶段的验证。</w:t>
      </w:r>
    </w:p>
    <w:p w14:paraId="0B08F281">
      <w:pPr>
        <w:pStyle w:val="4"/>
      </w:pPr>
      <w:bookmarkStart w:id="7" w:name="heading_17"/>
      <w:r>
        <w:rPr>
          <w:rFonts w:ascii="Times New Roman" w:hAnsi="Times New Roman" w:eastAsia="黑体"/>
          <w:b/>
          <w:color w:val="000000"/>
        </w:rPr>
        <w:t>2.3 模块契约与验证状态</w:t>
      </w:r>
      <w:bookmarkEnd w:id="7"/>
    </w:p>
    <w:p w14:paraId="2CCDACAF">
      <w:pPr>
        <w:jc w:val="both"/>
      </w:pPr>
      <w:r>
        <w:rPr>
          <w:rFonts w:ascii="Times New Roman" w:hAnsi="Times New Roman" w:eastAsia="宋体"/>
          <w:color w:val="000000"/>
        </w:rPr>
        <w:t>模块接口以目标和证据来源为基本约束。传输层记录实际选组、套件和key_share长度；证书层记录公钥及签名算法、参数、指纹和服务器提供的证书列表；深度验证记录Finished与CertificateVerify的独立结果。实验服务额外记录运行配置、实际端点、信任根或固定公钥、检查项目与原始输出。</w:t>
      </w:r>
    </w:p>
    <w:p w14:paraId="5FE32E30">
      <w:pPr>
        <w:jc w:val="both"/>
      </w:pPr>
      <w:r>
        <w:rPr>
          <w:rFonts w:ascii="Times New Roman" w:hAnsi="Times New Roman" w:eastAsia="宋体"/>
          <w:color w:val="000000"/>
        </w:rPr>
        <w:t>结果状态与总体迁移结论分开保存。握手可以验证通过，但证书仍采用经典算法；算法证据也可以齐全，但当前运行库无法验签。状态分类如表2-3所示，失败原因不得被既有成功报告覆盖。</w:t>
      </w:r>
    </w:p>
    <w:p w14:paraId="196A9408">
      <w:pPr>
        <w:pStyle w:val="15"/>
        <w:keepNext/>
        <w:spacing w:before="100" w:after="120"/>
        <w:ind w:firstLine="0"/>
        <w:jc w:val="center"/>
      </w:pPr>
      <w:r>
        <w:rPr>
          <w:rFonts w:ascii="Times New Roman" w:hAnsi="Times New Roman" w:eastAsia="宋体"/>
          <w:color w:val="000000"/>
        </w:rPr>
        <w:t>表2-</w:t>
      </w:r>
      <w:r>
        <w:rPr>
          <w:rFonts w:hint="eastAsia"/>
          <w:color w:val="000000"/>
          <w:lang w:val="en-US" w:eastAsia="zh-CN"/>
        </w:rPr>
        <w:t>2</w:t>
      </w:r>
      <w:r>
        <w:rPr>
          <w:rFonts w:ascii="Times New Roman" w:hAnsi="Times New Roman" w:eastAsia="宋体"/>
          <w:color w:val="000000"/>
        </w:rPr>
        <w:t xml:space="preserve"> 验证状态及解释</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701"/>
        <w:gridCol w:w="3685"/>
        <w:gridCol w:w="3685"/>
      </w:tblGrid>
      <w:tr w14:paraId="4D9A71A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1701" w:type="dxa"/>
            <w:shd w:val="clear" w:color="auto" w:fill="E8EDF2"/>
            <w:tcMar>
              <w:top w:w="90" w:type="dxa"/>
              <w:left w:w="100" w:type="dxa"/>
              <w:bottom w:w="90" w:type="dxa"/>
              <w:right w:w="100" w:type="dxa"/>
            </w:tcMar>
            <w:vAlign w:val="center"/>
          </w:tcPr>
          <w:p w14:paraId="5CC2A738">
            <w:pPr>
              <w:keepNext/>
              <w:spacing w:before="0" w:after="0" w:line="300" w:lineRule="exact"/>
              <w:ind w:firstLine="0"/>
              <w:jc w:val="center"/>
            </w:pPr>
            <w:r>
              <w:rPr>
                <w:rFonts w:ascii="Times New Roman" w:hAnsi="Times New Roman" w:eastAsia="宋体"/>
                <w:b/>
                <w:color w:val="000000"/>
                <w:sz w:val="21"/>
              </w:rPr>
              <w:t>状态</w:t>
            </w:r>
          </w:p>
        </w:tc>
        <w:tc>
          <w:tcPr>
            <w:tcW w:w="3685" w:type="dxa"/>
            <w:shd w:val="clear" w:color="auto" w:fill="E8EDF2"/>
            <w:tcMar>
              <w:top w:w="90" w:type="dxa"/>
              <w:left w:w="100" w:type="dxa"/>
              <w:bottom w:w="90" w:type="dxa"/>
              <w:right w:w="100" w:type="dxa"/>
            </w:tcMar>
            <w:vAlign w:val="center"/>
          </w:tcPr>
          <w:p w14:paraId="67152F59">
            <w:pPr>
              <w:keepNext/>
              <w:spacing w:before="0" w:after="0" w:line="300" w:lineRule="exact"/>
              <w:ind w:firstLine="0"/>
              <w:jc w:val="center"/>
            </w:pPr>
            <w:r>
              <w:rPr>
                <w:rFonts w:ascii="Times New Roman" w:hAnsi="Times New Roman" w:eastAsia="宋体"/>
                <w:b/>
                <w:color w:val="000000"/>
                <w:sz w:val="21"/>
              </w:rPr>
              <w:t>判定依据</w:t>
            </w:r>
          </w:p>
        </w:tc>
        <w:tc>
          <w:tcPr>
            <w:tcW w:w="3685" w:type="dxa"/>
            <w:shd w:val="clear" w:color="auto" w:fill="E8EDF2"/>
            <w:tcMar>
              <w:top w:w="90" w:type="dxa"/>
              <w:left w:w="100" w:type="dxa"/>
              <w:bottom w:w="90" w:type="dxa"/>
              <w:right w:w="100" w:type="dxa"/>
            </w:tcMar>
            <w:vAlign w:val="center"/>
          </w:tcPr>
          <w:p w14:paraId="3D4178A4">
            <w:pPr>
              <w:keepNext/>
              <w:spacing w:before="0" w:after="0" w:line="300" w:lineRule="exact"/>
              <w:ind w:firstLine="0"/>
              <w:jc w:val="center"/>
            </w:pPr>
            <w:r>
              <w:rPr>
                <w:rFonts w:ascii="Times New Roman" w:hAnsi="Times New Roman" w:eastAsia="宋体"/>
                <w:b/>
                <w:color w:val="000000"/>
                <w:sz w:val="21"/>
              </w:rPr>
              <w:t>结论约束</w:t>
            </w:r>
          </w:p>
        </w:tc>
      </w:tr>
      <w:tr w14:paraId="613299A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01" w:type="dxa"/>
            <w:tcMar>
              <w:top w:w="90" w:type="dxa"/>
              <w:left w:w="100" w:type="dxa"/>
              <w:bottom w:w="90" w:type="dxa"/>
              <w:right w:w="100" w:type="dxa"/>
            </w:tcMar>
            <w:vAlign w:val="center"/>
          </w:tcPr>
          <w:p w14:paraId="32DAC2EC">
            <w:pPr>
              <w:keepNext/>
              <w:spacing w:before="0" w:after="0" w:line="300" w:lineRule="exact"/>
              <w:ind w:firstLine="0"/>
              <w:jc w:val="center"/>
            </w:pPr>
            <w:r>
              <w:rPr>
                <w:rFonts w:ascii="Times New Roman" w:hAnsi="Times New Roman" w:eastAsia="宋体"/>
                <w:b w:val="0"/>
                <w:color w:val="000000"/>
                <w:sz w:val="21"/>
              </w:rPr>
              <w:t>已验证</w:t>
            </w:r>
          </w:p>
        </w:tc>
        <w:tc>
          <w:tcPr>
            <w:tcW w:w="3685" w:type="dxa"/>
            <w:tcMar>
              <w:top w:w="90" w:type="dxa"/>
              <w:left w:w="100" w:type="dxa"/>
              <w:bottom w:w="90" w:type="dxa"/>
              <w:right w:w="100" w:type="dxa"/>
            </w:tcMar>
            <w:vAlign w:val="center"/>
          </w:tcPr>
          <w:p w14:paraId="6F5585E8">
            <w:pPr>
              <w:keepNext/>
              <w:spacing w:before="0" w:after="0" w:line="300" w:lineRule="exact"/>
              <w:ind w:firstLine="0"/>
              <w:jc w:val="left"/>
            </w:pPr>
            <w:r>
              <w:rPr>
                <w:rFonts w:ascii="Times New Roman" w:hAnsi="Times New Roman" w:eastAsia="宋体"/>
                <w:b w:val="0"/>
                <w:color w:val="000000"/>
                <w:sz w:val="21"/>
              </w:rPr>
              <w:t>服务器Finished与CertificateVerify均通过，相关参数一致</w:t>
            </w:r>
          </w:p>
        </w:tc>
        <w:tc>
          <w:tcPr>
            <w:tcW w:w="3685" w:type="dxa"/>
            <w:tcMar>
              <w:top w:w="90" w:type="dxa"/>
              <w:left w:w="100" w:type="dxa"/>
              <w:bottom w:w="90" w:type="dxa"/>
              <w:right w:w="100" w:type="dxa"/>
            </w:tcMar>
            <w:vAlign w:val="center"/>
          </w:tcPr>
          <w:p w14:paraId="76BA1C77">
            <w:pPr>
              <w:keepNext/>
              <w:spacing w:before="0" w:after="0" w:line="300" w:lineRule="exact"/>
              <w:ind w:firstLine="0"/>
              <w:jc w:val="left"/>
            </w:pPr>
            <w:r>
              <w:rPr>
                <w:rFonts w:ascii="Times New Roman" w:hAnsi="Times New Roman" w:eastAsia="宋体"/>
                <w:b w:val="0"/>
                <w:color w:val="000000"/>
                <w:sz w:val="21"/>
              </w:rPr>
              <w:t>仅确认本次服务器侧握手；CA信任范围另列</w:t>
            </w:r>
          </w:p>
        </w:tc>
      </w:tr>
      <w:tr w14:paraId="715FC34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01" w:type="dxa"/>
            <w:tcMar>
              <w:top w:w="90" w:type="dxa"/>
              <w:left w:w="100" w:type="dxa"/>
              <w:bottom w:w="90" w:type="dxa"/>
              <w:right w:w="100" w:type="dxa"/>
            </w:tcMar>
            <w:vAlign w:val="center"/>
          </w:tcPr>
          <w:p w14:paraId="48B39DCB">
            <w:pPr>
              <w:keepNext/>
              <w:spacing w:before="0" w:after="0" w:line="300" w:lineRule="exact"/>
              <w:ind w:firstLine="0"/>
              <w:jc w:val="center"/>
            </w:pPr>
            <w:r>
              <w:rPr>
                <w:rFonts w:ascii="Times New Roman" w:hAnsi="Times New Roman" w:eastAsia="宋体"/>
                <w:b w:val="0"/>
                <w:color w:val="000000"/>
                <w:sz w:val="21"/>
              </w:rPr>
              <w:t>验证失败</w:t>
            </w:r>
          </w:p>
        </w:tc>
        <w:tc>
          <w:tcPr>
            <w:tcW w:w="3685" w:type="dxa"/>
            <w:tcMar>
              <w:top w:w="90" w:type="dxa"/>
              <w:left w:w="100" w:type="dxa"/>
              <w:bottom w:w="90" w:type="dxa"/>
              <w:right w:w="100" w:type="dxa"/>
            </w:tcMar>
            <w:vAlign w:val="center"/>
          </w:tcPr>
          <w:p w14:paraId="4D029867">
            <w:pPr>
              <w:keepNext/>
              <w:spacing w:before="0" w:after="0" w:line="300" w:lineRule="exact"/>
              <w:ind w:firstLine="0"/>
              <w:jc w:val="left"/>
            </w:pPr>
            <w:r>
              <w:rPr>
                <w:rFonts w:ascii="Times New Roman" w:hAnsi="Times New Roman" w:eastAsia="宋体"/>
                <w:b w:val="0"/>
                <w:color w:val="000000"/>
                <w:sz w:val="21"/>
              </w:rPr>
              <w:t>长度或算法参数矛盾，AEAD认证、HMAC或验签失败</w:t>
            </w:r>
          </w:p>
        </w:tc>
        <w:tc>
          <w:tcPr>
            <w:tcW w:w="3685" w:type="dxa"/>
            <w:tcMar>
              <w:top w:w="90" w:type="dxa"/>
              <w:left w:w="100" w:type="dxa"/>
              <w:bottom w:w="90" w:type="dxa"/>
              <w:right w:w="100" w:type="dxa"/>
            </w:tcMar>
            <w:vAlign w:val="center"/>
          </w:tcPr>
          <w:p w14:paraId="53018397">
            <w:pPr>
              <w:keepNext/>
              <w:spacing w:before="0" w:after="0" w:line="300" w:lineRule="exact"/>
              <w:ind w:firstLine="0"/>
              <w:jc w:val="left"/>
            </w:pPr>
            <w:r>
              <w:rPr>
                <w:rFonts w:ascii="Times New Roman" w:hAnsi="Times New Roman" w:eastAsia="宋体"/>
                <w:b w:val="0"/>
                <w:color w:val="000000"/>
                <w:sz w:val="21"/>
              </w:rPr>
              <w:t>保留失败步骤，不能确认该次后量子验证成功</w:t>
            </w:r>
          </w:p>
        </w:tc>
      </w:tr>
      <w:tr w14:paraId="0C89681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01" w:type="dxa"/>
            <w:tcMar>
              <w:top w:w="90" w:type="dxa"/>
              <w:left w:w="100" w:type="dxa"/>
              <w:bottom w:w="90" w:type="dxa"/>
              <w:right w:w="100" w:type="dxa"/>
            </w:tcMar>
            <w:vAlign w:val="center"/>
          </w:tcPr>
          <w:p w14:paraId="1096D13F">
            <w:pPr>
              <w:keepNext/>
              <w:spacing w:before="0" w:after="0" w:line="300" w:lineRule="exact"/>
              <w:ind w:firstLine="0"/>
              <w:jc w:val="center"/>
            </w:pPr>
            <w:r>
              <w:rPr>
                <w:rFonts w:ascii="Times New Roman" w:hAnsi="Times New Roman" w:eastAsia="宋体"/>
                <w:b w:val="0"/>
                <w:color w:val="000000"/>
                <w:sz w:val="21"/>
              </w:rPr>
              <w:t>不支持验签</w:t>
            </w:r>
          </w:p>
        </w:tc>
        <w:tc>
          <w:tcPr>
            <w:tcW w:w="3685" w:type="dxa"/>
            <w:tcMar>
              <w:top w:w="90" w:type="dxa"/>
              <w:left w:w="100" w:type="dxa"/>
              <w:bottom w:w="90" w:type="dxa"/>
              <w:right w:w="100" w:type="dxa"/>
            </w:tcMar>
            <w:vAlign w:val="center"/>
          </w:tcPr>
          <w:p w14:paraId="56839D64">
            <w:pPr>
              <w:keepNext/>
              <w:spacing w:before="0" w:after="0" w:line="300" w:lineRule="exact"/>
              <w:ind w:firstLine="0"/>
              <w:jc w:val="left"/>
            </w:pPr>
            <w:r>
              <w:rPr>
                <w:rFonts w:ascii="Times New Roman" w:hAnsi="Times New Roman" w:eastAsia="宋体"/>
                <w:b w:val="0"/>
                <w:color w:val="000000"/>
                <w:sz w:val="21"/>
              </w:rPr>
              <w:t>运行库或实现分支未支持相应签名方案</w:t>
            </w:r>
          </w:p>
        </w:tc>
        <w:tc>
          <w:tcPr>
            <w:tcW w:w="3685" w:type="dxa"/>
            <w:tcMar>
              <w:top w:w="90" w:type="dxa"/>
              <w:left w:w="100" w:type="dxa"/>
              <w:bottom w:w="90" w:type="dxa"/>
              <w:right w:w="100" w:type="dxa"/>
            </w:tcMar>
            <w:vAlign w:val="center"/>
          </w:tcPr>
          <w:p w14:paraId="3640CE13">
            <w:pPr>
              <w:keepNext/>
              <w:spacing w:before="0" w:after="0" w:line="300" w:lineRule="exact"/>
              <w:ind w:firstLine="0"/>
              <w:jc w:val="left"/>
            </w:pPr>
            <w:r>
              <w:rPr>
                <w:rFonts w:ascii="Times New Roman" w:hAnsi="Times New Roman" w:eastAsia="宋体"/>
                <w:b w:val="0"/>
                <w:color w:val="000000"/>
                <w:sz w:val="21"/>
              </w:rPr>
              <w:t>保留已取得证据，标注服务器握手未验证</w:t>
            </w:r>
          </w:p>
        </w:tc>
      </w:tr>
      <w:tr w14:paraId="663E832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01" w:type="dxa"/>
            <w:tcMar>
              <w:top w:w="90" w:type="dxa"/>
              <w:left w:w="100" w:type="dxa"/>
              <w:bottom w:w="90" w:type="dxa"/>
              <w:right w:w="100" w:type="dxa"/>
            </w:tcMar>
            <w:vAlign w:val="center"/>
          </w:tcPr>
          <w:p w14:paraId="5398C0B9">
            <w:pPr>
              <w:keepNext/>
              <w:spacing w:before="0" w:after="0" w:line="300" w:lineRule="exact"/>
              <w:ind w:firstLine="0"/>
              <w:jc w:val="center"/>
            </w:pPr>
            <w:r>
              <w:rPr>
                <w:rFonts w:ascii="Times New Roman" w:hAnsi="Times New Roman" w:eastAsia="宋体"/>
                <w:b w:val="0"/>
                <w:color w:val="000000"/>
                <w:sz w:val="21"/>
              </w:rPr>
              <w:t>未验证或证据不足</w:t>
            </w:r>
          </w:p>
        </w:tc>
        <w:tc>
          <w:tcPr>
            <w:tcW w:w="3685" w:type="dxa"/>
            <w:tcMar>
              <w:top w:w="90" w:type="dxa"/>
              <w:left w:w="100" w:type="dxa"/>
              <w:bottom w:w="90" w:type="dxa"/>
              <w:right w:w="100" w:type="dxa"/>
            </w:tcMar>
            <w:vAlign w:val="center"/>
          </w:tcPr>
          <w:p w14:paraId="5CBE2600">
            <w:pPr>
              <w:keepNext/>
              <w:spacing w:before="0" w:after="0" w:line="300" w:lineRule="exact"/>
              <w:ind w:firstLine="0"/>
              <w:jc w:val="left"/>
            </w:pPr>
            <w:r>
              <w:rPr>
                <w:rFonts w:ascii="Times New Roman" w:hAnsi="Times New Roman" w:eastAsia="宋体"/>
                <w:b w:val="0"/>
                <w:color w:val="000000"/>
                <w:sz w:val="21"/>
              </w:rPr>
              <w:t>快速模式、深度流程未完成、缺包或无法取得完整证据</w:t>
            </w:r>
          </w:p>
        </w:tc>
        <w:tc>
          <w:tcPr>
            <w:tcW w:w="3685" w:type="dxa"/>
            <w:tcMar>
              <w:top w:w="90" w:type="dxa"/>
              <w:left w:w="100" w:type="dxa"/>
              <w:bottom w:w="90" w:type="dxa"/>
              <w:right w:w="100" w:type="dxa"/>
            </w:tcMar>
            <w:vAlign w:val="center"/>
          </w:tcPr>
          <w:p w14:paraId="4A934AC0">
            <w:pPr>
              <w:keepNext w:val="0"/>
              <w:spacing w:before="0" w:after="0" w:line="300" w:lineRule="exact"/>
              <w:ind w:firstLine="0"/>
              <w:jc w:val="left"/>
            </w:pPr>
            <w:r>
              <w:rPr>
                <w:rFonts w:ascii="Times New Roman" w:hAnsi="Times New Roman" w:eastAsia="宋体"/>
                <w:b w:val="0"/>
                <w:color w:val="000000"/>
                <w:sz w:val="21"/>
              </w:rPr>
              <w:t>区分未执行验证与未观察到算法，避免推断站点整体能力</w:t>
            </w:r>
          </w:p>
        </w:tc>
      </w:tr>
    </w:tbl>
    <w:p w14:paraId="3D491584">
      <w:pPr>
        <w:spacing w:before="0" w:after="0" w:line="240" w:lineRule="auto"/>
        <w:ind w:firstLine="0"/>
      </w:pPr>
    </w:p>
    <w:p w14:paraId="51BBF180">
      <w:pPr>
        <w:pStyle w:val="3"/>
      </w:pPr>
      <w:bookmarkStart w:id="8" w:name="heading_18"/>
      <w:r>
        <w:rPr>
          <w:rFonts w:ascii="Times New Roman" w:hAnsi="Times New Roman" w:eastAsia="黑体"/>
          <w:b/>
          <w:color w:val="000000"/>
        </w:rPr>
        <w:t>3 算法库与关键技术</w:t>
      </w:r>
      <w:bookmarkEnd w:id="8"/>
    </w:p>
    <w:p w14:paraId="3025A538">
      <w:pPr>
        <w:pStyle w:val="4"/>
      </w:pPr>
      <w:bookmarkStart w:id="9" w:name="heading_19"/>
      <w:r>
        <w:rPr>
          <w:rFonts w:ascii="Times New Roman" w:hAnsi="Times New Roman" w:eastAsia="黑体"/>
          <w:b/>
          <w:color w:val="000000"/>
        </w:rPr>
        <w:t>3.1 算法库组成与适配原则</w:t>
      </w:r>
      <w:bookmarkEnd w:id="9"/>
    </w:p>
    <w:p w14:paraId="2A04A535">
      <w:pPr>
        <w:jc w:val="both"/>
      </w:pPr>
      <w:r>
        <w:rPr>
          <w:rFonts w:ascii="Times New Roman" w:hAnsi="Times New Roman" w:eastAsia="宋体"/>
          <w:color w:val="000000"/>
        </w:rPr>
        <w:t>算法执行与界面展示解耦。主动检测使用pqcrypto生成ML-KEM密钥和执行解封装，使用cryptography完成ECDHE及相关验签操作；本地TLS服务由OpenSSL执行真实协议交互。独立算法页面通过教学实现和原生库接口展示计算与验证结果。算法名称、参数组、编码口径和实现后端共同决定适配方式。</w:t>
      </w:r>
    </w:p>
    <w:p w14:paraId="4A0E75E9">
      <w:pPr>
        <w:jc w:val="both"/>
      </w:pPr>
      <w:r>
        <w:rPr>
          <w:rFonts w:ascii="Times New Roman" w:hAnsi="Times New Roman" w:eastAsia="宋体"/>
          <w:color w:val="000000"/>
        </w:rPr>
        <w:t>ML-KEM用于建立共享秘密，ML-DSA及其他签名后端用于签署消息和核验签名。经典算法与后量子算法组成混合方案时，密钥材料的顺序、消息封装与验签条件必须固定。平台分别说明TLS协议格式和自定义离线教学格式，避免把本地演示成功等同于标准协议互通。</w:t>
      </w:r>
    </w:p>
    <w:p w14:paraId="53EB162D">
      <w:pPr>
        <w:pStyle w:val="4"/>
      </w:pPr>
      <w:bookmarkStart w:id="10" w:name="heading_20"/>
      <w:r>
        <w:rPr>
          <w:rFonts w:ascii="Times New Roman" w:hAnsi="Times New Roman" w:eastAsia="黑体"/>
          <w:b/>
          <w:color w:val="000000"/>
        </w:rPr>
        <w:t>3.2 混合密钥交换与参数校验</w:t>
      </w:r>
      <w:bookmarkEnd w:id="10"/>
    </w:p>
    <w:p w14:paraId="3ED672A0">
      <w:pPr>
        <w:jc w:val="both"/>
      </w:pPr>
      <w:r>
        <w:rPr>
          <w:rFonts w:ascii="Times New Roman" w:hAnsi="Times New Roman" w:eastAsia="宋体"/>
          <w:color w:val="000000"/>
        </w:rPr>
        <w:t>主动检测由平台生成临时密钥材料并构造ClientHello。默认优先提供X25519MLKEM768和SecP256r1MLKEM768，同时保留X25519、secp256r1等经典组。签名方案中也提供ML-DSA和部分SLH-DSA标识，以便与采用后量子证书的服务端协商。收到ServerHello后，平台记录实际选组、组编号、密码套件和密钥数据长度，再与参数表核对。</w:t>
      </w:r>
    </w:p>
    <w:p w14:paraId="77BEA656">
      <w:pPr>
        <w:jc w:val="both"/>
      </w:pPr>
      <w:r>
        <w:rPr>
          <w:rFonts w:ascii="Times New Roman" w:hAnsi="Times New Roman" w:eastAsia="宋体"/>
          <w:color w:val="000000"/>
        </w:rPr>
        <w:t>下表列出本地实验站已覆盖的三种混合组。表中的“密钥数据”指服务器key_exchange内容；“扩展体”还包含2字节组编号和2字节密钥数据长度字段。客户端发送的是ML-KEM公钥，服务端返回的是封装密文，两者的长度不能混用。</w:t>
      </w:r>
    </w:p>
    <w:p w14:paraId="257E275B">
      <w:pPr>
        <w:pStyle w:val="15"/>
        <w:keepNext/>
        <w:spacing w:before="100" w:after="120"/>
        <w:ind w:firstLine="0"/>
        <w:jc w:val="center"/>
      </w:pPr>
      <w:r>
        <w:rPr>
          <w:rFonts w:ascii="Times New Roman" w:hAnsi="Times New Roman" w:eastAsia="宋体"/>
          <w:color w:val="000000"/>
        </w:rPr>
        <w:t>表3-1 已覆盖混合组的服务器密钥数据长度</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835"/>
        <w:gridCol w:w="1134"/>
        <w:gridCol w:w="3515"/>
        <w:gridCol w:w="1587"/>
      </w:tblGrid>
      <w:tr w14:paraId="14E70C3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2835" w:type="dxa"/>
            <w:shd w:val="clear" w:color="auto" w:fill="E8EDF2"/>
            <w:tcMar>
              <w:top w:w="90" w:type="dxa"/>
              <w:left w:w="100" w:type="dxa"/>
              <w:bottom w:w="90" w:type="dxa"/>
              <w:right w:w="100" w:type="dxa"/>
            </w:tcMar>
            <w:vAlign w:val="center"/>
          </w:tcPr>
          <w:p w14:paraId="17AED229">
            <w:pPr>
              <w:keepNext/>
              <w:spacing w:before="0" w:after="0" w:line="300" w:lineRule="exact"/>
              <w:ind w:firstLine="0"/>
              <w:jc w:val="center"/>
            </w:pPr>
            <w:r>
              <w:rPr>
                <w:rFonts w:ascii="Times New Roman" w:hAnsi="Times New Roman" w:eastAsia="宋体"/>
                <w:b/>
                <w:color w:val="000000"/>
                <w:sz w:val="21"/>
              </w:rPr>
              <w:t>混合密钥交换组</w:t>
            </w:r>
          </w:p>
        </w:tc>
        <w:tc>
          <w:tcPr>
            <w:tcW w:w="1134" w:type="dxa"/>
            <w:shd w:val="clear" w:color="auto" w:fill="E8EDF2"/>
            <w:tcMar>
              <w:top w:w="90" w:type="dxa"/>
              <w:left w:w="100" w:type="dxa"/>
              <w:bottom w:w="90" w:type="dxa"/>
              <w:right w:w="100" w:type="dxa"/>
            </w:tcMar>
            <w:vAlign w:val="center"/>
          </w:tcPr>
          <w:p w14:paraId="68EAE28E">
            <w:pPr>
              <w:keepNext/>
              <w:spacing w:before="0" w:after="0" w:line="300" w:lineRule="exact"/>
              <w:ind w:firstLine="0"/>
              <w:jc w:val="center"/>
            </w:pPr>
            <w:r>
              <w:rPr>
                <w:rFonts w:ascii="Times New Roman" w:hAnsi="Times New Roman" w:eastAsia="宋体"/>
                <w:b/>
                <w:color w:val="000000"/>
                <w:sz w:val="21"/>
              </w:rPr>
              <w:t>组编号</w:t>
            </w:r>
          </w:p>
        </w:tc>
        <w:tc>
          <w:tcPr>
            <w:tcW w:w="3515" w:type="dxa"/>
            <w:shd w:val="clear" w:color="auto" w:fill="E8EDF2"/>
            <w:tcMar>
              <w:top w:w="90" w:type="dxa"/>
              <w:left w:w="100" w:type="dxa"/>
              <w:bottom w:w="90" w:type="dxa"/>
              <w:right w:w="100" w:type="dxa"/>
            </w:tcMar>
            <w:vAlign w:val="center"/>
          </w:tcPr>
          <w:p w14:paraId="676A42D5">
            <w:pPr>
              <w:keepNext/>
              <w:spacing w:before="0" w:after="0" w:line="300" w:lineRule="exact"/>
              <w:ind w:firstLine="0"/>
              <w:jc w:val="center"/>
            </w:pPr>
            <w:r>
              <w:rPr>
                <w:rFonts w:ascii="Times New Roman" w:hAnsi="Times New Roman" w:eastAsia="宋体"/>
                <w:b/>
                <w:color w:val="000000"/>
                <w:sz w:val="21"/>
              </w:rPr>
              <w:t>服务器key_exchange内容</w:t>
            </w:r>
          </w:p>
        </w:tc>
        <w:tc>
          <w:tcPr>
            <w:tcW w:w="1587" w:type="dxa"/>
            <w:shd w:val="clear" w:color="auto" w:fill="E8EDF2"/>
            <w:tcMar>
              <w:top w:w="90" w:type="dxa"/>
              <w:left w:w="100" w:type="dxa"/>
              <w:bottom w:w="90" w:type="dxa"/>
              <w:right w:w="100" w:type="dxa"/>
            </w:tcMar>
            <w:vAlign w:val="center"/>
          </w:tcPr>
          <w:p w14:paraId="0876BD12">
            <w:pPr>
              <w:keepNext/>
              <w:spacing w:before="0" w:after="0" w:line="300" w:lineRule="exact"/>
              <w:ind w:firstLine="0"/>
              <w:jc w:val="center"/>
            </w:pPr>
            <w:r>
              <w:rPr>
                <w:rFonts w:ascii="Times New Roman" w:hAnsi="Times New Roman" w:eastAsia="宋体"/>
                <w:b/>
                <w:color w:val="000000"/>
                <w:sz w:val="21"/>
              </w:rPr>
              <w:t>key_share扩展体</w:t>
            </w:r>
          </w:p>
        </w:tc>
      </w:tr>
      <w:tr w14:paraId="4A341CF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835" w:type="dxa"/>
            <w:tcMar>
              <w:top w:w="90" w:type="dxa"/>
              <w:left w:w="100" w:type="dxa"/>
              <w:bottom w:w="90" w:type="dxa"/>
              <w:right w:w="100" w:type="dxa"/>
            </w:tcMar>
            <w:vAlign w:val="center"/>
          </w:tcPr>
          <w:p w14:paraId="4AEFEC7A">
            <w:pPr>
              <w:keepNext/>
              <w:spacing w:before="0" w:after="0" w:line="300" w:lineRule="exact"/>
              <w:ind w:firstLine="0"/>
              <w:jc w:val="center"/>
            </w:pPr>
            <w:r>
              <w:rPr>
                <w:rFonts w:ascii="Times New Roman" w:hAnsi="Times New Roman" w:eastAsia="宋体"/>
                <w:b w:val="0"/>
                <w:color w:val="000000"/>
                <w:sz w:val="21"/>
              </w:rPr>
              <w:t>X25519MLKEM768</w:t>
            </w:r>
          </w:p>
        </w:tc>
        <w:tc>
          <w:tcPr>
            <w:tcW w:w="1134" w:type="dxa"/>
            <w:tcMar>
              <w:top w:w="90" w:type="dxa"/>
              <w:left w:w="100" w:type="dxa"/>
              <w:bottom w:w="90" w:type="dxa"/>
              <w:right w:w="100" w:type="dxa"/>
            </w:tcMar>
            <w:vAlign w:val="center"/>
          </w:tcPr>
          <w:p w14:paraId="7564E62C">
            <w:pPr>
              <w:keepNext/>
              <w:spacing w:before="0" w:after="0" w:line="300" w:lineRule="exact"/>
              <w:ind w:firstLine="0"/>
              <w:jc w:val="left"/>
            </w:pPr>
            <w:r>
              <w:rPr>
                <w:rFonts w:ascii="Times New Roman" w:hAnsi="Times New Roman" w:eastAsia="宋体"/>
                <w:b w:val="0"/>
                <w:color w:val="000000"/>
                <w:sz w:val="21"/>
              </w:rPr>
              <w:t>0x11EC</w:t>
            </w:r>
          </w:p>
        </w:tc>
        <w:tc>
          <w:tcPr>
            <w:tcW w:w="3515" w:type="dxa"/>
            <w:tcMar>
              <w:top w:w="90" w:type="dxa"/>
              <w:left w:w="100" w:type="dxa"/>
              <w:bottom w:w="90" w:type="dxa"/>
              <w:right w:w="100" w:type="dxa"/>
            </w:tcMar>
            <w:vAlign w:val="center"/>
          </w:tcPr>
          <w:p w14:paraId="6716B8FD">
            <w:pPr>
              <w:keepNext/>
              <w:spacing w:before="0" w:after="0" w:line="300" w:lineRule="exact"/>
              <w:ind w:firstLine="0"/>
              <w:jc w:val="left"/>
            </w:pPr>
            <w:r>
              <w:rPr>
                <w:rFonts w:ascii="Times New Roman" w:hAnsi="Times New Roman" w:eastAsia="宋体"/>
                <w:b w:val="0"/>
                <w:color w:val="000000"/>
                <w:sz w:val="21"/>
              </w:rPr>
              <w:t>1088B ML-KEM密文</w:t>
            </w:r>
            <w:r>
              <w:rPr>
                <w:rFonts w:ascii="Times New Roman" w:hAnsi="Times New Roman" w:eastAsia="宋体"/>
                <w:b w:val="0"/>
                <w:color w:val="000000"/>
                <w:sz w:val="21"/>
              </w:rPr>
              <w:br w:type="textWrapping"/>
            </w:r>
            <w:r>
              <w:rPr>
                <w:rFonts w:ascii="Times New Roman" w:hAnsi="Times New Roman" w:eastAsia="宋体"/>
                <w:b w:val="0"/>
                <w:color w:val="000000"/>
                <w:sz w:val="21"/>
              </w:rPr>
              <w:t>32B X25519公钥</w:t>
            </w:r>
          </w:p>
        </w:tc>
        <w:tc>
          <w:tcPr>
            <w:tcW w:w="1587" w:type="dxa"/>
            <w:tcMar>
              <w:top w:w="90" w:type="dxa"/>
              <w:left w:w="100" w:type="dxa"/>
              <w:bottom w:w="90" w:type="dxa"/>
              <w:right w:w="100" w:type="dxa"/>
            </w:tcMar>
            <w:vAlign w:val="center"/>
          </w:tcPr>
          <w:p w14:paraId="072733DD">
            <w:pPr>
              <w:keepNext/>
              <w:spacing w:before="0" w:after="0" w:line="300" w:lineRule="exact"/>
              <w:ind w:firstLine="0"/>
              <w:jc w:val="left"/>
            </w:pPr>
            <w:r>
              <w:rPr>
                <w:rFonts w:ascii="Times New Roman" w:hAnsi="Times New Roman" w:eastAsia="宋体"/>
                <w:b w:val="0"/>
                <w:color w:val="000000"/>
                <w:sz w:val="21"/>
              </w:rPr>
              <w:t>1124B</w:t>
            </w:r>
          </w:p>
        </w:tc>
      </w:tr>
      <w:tr w14:paraId="606D834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835" w:type="dxa"/>
            <w:tcMar>
              <w:top w:w="90" w:type="dxa"/>
              <w:left w:w="100" w:type="dxa"/>
              <w:bottom w:w="90" w:type="dxa"/>
              <w:right w:w="100" w:type="dxa"/>
            </w:tcMar>
            <w:vAlign w:val="center"/>
          </w:tcPr>
          <w:p w14:paraId="57257093">
            <w:pPr>
              <w:keepNext/>
              <w:spacing w:before="0" w:after="0" w:line="300" w:lineRule="exact"/>
              <w:ind w:firstLine="0"/>
              <w:jc w:val="center"/>
            </w:pPr>
            <w:r>
              <w:rPr>
                <w:rFonts w:ascii="Times New Roman" w:hAnsi="Times New Roman" w:eastAsia="宋体"/>
                <w:b w:val="0"/>
                <w:color w:val="000000"/>
                <w:sz w:val="21"/>
              </w:rPr>
              <w:t>SecP256r1MLKEM768</w:t>
            </w:r>
          </w:p>
        </w:tc>
        <w:tc>
          <w:tcPr>
            <w:tcW w:w="1134" w:type="dxa"/>
            <w:tcMar>
              <w:top w:w="90" w:type="dxa"/>
              <w:left w:w="100" w:type="dxa"/>
              <w:bottom w:w="90" w:type="dxa"/>
              <w:right w:w="100" w:type="dxa"/>
            </w:tcMar>
            <w:vAlign w:val="center"/>
          </w:tcPr>
          <w:p w14:paraId="63CF373D">
            <w:pPr>
              <w:keepNext/>
              <w:spacing w:before="0" w:after="0" w:line="300" w:lineRule="exact"/>
              <w:ind w:firstLine="0"/>
              <w:jc w:val="left"/>
            </w:pPr>
            <w:r>
              <w:rPr>
                <w:rFonts w:ascii="Times New Roman" w:hAnsi="Times New Roman" w:eastAsia="宋体"/>
                <w:b w:val="0"/>
                <w:color w:val="000000"/>
                <w:sz w:val="21"/>
              </w:rPr>
              <w:t>0x11EB</w:t>
            </w:r>
          </w:p>
        </w:tc>
        <w:tc>
          <w:tcPr>
            <w:tcW w:w="3515" w:type="dxa"/>
            <w:tcMar>
              <w:top w:w="90" w:type="dxa"/>
              <w:left w:w="100" w:type="dxa"/>
              <w:bottom w:w="90" w:type="dxa"/>
              <w:right w:w="100" w:type="dxa"/>
            </w:tcMar>
            <w:vAlign w:val="center"/>
          </w:tcPr>
          <w:p w14:paraId="1667B688">
            <w:pPr>
              <w:keepNext/>
              <w:spacing w:before="0" w:after="0" w:line="300" w:lineRule="exact"/>
              <w:ind w:firstLine="0"/>
              <w:jc w:val="left"/>
            </w:pPr>
            <w:r>
              <w:rPr>
                <w:rFonts w:ascii="Times New Roman" w:hAnsi="Times New Roman" w:eastAsia="宋体"/>
                <w:b w:val="0"/>
                <w:color w:val="000000"/>
                <w:sz w:val="21"/>
              </w:rPr>
              <w:t>65B P-256公钥</w:t>
            </w:r>
            <w:r>
              <w:rPr>
                <w:rFonts w:ascii="Times New Roman" w:hAnsi="Times New Roman" w:eastAsia="宋体"/>
                <w:b w:val="0"/>
                <w:color w:val="000000"/>
                <w:sz w:val="21"/>
              </w:rPr>
              <w:br w:type="textWrapping"/>
            </w:r>
            <w:r>
              <w:rPr>
                <w:rFonts w:ascii="Times New Roman" w:hAnsi="Times New Roman" w:eastAsia="宋体"/>
                <w:b w:val="0"/>
                <w:color w:val="000000"/>
                <w:sz w:val="21"/>
              </w:rPr>
              <w:t>1088B ML-KEM密文</w:t>
            </w:r>
          </w:p>
        </w:tc>
        <w:tc>
          <w:tcPr>
            <w:tcW w:w="1587" w:type="dxa"/>
            <w:tcMar>
              <w:top w:w="90" w:type="dxa"/>
              <w:left w:w="100" w:type="dxa"/>
              <w:bottom w:w="90" w:type="dxa"/>
              <w:right w:w="100" w:type="dxa"/>
            </w:tcMar>
            <w:vAlign w:val="center"/>
          </w:tcPr>
          <w:p w14:paraId="64C27E27">
            <w:pPr>
              <w:keepNext/>
              <w:spacing w:before="0" w:after="0" w:line="300" w:lineRule="exact"/>
              <w:ind w:firstLine="0"/>
              <w:jc w:val="left"/>
            </w:pPr>
            <w:r>
              <w:rPr>
                <w:rFonts w:ascii="Times New Roman" w:hAnsi="Times New Roman" w:eastAsia="宋体"/>
                <w:b w:val="0"/>
                <w:color w:val="000000"/>
                <w:sz w:val="21"/>
              </w:rPr>
              <w:t>1157B</w:t>
            </w:r>
          </w:p>
        </w:tc>
      </w:tr>
      <w:tr w14:paraId="1186853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835" w:type="dxa"/>
            <w:tcMar>
              <w:top w:w="90" w:type="dxa"/>
              <w:left w:w="100" w:type="dxa"/>
              <w:bottom w:w="90" w:type="dxa"/>
              <w:right w:w="100" w:type="dxa"/>
            </w:tcMar>
            <w:vAlign w:val="center"/>
          </w:tcPr>
          <w:p w14:paraId="0973C8D8">
            <w:pPr>
              <w:keepNext/>
              <w:spacing w:before="0" w:after="0" w:line="300" w:lineRule="exact"/>
              <w:ind w:firstLine="0"/>
              <w:jc w:val="center"/>
            </w:pPr>
            <w:r>
              <w:rPr>
                <w:rFonts w:ascii="Times New Roman" w:hAnsi="Times New Roman" w:eastAsia="宋体"/>
                <w:b w:val="0"/>
                <w:color w:val="000000"/>
                <w:sz w:val="21"/>
              </w:rPr>
              <w:t>SecP384r1MLKEM1024</w:t>
            </w:r>
          </w:p>
        </w:tc>
        <w:tc>
          <w:tcPr>
            <w:tcW w:w="1134" w:type="dxa"/>
            <w:tcMar>
              <w:top w:w="90" w:type="dxa"/>
              <w:left w:w="100" w:type="dxa"/>
              <w:bottom w:w="90" w:type="dxa"/>
              <w:right w:w="100" w:type="dxa"/>
            </w:tcMar>
            <w:vAlign w:val="center"/>
          </w:tcPr>
          <w:p w14:paraId="2DBDCC7B">
            <w:pPr>
              <w:keepNext/>
              <w:spacing w:before="0" w:after="0" w:line="300" w:lineRule="exact"/>
              <w:ind w:firstLine="0"/>
              <w:jc w:val="left"/>
            </w:pPr>
            <w:r>
              <w:rPr>
                <w:rFonts w:ascii="Times New Roman" w:hAnsi="Times New Roman" w:eastAsia="宋体"/>
                <w:b w:val="0"/>
                <w:color w:val="000000"/>
                <w:sz w:val="21"/>
              </w:rPr>
              <w:t>0x11ED</w:t>
            </w:r>
          </w:p>
        </w:tc>
        <w:tc>
          <w:tcPr>
            <w:tcW w:w="3515" w:type="dxa"/>
            <w:tcMar>
              <w:top w:w="90" w:type="dxa"/>
              <w:left w:w="100" w:type="dxa"/>
              <w:bottom w:w="90" w:type="dxa"/>
              <w:right w:w="100" w:type="dxa"/>
            </w:tcMar>
            <w:vAlign w:val="center"/>
          </w:tcPr>
          <w:p w14:paraId="1EE5EA75">
            <w:pPr>
              <w:keepNext/>
              <w:spacing w:before="0" w:after="0" w:line="300" w:lineRule="exact"/>
              <w:ind w:firstLine="0"/>
              <w:jc w:val="left"/>
            </w:pPr>
            <w:r>
              <w:rPr>
                <w:rFonts w:ascii="Times New Roman" w:hAnsi="Times New Roman" w:eastAsia="宋体"/>
                <w:b w:val="0"/>
                <w:color w:val="000000"/>
                <w:sz w:val="21"/>
              </w:rPr>
              <w:t>97B P-384公钥</w:t>
            </w:r>
            <w:r>
              <w:rPr>
                <w:rFonts w:ascii="Times New Roman" w:hAnsi="Times New Roman" w:eastAsia="宋体"/>
                <w:b w:val="0"/>
                <w:color w:val="000000"/>
                <w:sz w:val="21"/>
              </w:rPr>
              <w:br w:type="textWrapping"/>
            </w:r>
            <w:r>
              <w:rPr>
                <w:rFonts w:ascii="Times New Roman" w:hAnsi="Times New Roman" w:eastAsia="宋体"/>
                <w:b w:val="0"/>
                <w:color w:val="000000"/>
                <w:sz w:val="21"/>
              </w:rPr>
              <w:t>1568B ML-KEM密文</w:t>
            </w:r>
          </w:p>
        </w:tc>
        <w:tc>
          <w:tcPr>
            <w:tcW w:w="1587" w:type="dxa"/>
            <w:tcMar>
              <w:top w:w="90" w:type="dxa"/>
              <w:left w:w="100" w:type="dxa"/>
              <w:bottom w:w="90" w:type="dxa"/>
              <w:right w:w="100" w:type="dxa"/>
            </w:tcMar>
            <w:vAlign w:val="center"/>
          </w:tcPr>
          <w:p w14:paraId="0B987680">
            <w:pPr>
              <w:keepNext w:val="0"/>
              <w:spacing w:before="0" w:after="0" w:line="300" w:lineRule="exact"/>
              <w:ind w:firstLine="0"/>
              <w:jc w:val="left"/>
            </w:pPr>
            <w:r>
              <w:rPr>
                <w:rFonts w:ascii="Times New Roman" w:hAnsi="Times New Roman" w:eastAsia="宋体"/>
                <w:b w:val="0"/>
                <w:color w:val="000000"/>
                <w:sz w:val="21"/>
              </w:rPr>
              <w:t>1669B</w:t>
            </w:r>
          </w:p>
        </w:tc>
      </w:tr>
    </w:tbl>
    <w:p w14:paraId="37965146">
      <w:pPr>
        <w:spacing w:before="0" w:after="0" w:line="240" w:lineRule="auto"/>
        <w:ind w:firstLine="0"/>
      </w:pPr>
    </w:p>
    <w:p w14:paraId="384E1DD1">
      <w:pPr>
        <w:jc w:val="both"/>
      </w:pPr>
      <w:r>
        <w:rPr>
          <w:rFonts w:ascii="Times New Roman" w:hAnsi="Times New Roman" w:eastAsia="宋体"/>
          <w:color w:val="000000"/>
        </w:rPr>
        <w:t>注：扩展体包含2B组编号和2B密钥数据长度，不含扩展类型及外层长度字段；组编号参照IANA登记表[6]。</w:t>
      </w:r>
    </w:p>
    <w:p w14:paraId="16544DC4">
      <w:pPr>
        <w:jc w:val="both"/>
      </w:pPr>
      <w:r>
        <w:rPr>
          <w:rFonts w:ascii="Times New Roman" w:hAnsi="Times New Roman" w:eastAsia="宋体"/>
          <w:color w:val="000000"/>
        </w:rPr>
        <w:t>先按协商组拆分服务器key_share。以X25519MLKEM768为例，将前1088字节密文交给本方ML-KEM私钥解封装，将后32字节公钥与本方X25519私钥做交换，分别得到两路32字节秘密；按规定顺序拼接为64字节共享秘密，供下一步派生密钥。P-256、P-384混合组采用对应的拆分与拼接顺序。临时密钥负责建立握手加密，证书公钥随后用于验证身份。</w:t>
      </w:r>
    </w:p>
    <w:p w14:paraId="1FABFBD3">
      <w:pPr>
        <w:jc w:val="both"/>
      </w:pPr>
      <w:r>
        <w:rPr>
          <w:rFonts w:ascii="Times New Roman" w:hAnsi="Times New Roman" w:eastAsia="宋体"/>
          <w:color w:val="000000"/>
        </w:rPr>
        <w:t>ML-KEM对部分异常密文采用隐式拒绝，接口可能返回另一份秘密而不直接报错。后续AEAD或Finished校验会暴露这种不一致，因此不能只依据解封装返回了数据就判定成功。ML-KEM参数与解封装规则参照FIPS203</w:t>
      </w:r>
      <w:r>
        <w:rPr>
          <w:rFonts w:ascii="Times New Roman" w:hAnsi="Times New Roman" w:eastAsia="宋体"/>
          <w:color w:val="000000"/>
          <w:vertAlign w:val="superscript"/>
        </w:rPr>
        <w:t>[1]</w:t>
      </w:r>
      <w:r>
        <w:rPr>
          <w:rFonts w:ascii="Times New Roman" w:hAnsi="Times New Roman" w:eastAsia="宋体"/>
          <w:color w:val="000000"/>
        </w:rPr>
        <w:t>。</w:t>
      </w:r>
    </w:p>
    <w:p w14:paraId="531E6803">
      <w:pPr>
        <w:pStyle w:val="4"/>
      </w:pPr>
      <w:bookmarkStart w:id="11" w:name="heading_21"/>
      <w:r>
        <w:rPr>
          <w:rFonts w:ascii="Times New Roman" w:hAnsi="Times New Roman" w:eastAsia="黑体"/>
          <w:b/>
          <w:color w:val="000000"/>
        </w:rPr>
        <w:t>3.3 握手密钥派生与加密飞行解析</w:t>
      </w:r>
      <w:bookmarkEnd w:id="11"/>
    </w:p>
    <w:p w14:paraId="06AD6B6A">
      <w:pPr>
        <w:jc w:val="both"/>
      </w:pPr>
      <w:r>
        <w:rPr>
          <w:rFonts w:ascii="Times New Roman" w:hAnsi="Times New Roman" w:eastAsia="宋体"/>
          <w:color w:val="000000"/>
        </w:rPr>
        <w:t>再按TLS1.3的HKDF调度，以共享秘密经HKDF-Extract得到握手秘密，再结合ClientHello/ServerHello的转录哈希派生服务器握手流量秘密，并导出握手密钥、IV和Finished密钥。握手密钥与由IV、记录序号生成的nonce用于逐条AEAD认证解密，取得证书和握手签名；Finished密钥留待核对握手完整性。认证解密失败时停止深度验证。</w:t>
      </w:r>
    </w:p>
    <w:p w14:paraId="1903577C">
      <w:pPr>
        <w:jc w:val="both"/>
      </w:pPr>
      <w:r>
        <w:rPr>
          <w:rFonts w:ascii="Times New Roman" w:hAnsi="Times New Roman" w:eastAsia="宋体"/>
          <w:color w:val="000000"/>
        </w:rPr>
        <w:t>ServerHello之后的EncryptedExtensions、Certificate、CertificateVerify和Finished位于加密握手飞行中。检测器按记录序号构造nonce，以记录头作为认证数据执行AEAD解密，再重组跨记录的握手消息。用于派生服务器握手流量秘密的转录截至ServerHello；用于校验服务器Finished的转录则截至CertificateVerify，不包含Finished自身</w:t>
      </w:r>
      <w:r>
        <w:rPr>
          <w:rFonts w:ascii="Times New Roman" w:hAnsi="Times New Roman" w:eastAsia="宋体"/>
          <w:color w:val="000000"/>
          <w:vertAlign w:val="superscript"/>
        </w:rPr>
        <w:t>[4]</w:t>
      </w:r>
      <w:r>
        <w:rPr>
          <w:rFonts w:ascii="Times New Roman" w:hAnsi="Times New Roman" w:eastAsia="宋体"/>
          <w:color w:val="000000"/>
        </w:rPr>
        <w:t>。</w:t>
      </w:r>
    </w:p>
    <w:p w14:paraId="7EEC4F32">
      <w:pPr>
        <w:pStyle w:val="4"/>
      </w:pPr>
      <w:bookmarkStart w:id="12" w:name="heading_22"/>
      <w:r>
        <w:rPr>
          <w:rFonts w:ascii="Times New Roman" w:hAnsi="Times New Roman" w:eastAsia="黑体"/>
          <w:b/>
          <w:color w:val="000000"/>
        </w:rPr>
        <w:t>3.4 证书公钥提取与握手验证</w:t>
      </w:r>
      <w:bookmarkEnd w:id="12"/>
    </w:p>
    <w:p w14:paraId="0E800C50">
      <w:pPr>
        <w:jc w:val="both"/>
      </w:pPr>
      <w:r>
        <w:rPr>
          <w:rFonts w:ascii="Times New Roman" w:hAnsi="Times New Roman" w:eastAsia="宋体"/>
          <w:color w:val="000000"/>
        </w:rPr>
        <w:t>取得证书后，先严格解析同一次握手的Certificate列表，从叶子证书的公钥字段（SPKI）提取OID与公钥字节，同时记录证书签名算法、参数长度和指纹。这样得到与本连接对应的公钥及算法参数，下一步可检查服务器是否掌握对应私钥。未取得同次握手证书时，才通过Python ssl或openssl s_client另行获取，并标明独立连接来源。</w:t>
      </w:r>
    </w:p>
    <w:p w14:paraId="780DA2C2">
      <w:pPr>
        <w:jc w:val="both"/>
      </w:pPr>
      <w:r>
        <w:rPr>
          <w:rFonts w:ascii="Times New Roman" w:hAnsi="Times New Roman" w:eastAsia="宋体"/>
          <w:color w:val="000000"/>
        </w:rPr>
        <w:t>当前实现先计算服务器Finished之前的握手转录哈希，用前面派生的Finished密钥计算HMAC，并与收到的verify_data比对，以核验密钥派生和握手消息的一致性。随后验证CertificateVerify。消息在网络中的发送顺序仍为CertificateVerify在前、Finished在后，本地校验顺序与发送顺序分别说明</w:t>
      </w:r>
      <w:r>
        <w:rPr>
          <w:rFonts w:ascii="Times New Roman" w:hAnsi="Times New Roman" w:eastAsia="宋体"/>
          <w:color w:val="000000"/>
          <w:vertAlign w:val="superscript"/>
        </w:rPr>
        <w:t>[4,7]</w:t>
      </w:r>
      <w:r>
        <w:rPr>
          <w:rFonts w:ascii="Times New Roman" w:hAnsi="Times New Roman" w:eastAsia="宋体"/>
          <w:color w:val="000000"/>
        </w:rPr>
        <w:t>。</w:t>
      </w:r>
    </w:p>
    <w:p w14:paraId="244294DC">
      <w:pPr>
        <w:jc w:val="both"/>
      </w:pPr>
      <w:r>
        <w:rPr>
          <w:rFonts w:ascii="Times New Roman" w:hAnsi="Times New Roman" w:eastAsia="宋体"/>
          <w:color w:val="000000"/>
        </w:rPr>
        <w:t>CertificateVerify验证按CertificateVerify的签名方案选择验签分支，ML-DSA先核对公钥OID和公钥、签名长度；按TLS1.3规则，将64个空格字节、服务器上下文、零分隔字节和截至Certificate的转录哈希组成待验签数据，再用叶子公钥调用相应ML-DSA、ECDSA、RSA或EdDSA验签。通过表示签名绑定本次握手，且签名者掌握对应私钥；未支持的方案记为“不支持验签”，签名不一致则记为失败。</w:t>
      </w:r>
    </w:p>
    <w:p w14:paraId="62C863CC">
      <w:pPr>
        <w:jc w:val="both"/>
      </w:pPr>
      <w:r>
        <w:rPr>
          <w:rFonts w:ascii="Times New Roman" w:hAnsi="Times New Roman" w:eastAsia="宋体"/>
          <w:color w:val="000000"/>
        </w:rPr>
        <w:t>只有Finished与CertificateVerify均通过，才记录服务器侧握手验证成功。证书公钥验签说明签名绑定本次握手且签名者掌握对应私钥；它不自动证明证书来源可信。通用检测器不发送客户端Finished，也未验证CA信任、证书链签名、域名与有效期。实验站的完整身份检查另见第5章。</w:t>
      </w:r>
    </w:p>
    <w:p w14:paraId="5B2C072A">
      <w:pPr>
        <w:jc w:val="both"/>
      </w:pPr>
      <w:r>
        <w:rPr>
          <w:rFonts w:ascii="Times New Roman" w:hAnsi="Times New Roman" w:eastAsia="宋体"/>
          <w:color w:val="000000"/>
        </w:rPr>
        <w:t>图3-1给出X25519MLKEM768成功路径的交互与本地验证步骤。客户端发送ML-KEM公钥，服务器返回封装密文；双方按该组规定顺序组合KEM秘密与ECDH秘密。图中的</w:t>
      </w:r>
      <w:bookmarkStart w:id="34" w:name="_GoBack"/>
      <w:bookmarkEnd w:id="34"/>
      <w:r>
        <w:rPr>
          <w:rFonts w:ascii="Times New Roman" w:hAnsi="Times New Roman" w:eastAsia="宋体"/>
          <w:color w:val="000000"/>
        </w:rPr>
        <w:t>握手验证范围与上述说明一致。</w:t>
      </w:r>
    </w:p>
    <w:p w14:paraId="1410D68D">
      <w:pPr>
        <w:pageBreakBefore/>
        <w:spacing w:after="60" w:line="240" w:lineRule="auto"/>
        <w:ind w:firstLine="0"/>
        <w:jc w:val="center"/>
      </w:pPr>
      <w:r>
        <w:drawing>
          <wp:inline distT="0" distB="0" distL="114300" distR="114300">
            <wp:extent cx="5039995" cy="8342630"/>
            <wp:effectExtent l="0" t="0" r="8255" b="1270"/>
            <wp:docPr id="1" name="Picture 1" descr="TLS1.3混合后量子协商检测时序图，含真实密钥生成、加密服务器握手飞行、Finished与CertificateVerify校验及范围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LS1.3混合后量子协商检测时序图，含真实密钥生成、加密服务器握手飞行、Finished与CertificateVerify校验及范围说明"/>
                    <pic:cNvPicPr>
                      <a:picLocks noChangeAspect="1"/>
                    </pic:cNvPicPr>
                  </pic:nvPicPr>
                  <pic:blipFill>
                    <a:blip r:embed="rId10"/>
                    <a:stretch>
                      <a:fillRect/>
                    </a:stretch>
                  </pic:blipFill>
                  <pic:spPr>
                    <a:xfrm>
                      <a:off x="0" y="0"/>
                      <a:ext cx="5040000" cy="8343138"/>
                    </a:xfrm>
                    <a:prstGeom prst="rect">
                      <a:avLst/>
                    </a:prstGeom>
                  </pic:spPr>
                </pic:pic>
              </a:graphicData>
            </a:graphic>
          </wp:inline>
        </w:drawing>
      </w:r>
    </w:p>
    <w:p w14:paraId="096DAD8F">
      <w:pPr>
        <w:pStyle w:val="15"/>
        <w:spacing w:after="160"/>
        <w:ind w:firstLine="0"/>
        <w:jc w:val="center"/>
      </w:pPr>
      <w:r>
        <w:rPr>
          <w:rFonts w:ascii="Times New Roman" w:hAnsi="Times New Roman" w:eastAsia="宋体"/>
          <w:color w:val="000000"/>
        </w:rPr>
        <w:t>图3-1 TLS1.3混合后量子协商与服务器侧检测流程</w:t>
      </w:r>
    </w:p>
    <w:p w14:paraId="705B0A35">
      <w:pPr>
        <w:pStyle w:val="4"/>
        <w:pageBreakBefore/>
      </w:pPr>
      <w:bookmarkStart w:id="13" w:name="heading_23"/>
      <w:r>
        <w:rPr>
          <w:rFonts w:ascii="Times New Roman" w:hAnsi="Times New Roman" w:eastAsia="黑体"/>
          <w:b/>
          <w:color w:val="000000"/>
        </w:rPr>
        <w:t>3.5 独立算法验证与计算展示</w:t>
      </w:r>
      <w:bookmarkEnd w:id="13"/>
    </w:p>
    <w:p w14:paraId="42E957AE">
      <w:pPr>
        <w:jc w:val="both"/>
      </w:pPr>
      <w:r>
        <w:rPr>
          <w:rFonts w:ascii="Times New Roman" w:hAnsi="Times New Roman" w:eastAsia="宋体"/>
          <w:color w:val="000000"/>
        </w:rPr>
        <w:t>独立演示支持ML-KEM-512、768和1024。每次运行生成接收方密钥对，发送方用公钥封装，接收方用私钥解封装，并比较双方秘密。修改密文后再执行一次解封装，可以观察秘密变化以及隐式拒绝的选择过程。演示界面同时给出参数、采样、NTT、矩阵运算、压缩编码和重加密比对，使结果能够追溯到实际计算。</w:t>
      </w:r>
    </w:p>
    <w:p w14:paraId="696A15BA">
      <w:pPr>
        <w:jc w:val="both"/>
      </w:pPr>
      <w:r>
        <w:rPr>
          <w:rFonts w:ascii="Times New Roman" w:hAnsi="Times New Roman" w:eastAsia="宋体"/>
          <w:color w:val="000000"/>
        </w:rPr>
        <w:t>ML-KEM的Python教学实现与pqcrypto原生库做双向交叉验证。项目测试还选取了固定版本的NIST ACVP keyGen和encapDecap样本，逐字节核对三个参数集的密钥、密文及秘密。标准向量检查与每轮演示的互操作检查各有作用：前者核对已知输入输出，后者检查本轮运算与另一实现是否一致。相关算法规则与样本来源分别见FIPS203及项目记录[1,7]。</w:t>
      </w:r>
    </w:p>
    <w:p w14:paraId="3B7D045F">
      <w:pPr>
        <w:jc w:val="both"/>
      </w:pPr>
      <w:r>
        <w:rPr>
          <w:rFonts w:ascii="Times New Roman" w:hAnsi="Times New Roman" w:eastAsia="宋体"/>
          <w:color w:val="000000"/>
        </w:rPr>
        <w:t>混合加密演示先分别完成ECDH和ML-KEM，再将两路秘密交给HKDF-SHA256，派生AES-256-GCM密钥，用于加密和恢复用户消息。可选择X25519、P-256、P-384与三个ML-KEM参数集，共九种组合。页面展示秘密一致性、密文与恢复结果，并用篡改后的数据检查认证失败。</w:t>
      </w:r>
    </w:p>
    <w:p w14:paraId="4C0501EB">
      <w:pPr>
        <w:jc w:val="both"/>
      </w:pPr>
      <w:r>
        <w:rPr>
          <w:rFonts w:ascii="Times New Roman" w:hAnsi="Times New Roman" w:eastAsia="宋体"/>
          <w:color w:val="000000"/>
        </w:rPr>
        <w:t>这一流程用于观察经典算法与后量子算法如何共同影响最终密钥。它采用项目自己的离线教学格式，不能直接作为TLS报文或标准文件加密格式用于互通。演示中的密钥均为本轮临时生成。</w:t>
      </w:r>
    </w:p>
    <w:p w14:paraId="7A84A230">
      <w:pPr>
        <w:jc w:val="both"/>
      </w:pPr>
      <w:r>
        <w:rPr>
          <w:rFonts w:ascii="Times New Roman" w:hAnsi="Times New Roman" w:eastAsia="宋体"/>
          <w:color w:val="000000"/>
        </w:rPr>
        <w:t>签名演示覆盖三组ML-DSA、十二组界面标为SLH-DSA的哈希签名参数，以及Falcon-512/1024。运行时生成密钥、签署消息，再分别验证原消息和修改后的消息。计算详情根据本轮实际签名展开ML-DSA的多项式与挑战检查、哈希签名的认证路径，或Falcon的环运算与范数检查，并要求数学重放结果与原生验签一致。</w:t>
      </w:r>
    </w:p>
    <w:p w14:paraId="30858ACD">
      <w:pPr>
        <w:jc w:val="both"/>
      </w:pPr>
      <w:r>
        <w:rPr>
          <w:rFonts w:ascii="Times New Roman" w:hAnsi="Times New Roman" w:eastAsia="宋体"/>
          <w:color w:val="000000"/>
        </w:rPr>
        <w:t>混合签名可以选择Ed25519、ECDSA-P256/P384或RSA-PSS-2048/3072作为经典组成部分。两份签名共同绑定算法名称、公钥和消息，接受条件为两份验签结果均通过。修改消息、经典签名或后量子签名时，分别记录各组成部分的结果。这是项目自定义的双签名教学格式，验证范围不包含IETF复合签名编码互通。</w:t>
      </w:r>
    </w:p>
    <w:p w14:paraId="648DEDCB">
      <w:pPr>
        <w:jc w:val="both"/>
      </w:pPr>
      <w:r>
        <w:rPr>
          <w:rFonts w:ascii="Times New Roman" w:hAnsi="Times New Roman" w:eastAsia="宋体"/>
          <w:color w:val="000000"/>
        </w:rPr>
        <w:t>哈希签名的实现口径也需要保留：界面虽然使用SLH-DSA参数名称，实际调用的是pqcrypto的SPHINCS+ simple后端，其外部消息处理与FIPS 205接口存在差异。本文将其作为该后端的计算与验签演示，不据此宣称已经完成FIPS 205外部接口互通验证。ML-DSA与SLH-DSA标准接口依据分别见FIPS204和FIPS205[2-3]。</w:t>
      </w:r>
    </w:p>
    <w:p w14:paraId="21FB93FB">
      <w:pPr>
        <w:pStyle w:val="4"/>
      </w:pPr>
      <w:bookmarkStart w:id="14" w:name="heading_24"/>
      <w:r>
        <w:rPr>
          <w:rFonts w:ascii="Times New Roman" w:hAnsi="Times New Roman" w:eastAsia="黑体"/>
          <w:b/>
          <w:color w:val="000000"/>
        </w:rPr>
        <w:t>3.6 计算数据来源与使用边界</w:t>
      </w:r>
      <w:bookmarkEnd w:id="14"/>
    </w:p>
    <w:p w14:paraId="55722D9F">
      <w:pPr>
        <w:jc w:val="both"/>
      </w:pPr>
      <w:r>
        <w:rPr>
          <w:rFonts w:ascii="Times New Roman" w:hAnsi="Times New Roman" w:eastAsia="宋体"/>
          <w:color w:val="000000"/>
        </w:rPr>
        <w:t>详情页按教学需要展示本轮临时种子、私钥中间量和共享秘密，数据留在内存和界面中，不自动写入日志。展示还区分直接解码、确定性重算和代数重建：原生库没有返回的随机流或被拒绝的重试，不补造数值。教学实现用于观察算法过程，不承担生产环境中的恒定时间密码实现职责。</w:t>
      </w:r>
    </w:p>
    <w:p w14:paraId="19C6418F">
      <w:pPr>
        <w:jc w:val="both"/>
      </w:pPr>
      <w:r>
        <w:rPr>
          <w:rFonts w:ascii="Times New Roman" w:hAnsi="Times New Roman" w:eastAsia="宋体"/>
          <w:color w:val="000000"/>
        </w:rPr>
        <w:t>计算详情按来源区分解码值、确定性重算值和代数重建值，并与原生验签或互操作结果比对。异常结果应保留其来源和失败步骤，不能补造随机数或中间值来替代未暴露的运算。临时私钥与共享秘密的展示服务于算法教学，使用者应按实验场景管理这些敏感数据。</w:t>
      </w:r>
    </w:p>
    <w:p w14:paraId="47AE9EA6">
      <w:pPr>
        <w:pStyle w:val="3"/>
      </w:pPr>
      <w:bookmarkStart w:id="15" w:name="heading_25"/>
      <w:r>
        <w:rPr>
          <w:rFonts w:ascii="Times New Roman" w:hAnsi="Times New Roman" w:eastAsia="黑体"/>
          <w:b/>
          <w:color w:val="000000"/>
        </w:rPr>
        <w:t>4 协议检测与证据管理</w:t>
      </w:r>
      <w:bookmarkEnd w:id="15"/>
    </w:p>
    <w:p w14:paraId="1D1BCB20">
      <w:pPr>
        <w:pStyle w:val="4"/>
      </w:pPr>
      <w:bookmarkStart w:id="16" w:name="heading_26"/>
      <w:r>
        <w:rPr>
          <w:rFonts w:ascii="Times New Roman" w:hAnsi="Times New Roman" w:eastAsia="黑体"/>
          <w:b/>
          <w:color w:val="000000"/>
        </w:rPr>
        <w:t>4.1 被动报文分析与协商还原</w:t>
      </w:r>
      <w:bookmarkEnd w:id="16"/>
    </w:p>
    <w:p w14:paraId="03BE3AA8">
      <w:pPr>
        <w:jc w:val="both"/>
      </w:pPr>
      <w:r>
        <w:rPr>
          <w:rFonts w:ascii="Times New Roman" w:hAnsi="Times New Roman" w:eastAsia="宋体"/>
          <w:color w:val="000000"/>
        </w:rPr>
        <w:t>导入抓包后，平台识别通信双方并重组TCP数据，将可解析的握手消息放入同一会话视图。对TLS1.3，ClientHello可以说明客户端提供了哪些版本、密码套件、密钥交换组和签名方案，以及SNI和ALPN候选；ServerHello则给出服务器最终选择的密码套件和key_share组。检测时要把“客户端提供过”与“服务器实际选择了”区分开，后者才是本次协商的直接依据。</w:t>
      </w:r>
    </w:p>
    <w:p w14:paraId="58FC965F">
      <w:pPr>
        <w:jc w:val="both"/>
      </w:pPr>
      <w:r>
        <w:rPr>
          <w:rFonts w:ascii="Times New Roman" w:hAnsi="Times New Roman" w:eastAsia="宋体"/>
          <w:color w:val="000000"/>
        </w:rPr>
        <w:t>如果报文中含有可见的Certificate，平台可以继续提取证书主体、签发者、有效期、签名算法和公钥信息。TLS1.2、TLCP、SSH、CSSH的可见握手字段也会按各自协议展示。对于IPsec，平台已能解析IKE提议与变换、协商时序，以及ESP/AH头部信息；遇到加密载荷时，分析停留在可见部分。</w:t>
      </w:r>
    </w:p>
    <w:p w14:paraId="7F53A1B0">
      <w:pPr>
        <w:pStyle w:val="4"/>
      </w:pPr>
      <w:bookmarkStart w:id="17" w:name="heading_27"/>
      <w:r>
        <w:rPr>
          <w:rFonts w:ascii="Times New Roman" w:hAnsi="Times New Roman" w:eastAsia="黑体"/>
          <w:b/>
          <w:color w:val="000000"/>
        </w:rPr>
        <w:t>4.2 被动分析的可见性限制</w:t>
      </w:r>
      <w:bookmarkEnd w:id="17"/>
    </w:p>
    <w:p w14:paraId="2681E78C">
      <w:pPr>
        <w:jc w:val="both"/>
      </w:pPr>
      <w:r>
        <w:rPr>
          <w:rFonts w:ascii="Times New Roman" w:hAnsi="Times New Roman" w:eastAsia="宋体"/>
          <w:color w:val="000000"/>
        </w:rPr>
        <w:t>普通抓包通常没有TLS会话所需的临时私钥。在TLS1.3中，ServerHello之后的握手消息已经加密，Certificate、CertificateVerify和Finished无法直接从密文中读取。这也是当前抓包页不能仅靠一份pcap完成证书认证和服务器握手验签的原因。相关消息的保护规则见RFC 8446，§2与 §4.4。</w:t>
      </w:r>
    </w:p>
    <w:p w14:paraId="0CEC37DD">
      <w:pPr>
        <w:jc w:val="both"/>
      </w:pPr>
      <w:r>
        <w:rPr>
          <w:rFonts w:ascii="Times New Roman" w:hAnsi="Times New Roman" w:eastAsia="宋体"/>
          <w:color w:val="000000"/>
        </w:rPr>
        <w:t>因此，被动检测首先回答本次连接观察到了什么：是否出现已知后量子组，key_share长度是否与组参数一致，证书字段是否可见。长度相符只能说明格式上没有发现这类矛盾，不能替代密钥交换或签名验证。缺包、截断、方向不明或未知组都会影响结果，此时应保留“无法判断”，不把信息缺失解释为不支持后量子算法。</w:t>
      </w:r>
    </w:p>
    <w:p w14:paraId="74B1E479">
      <w:pPr>
        <w:pStyle w:val="4"/>
      </w:pPr>
      <w:bookmarkStart w:id="18" w:name="heading_28"/>
      <w:r>
        <w:rPr>
          <w:rFonts w:ascii="Times New Roman" w:hAnsi="Times New Roman" w:eastAsia="黑体"/>
          <w:b/>
          <w:color w:val="000000"/>
        </w:rPr>
        <w:t>4.3 抓包观察与主动复测的衔接</w:t>
      </w:r>
      <w:bookmarkEnd w:id="18"/>
    </w:p>
    <w:p w14:paraId="670BEC34">
      <w:pPr>
        <w:jc w:val="both"/>
      </w:pPr>
      <w:r>
        <w:rPr>
          <w:rFonts w:ascii="Times New Roman" w:hAnsi="Times New Roman" w:eastAsia="宋体"/>
          <w:color w:val="000000"/>
        </w:rPr>
        <w:t>会话视图提供“对该目标主动复测”入口，优先使用抓包中的SNI和服务器端口；没有SNI时，只有在连接方向明确的情况下才采用服务器IP。复测会建立另一条连接，因此平台并列保留两份结果，并标明各自来源。新连接采用后量子组，可以补充说明该入口在复测时的行为，但不能据此改写原抓包连接的协商事实。</w:t>
      </w:r>
    </w:p>
    <w:p w14:paraId="3B5B5933">
      <w:pPr>
        <w:jc w:val="both"/>
      </w:pPr>
      <w:r>
        <w:rPr>
          <w:rFonts w:ascii="Times New Roman" w:hAnsi="Times New Roman" w:eastAsia="宋体"/>
          <w:color w:val="000000"/>
        </w:rPr>
        <w:t>主动复测优先关联同一次深度握手解密取得的证书；只有未取得时才另行连接获取证书，并标明独立来源。支持矩阵探测也属于另一次连接，其结果可补充入口的算法接受情况，但不得写入原会话作为已协商事实。</w:t>
      </w:r>
    </w:p>
    <w:p w14:paraId="7F9A4D11">
      <w:pPr>
        <w:pStyle w:val="4"/>
      </w:pPr>
      <w:bookmarkStart w:id="19" w:name="heading_29"/>
      <w:r>
        <w:rPr>
          <w:rFonts w:ascii="Times New Roman" w:hAnsi="Times New Roman" w:eastAsia="黑体"/>
          <w:b/>
          <w:color w:val="000000"/>
        </w:rPr>
        <w:t>4.4 分层结论与失败处理</w:t>
      </w:r>
      <w:bookmarkEnd w:id="19"/>
    </w:p>
    <w:p w14:paraId="1F1BBA2D">
      <w:pPr>
        <w:jc w:val="both"/>
      </w:pPr>
      <w:r>
        <w:rPr>
          <w:rFonts w:ascii="Times New Roman" w:hAnsi="Times New Roman" w:eastAsia="宋体"/>
          <w:color w:val="000000"/>
        </w:rPr>
        <w:t>密钥交换与身份认证分别判定。例如，一条连接选择X25519MLKEM768，但证书或所提供证书链中仍有ECDSA/RSA算法，结论为“部分抗量子”，并说明是哪一层尚未迁移。若两层算法及长度均符合要求、证书来自同一次握手，且CertificateVerify与Finished验证通过，才给出“双层抗量子算法与服务器握手已验证”，同时注明CA信任未验证。</w:t>
      </w:r>
    </w:p>
    <w:p w14:paraId="2731BAC0">
      <w:pPr>
        <w:jc w:val="both"/>
      </w:pPr>
      <w:r>
        <w:rPr>
          <w:rFonts w:ascii="Times New Roman" w:hAnsi="Times New Roman" w:eastAsia="宋体"/>
          <w:color w:val="000000"/>
        </w:rPr>
        <w:t>快速模式只取得ServerHello等证据，不能给出同等强度的验证结论。深度流程遇到当前未处理的HelloRetryRequest等情况而退回快速探测时，也会标明“服务器握手未验证”。长度不符、验签失败和证据不足分别保留原因。所有结论都限定于当前连接或本次探测，不外推为站点全部入口的部署情况。</w:t>
      </w:r>
    </w:p>
    <w:p w14:paraId="5DB76EEE">
      <w:pPr>
        <w:pStyle w:val="15"/>
        <w:keepNext/>
        <w:spacing w:before="100" w:after="120"/>
        <w:ind w:firstLine="0"/>
        <w:jc w:val="center"/>
      </w:pPr>
      <w:r>
        <w:rPr>
          <w:rFonts w:ascii="Times New Roman" w:hAnsi="Times New Roman" w:eastAsia="宋体"/>
          <w:color w:val="000000"/>
        </w:rPr>
        <w:t>表4-1 分层结论的形成条件</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2268"/>
        <w:gridCol w:w="3175"/>
        <w:gridCol w:w="3628"/>
      </w:tblGrid>
      <w:tr w14:paraId="3386533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2268" w:type="dxa"/>
            <w:shd w:val="clear" w:color="auto" w:fill="E8EDF2"/>
            <w:tcMar>
              <w:top w:w="90" w:type="dxa"/>
              <w:left w:w="100" w:type="dxa"/>
              <w:bottom w:w="90" w:type="dxa"/>
              <w:right w:w="100" w:type="dxa"/>
            </w:tcMar>
            <w:vAlign w:val="center"/>
          </w:tcPr>
          <w:p w14:paraId="0F58ADF2">
            <w:pPr>
              <w:keepNext/>
              <w:spacing w:before="0" w:after="0" w:line="300" w:lineRule="exact"/>
              <w:ind w:firstLine="0"/>
              <w:jc w:val="center"/>
            </w:pPr>
            <w:r>
              <w:rPr>
                <w:rFonts w:ascii="Times New Roman" w:hAnsi="Times New Roman" w:eastAsia="宋体"/>
                <w:b/>
                <w:color w:val="000000"/>
                <w:sz w:val="21"/>
              </w:rPr>
              <w:t>结论</w:t>
            </w:r>
          </w:p>
        </w:tc>
        <w:tc>
          <w:tcPr>
            <w:tcW w:w="3175" w:type="dxa"/>
            <w:shd w:val="clear" w:color="auto" w:fill="E8EDF2"/>
            <w:tcMar>
              <w:top w:w="90" w:type="dxa"/>
              <w:left w:w="100" w:type="dxa"/>
              <w:bottom w:w="90" w:type="dxa"/>
              <w:right w:w="100" w:type="dxa"/>
            </w:tcMar>
            <w:vAlign w:val="center"/>
          </w:tcPr>
          <w:p w14:paraId="5D455C06">
            <w:pPr>
              <w:keepNext/>
              <w:spacing w:before="0" w:after="0" w:line="300" w:lineRule="exact"/>
              <w:ind w:firstLine="0"/>
              <w:jc w:val="center"/>
            </w:pPr>
            <w:r>
              <w:rPr>
                <w:rFonts w:ascii="Times New Roman" w:hAnsi="Times New Roman" w:eastAsia="宋体"/>
                <w:b/>
                <w:color w:val="000000"/>
                <w:sz w:val="21"/>
              </w:rPr>
              <w:t>密钥交换与证书证据</w:t>
            </w:r>
          </w:p>
        </w:tc>
        <w:tc>
          <w:tcPr>
            <w:tcW w:w="3628" w:type="dxa"/>
            <w:shd w:val="clear" w:color="auto" w:fill="E8EDF2"/>
            <w:tcMar>
              <w:top w:w="90" w:type="dxa"/>
              <w:left w:w="100" w:type="dxa"/>
              <w:bottom w:w="90" w:type="dxa"/>
              <w:right w:w="100" w:type="dxa"/>
            </w:tcMar>
            <w:vAlign w:val="center"/>
          </w:tcPr>
          <w:p w14:paraId="60D09579">
            <w:pPr>
              <w:keepNext/>
              <w:spacing w:before="0" w:after="0" w:line="300" w:lineRule="exact"/>
              <w:ind w:firstLine="0"/>
              <w:jc w:val="center"/>
            </w:pPr>
            <w:r>
              <w:rPr>
                <w:rFonts w:ascii="Times New Roman" w:hAnsi="Times New Roman" w:eastAsia="宋体"/>
                <w:b/>
                <w:color w:val="000000"/>
                <w:sz w:val="21"/>
              </w:rPr>
              <w:t>验证条件或限制</w:t>
            </w:r>
          </w:p>
        </w:tc>
      </w:tr>
      <w:tr w14:paraId="3B87487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268" w:type="dxa"/>
            <w:tcMar>
              <w:top w:w="90" w:type="dxa"/>
              <w:left w:w="100" w:type="dxa"/>
              <w:bottom w:w="90" w:type="dxa"/>
              <w:right w:w="100" w:type="dxa"/>
            </w:tcMar>
            <w:vAlign w:val="center"/>
          </w:tcPr>
          <w:p w14:paraId="4A5FDB94">
            <w:pPr>
              <w:keepNext/>
              <w:spacing w:before="0" w:after="0" w:line="300" w:lineRule="exact"/>
              <w:ind w:firstLine="0"/>
              <w:jc w:val="center"/>
            </w:pPr>
            <w:r>
              <w:rPr>
                <w:rFonts w:ascii="Times New Roman" w:hAnsi="Times New Roman" w:eastAsia="宋体"/>
                <w:b w:val="0"/>
                <w:color w:val="000000"/>
                <w:sz w:val="21"/>
              </w:rPr>
              <w:t>双层算法与握手已验证</w:t>
            </w:r>
          </w:p>
        </w:tc>
        <w:tc>
          <w:tcPr>
            <w:tcW w:w="3175" w:type="dxa"/>
            <w:tcMar>
              <w:top w:w="90" w:type="dxa"/>
              <w:left w:w="100" w:type="dxa"/>
              <w:bottom w:w="90" w:type="dxa"/>
              <w:right w:w="100" w:type="dxa"/>
            </w:tcMar>
            <w:vAlign w:val="center"/>
          </w:tcPr>
          <w:p w14:paraId="5BA32431">
            <w:pPr>
              <w:keepNext/>
              <w:spacing w:before="0" w:after="0" w:line="300" w:lineRule="exact"/>
              <w:ind w:firstLine="0"/>
              <w:jc w:val="left"/>
            </w:pPr>
            <w:r>
              <w:rPr>
                <w:rFonts w:ascii="Times New Roman" w:hAnsi="Times New Roman" w:eastAsia="宋体"/>
                <w:b w:val="0"/>
                <w:color w:val="000000"/>
                <w:sz w:val="21"/>
              </w:rPr>
              <w:t>后量子组及参数一致；所提供证书链均采用后量子算法</w:t>
            </w:r>
          </w:p>
        </w:tc>
        <w:tc>
          <w:tcPr>
            <w:tcW w:w="3628" w:type="dxa"/>
            <w:tcMar>
              <w:top w:w="90" w:type="dxa"/>
              <w:left w:w="100" w:type="dxa"/>
              <w:bottom w:w="90" w:type="dxa"/>
              <w:right w:w="100" w:type="dxa"/>
            </w:tcMar>
            <w:vAlign w:val="center"/>
          </w:tcPr>
          <w:p w14:paraId="5953FD96">
            <w:pPr>
              <w:keepNext/>
              <w:spacing w:before="0" w:after="0" w:line="300" w:lineRule="exact"/>
              <w:ind w:firstLine="0"/>
              <w:jc w:val="left"/>
            </w:pPr>
            <w:r>
              <w:rPr>
                <w:rFonts w:ascii="Times New Roman" w:hAnsi="Times New Roman" w:eastAsia="宋体"/>
                <w:b w:val="0"/>
                <w:color w:val="000000"/>
                <w:sz w:val="21"/>
              </w:rPr>
              <w:t>证书来自同次握手，Finished和CertificateVerify均通过；CA信任未验证</w:t>
            </w:r>
          </w:p>
        </w:tc>
      </w:tr>
      <w:tr w14:paraId="0E073B0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268" w:type="dxa"/>
            <w:tcMar>
              <w:top w:w="90" w:type="dxa"/>
              <w:left w:w="100" w:type="dxa"/>
              <w:bottom w:w="90" w:type="dxa"/>
              <w:right w:w="100" w:type="dxa"/>
            </w:tcMar>
            <w:vAlign w:val="center"/>
          </w:tcPr>
          <w:p w14:paraId="05B41CDC">
            <w:pPr>
              <w:keepNext/>
              <w:spacing w:before="0" w:after="0" w:line="300" w:lineRule="exact"/>
              <w:ind w:firstLine="0"/>
              <w:jc w:val="center"/>
            </w:pPr>
            <w:r>
              <w:rPr>
                <w:rFonts w:ascii="Times New Roman" w:hAnsi="Times New Roman" w:eastAsia="宋体"/>
                <w:b w:val="0"/>
                <w:color w:val="000000"/>
                <w:sz w:val="21"/>
              </w:rPr>
              <w:t>部分抗量子</w:t>
            </w:r>
          </w:p>
        </w:tc>
        <w:tc>
          <w:tcPr>
            <w:tcW w:w="3175" w:type="dxa"/>
            <w:tcMar>
              <w:top w:w="90" w:type="dxa"/>
              <w:left w:w="100" w:type="dxa"/>
              <w:bottom w:w="90" w:type="dxa"/>
              <w:right w:w="100" w:type="dxa"/>
            </w:tcMar>
            <w:vAlign w:val="center"/>
          </w:tcPr>
          <w:p w14:paraId="4A539B50">
            <w:pPr>
              <w:keepNext/>
              <w:spacing w:before="0" w:after="0" w:line="300" w:lineRule="exact"/>
              <w:ind w:firstLine="0"/>
              <w:jc w:val="left"/>
            </w:pPr>
            <w:r>
              <w:rPr>
                <w:rFonts w:ascii="Times New Roman" w:hAnsi="Times New Roman" w:eastAsia="宋体"/>
                <w:b w:val="0"/>
                <w:color w:val="000000"/>
                <w:sz w:val="21"/>
              </w:rPr>
              <w:t>仅密钥交换或证书层采用后量子算法</w:t>
            </w:r>
          </w:p>
        </w:tc>
        <w:tc>
          <w:tcPr>
            <w:tcW w:w="3628" w:type="dxa"/>
            <w:tcMar>
              <w:top w:w="90" w:type="dxa"/>
              <w:left w:w="100" w:type="dxa"/>
              <w:bottom w:w="90" w:type="dxa"/>
              <w:right w:w="100" w:type="dxa"/>
            </w:tcMar>
            <w:vAlign w:val="center"/>
          </w:tcPr>
          <w:p w14:paraId="46AB0305">
            <w:pPr>
              <w:keepNext/>
              <w:spacing w:before="0" w:after="0" w:line="300" w:lineRule="exact"/>
              <w:ind w:firstLine="0"/>
              <w:jc w:val="left"/>
            </w:pPr>
            <w:r>
              <w:rPr>
                <w:rFonts w:ascii="Times New Roman" w:hAnsi="Times New Roman" w:eastAsia="宋体"/>
                <w:b w:val="0"/>
                <w:color w:val="000000"/>
                <w:sz w:val="21"/>
              </w:rPr>
              <w:t>说明尚未迁移的层次；另列握手验证状态</w:t>
            </w:r>
          </w:p>
        </w:tc>
      </w:tr>
      <w:tr w14:paraId="5BE494E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268" w:type="dxa"/>
            <w:tcMar>
              <w:top w:w="90" w:type="dxa"/>
              <w:left w:w="100" w:type="dxa"/>
              <w:bottom w:w="90" w:type="dxa"/>
              <w:right w:w="100" w:type="dxa"/>
            </w:tcMar>
            <w:vAlign w:val="center"/>
          </w:tcPr>
          <w:p w14:paraId="405F5258">
            <w:pPr>
              <w:keepNext/>
              <w:spacing w:before="0" w:after="0" w:line="300" w:lineRule="exact"/>
              <w:ind w:firstLine="0"/>
              <w:jc w:val="center"/>
            </w:pPr>
            <w:r>
              <w:rPr>
                <w:rFonts w:ascii="Times New Roman" w:hAnsi="Times New Roman" w:eastAsia="宋体"/>
                <w:b w:val="0"/>
                <w:color w:val="000000"/>
                <w:sz w:val="21"/>
              </w:rPr>
              <w:t>双层算法证据未验证</w:t>
            </w:r>
          </w:p>
        </w:tc>
        <w:tc>
          <w:tcPr>
            <w:tcW w:w="3175" w:type="dxa"/>
            <w:tcMar>
              <w:top w:w="90" w:type="dxa"/>
              <w:left w:w="100" w:type="dxa"/>
              <w:bottom w:w="90" w:type="dxa"/>
              <w:right w:w="100" w:type="dxa"/>
            </w:tcMar>
            <w:vAlign w:val="center"/>
          </w:tcPr>
          <w:p w14:paraId="3AB35A24">
            <w:pPr>
              <w:keepNext/>
              <w:spacing w:before="0" w:after="0" w:line="300" w:lineRule="exact"/>
              <w:ind w:firstLine="0"/>
              <w:jc w:val="left"/>
            </w:pPr>
            <w:r>
              <w:rPr>
                <w:rFonts w:ascii="Times New Roman" w:hAnsi="Times New Roman" w:eastAsia="宋体"/>
                <w:b w:val="0"/>
                <w:color w:val="000000"/>
                <w:sz w:val="21"/>
              </w:rPr>
              <w:t>观察到后量子组和证书算法标识</w:t>
            </w:r>
          </w:p>
        </w:tc>
        <w:tc>
          <w:tcPr>
            <w:tcW w:w="3628" w:type="dxa"/>
            <w:tcMar>
              <w:top w:w="90" w:type="dxa"/>
              <w:left w:w="100" w:type="dxa"/>
              <w:bottom w:w="90" w:type="dxa"/>
              <w:right w:w="100" w:type="dxa"/>
            </w:tcMar>
            <w:vAlign w:val="center"/>
          </w:tcPr>
          <w:p w14:paraId="0960667D">
            <w:pPr>
              <w:keepNext/>
              <w:spacing w:before="0" w:after="0" w:line="300" w:lineRule="exact"/>
              <w:ind w:firstLine="0"/>
              <w:jc w:val="left"/>
            </w:pPr>
            <w:r>
              <w:rPr>
                <w:rFonts w:ascii="Times New Roman" w:hAnsi="Times New Roman" w:eastAsia="宋体"/>
                <w:b w:val="0"/>
                <w:color w:val="000000"/>
                <w:sz w:val="21"/>
              </w:rPr>
              <w:t>未完成密码学验证，不能给出已验证结论</w:t>
            </w:r>
          </w:p>
        </w:tc>
      </w:tr>
      <w:tr w14:paraId="688014F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268" w:type="dxa"/>
            <w:tcMar>
              <w:top w:w="90" w:type="dxa"/>
              <w:left w:w="100" w:type="dxa"/>
              <w:bottom w:w="90" w:type="dxa"/>
              <w:right w:w="100" w:type="dxa"/>
            </w:tcMar>
            <w:vAlign w:val="center"/>
          </w:tcPr>
          <w:p w14:paraId="2F8C8835">
            <w:pPr>
              <w:keepNext/>
              <w:spacing w:before="0" w:after="0" w:line="300" w:lineRule="exact"/>
              <w:ind w:firstLine="0"/>
              <w:jc w:val="center"/>
            </w:pPr>
            <w:r>
              <w:rPr>
                <w:rFonts w:ascii="Times New Roman" w:hAnsi="Times New Roman" w:eastAsia="宋体"/>
                <w:b w:val="0"/>
                <w:color w:val="000000"/>
                <w:sz w:val="21"/>
              </w:rPr>
              <w:t>本次未观察到抗量子</w:t>
            </w:r>
          </w:p>
        </w:tc>
        <w:tc>
          <w:tcPr>
            <w:tcW w:w="3175" w:type="dxa"/>
            <w:tcMar>
              <w:top w:w="90" w:type="dxa"/>
              <w:left w:w="100" w:type="dxa"/>
              <w:bottom w:w="90" w:type="dxa"/>
              <w:right w:w="100" w:type="dxa"/>
            </w:tcMar>
            <w:vAlign w:val="center"/>
          </w:tcPr>
          <w:p w14:paraId="6256D458">
            <w:pPr>
              <w:keepNext/>
              <w:spacing w:before="0" w:after="0" w:line="300" w:lineRule="exact"/>
              <w:ind w:firstLine="0"/>
              <w:jc w:val="left"/>
            </w:pPr>
            <w:r>
              <w:rPr>
                <w:rFonts w:ascii="Times New Roman" w:hAnsi="Times New Roman" w:eastAsia="宋体"/>
                <w:b w:val="0"/>
                <w:color w:val="000000"/>
                <w:sz w:val="21"/>
              </w:rPr>
              <w:t>可识别的密钥交换与证书均为经典算法</w:t>
            </w:r>
          </w:p>
        </w:tc>
        <w:tc>
          <w:tcPr>
            <w:tcW w:w="3628" w:type="dxa"/>
            <w:tcMar>
              <w:top w:w="90" w:type="dxa"/>
              <w:left w:w="100" w:type="dxa"/>
              <w:bottom w:w="90" w:type="dxa"/>
              <w:right w:w="100" w:type="dxa"/>
            </w:tcMar>
            <w:vAlign w:val="center"/>
          </w:tcPr>
          <w:p w14:paraId="443A1EF7">
            <w:pPr>
              <w:keepNext/>
              <w:spacing w:before="0" w:after="0" w:line="300" w:lineRule="exact"/>
              <w:ind w:firstLine="0"/>
              <w:jc w:val="left"/>
            </w:pPr>
            <w:r>
              <w:rPr>
                <w:rFonts w:ascii="Times New Roman" w:hAnsi="Times New Roman" w:eastAsia="宋体"/>
                <w:b w:val="0"/>
                <w:color w:val="000000"/>
                <w:sz w:val="21"/>
              </w:rPr>
              <w:t>仅针对本次连接，不推断其他入口</w:t>
            </w:r>
          </w:p>
        </w:tc>
      </w:tr>
      <w:tr w14:paraId="5EEB42F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2268" w:type="dxa"/>
            <w:tcMar>
              <w:top w:w="90" w:type="dxa"/>
              <w:left w:w="100" w:type="dxa"/>
              <w:bottom w:w="90" w:type="dxa"/>
              <w:right w:w="100" w:type="dxa"/>
            </w:tcMar>
            <w:vAlign w:val="center"/>
          </w:tcPr>
          <w:p w14:paraId="52E7928C">
            <w:pPr>
              <w:keepNext/>
              <w:spacing w:before="0" w:after="0" w:line="300" w:lineRule="exact"/>
              <w:ind w:firstLine="0"/>
              <w:jc w:val="center"/>
            </w:pPr>
            <w:r>
              <w:rPr>
                <w:rFonts w:ascii="Times New Roman" w:hAnsi="Times New Roman" w:eastAsia="宋体"/>
                <w:b w:val="0"/>
                <w:color w:val="000000"/>
                <w:sz w:val="21"/>
              </w:rPr>
              <w:t>验证失败或无法判断</w:t>
            </w:r>
          </w:p>
        </w:tc>
        <w:tc>
          <w:tcPr>
            <w:tcW w:w="3175" w:type="dxa"/>
            <w:tcMar>
              <w:top w:w="90" w:type="dxa"/>
              <w:left w:w="100" w:type="dxa"/>
              <w:bottom w:w="90" w:type="dxa"/>
              <w:right w:w="100" w:type="dxa"/>
            </w:tcMar>
            <w:vAlign w:val="center"/>
          </w:tcPr>
          <w:p w14:paraId="539B1ABD">
            <w:pPr>
              <w:keepNext/>
              <w:spacing w:before="0" w:after="0" w:line="300" w:lineRule="exact"/>
              <w:ind w:firstLine="0"/>
              <w:jc w:val="left"/>
            </w:pPr>
            <w:r>
              <w:rPr>
                <w:rFonts w:ascii="Times New Roman" w:hAnsi="Times New Roman" w:eastAsia="宋体"/>
                <w:b w:val="0"/>
                <w:color w:val="000000"/>
                <w:sz w:val="21"/>
              </w:rPr>
              <w:t>参数矛盾、校验失败、缺包或证据不可取得</w:t>
            </w:r>
          </w:p>
        </w:tc>
        <w:tc>
          <w:tcPr>
            <w:tcW w:w="3628" w:type="dxa"/>
            <w:tcMar>
              <w:top w:w="90" w:type="dxa"/>
              <w:left w:w="100" w:type="dxa"/>
              <w:bottom w:w="90" w:type="dxa"/>
              <w:right w:w="100" w:type="dxa"/>
            </w:tcMar>
            <w:vAlign w:val="center"/>
          </w:tcPr>
          <w:p w14:paraId="781633A9">
            <w:pPr>
              <w:keepNext w:val="0"/>
              <w:spacing w:before="0" w:after="0" w:line="300" w:lineRule="exact"/>
              <w:ind w:firstLine="0"/>
              <w:jc w:val="left"/>
            </w:pPr>
            <w:r>
              <w:rPr>
                <w:rFonts w:ascii="Times New Roman" w:hAnsi="Times New Roman" w:eastAsia="宋体"/>
                <w:b w:val="0"/>
                <w:color w:val="000000"/>
                <w:sz w:val="21"/>
              </w:rPr>
              <w:t>分别记录失败原因与证据缺口</w:t>
            </w:r>
          </w:p>
        </w:tc>
      </w:tr>
    </w:tbl>
    <w:p w14:paraId="55C6C760">
      <w:pPr>
        <w:spacing w:before="0" w:after="0" w:line="240" w:lineRule="auto"/>
        <w:ind w:firstLine="0"/>
      </w:pPr>
    </w:p>
    <w:p w14:paraId="263E1CA0">
      <w:pPr>
        <w:pStyle w:val="4"/>
      </w:pPr>
      <w:bookmarkStart w:id="20" w:name="heading_30"/>
      <w:r>
        <w:rPr>
          <w:rFonts w:ascii="Times New Roman" w:hAnsi="Times New Roman" w:eastAsia="黑体"/>
          <w:b/>
          <w:color w:val="000000"/>
        </w:rPr>
        <w:t>4.5 结果记录与复核</w:t>
      </w:r>
      <w:bookmarkEnd w:id="20"/>
    </w:p>
    <w:p w14:paraId="23EA991B">
      <w:pPr>
        <w:jc w:val="both"/>
      </w:pPr>
      <w:r>
        <w:rPr>
          <w:rFonts w:ascii="Times New Roman" w:hAnsi="Times New Roman" w:eastAsia="宋体"/>
          <w:color w:val="000000"/>
        </w:rPr>
        <w:t>阅读结果时，先确认目标地址、端口、时间和证据来源，再看实际协商的组、算法参数和验证状态。抓包记录、主连接深度验证、支持矩阵探测和另行获取的证书，可能来自不同连接；报告需要保留这些区别，才能解释它们是否相互印证。</w:t>
      </w:r>
    </w:p>
    <w:p w14:paraId="2517411C">
      <w:pPr>
        <w:jc w:val="both"/>
      </w:pPr>
      <w:r>
        <w:rPr>
          <w:rFonts w:ascii="Times New Roman" w:hAnsi="Times New Roman" w:eastAsia="宋体"/>
          <w:color w:val="000000"/>
        </w:rPr>
        <w:t>主动TLS结果包含组编号、密码套件、key_share实际及预期长度、CertificateVerify和Finished状态，以及证书算法、参数长度、指纹、来源和服务器提供的证书列表。实验站还保留具体检查项、原始输出及失败原因，分别说明实验CA或固定公钥的信任范围。验证失败、不支持验签和未能取得证据应按各自原因阅读。</w:t>
      </w:r>
    </w:p>
    <w:p w14:paraId="0FF96BF6">
      <w:pPr>
        <w:jc w:val="both"/>
      </w:pPr>
      <w:r>
        <w:rPr>
          <w:rFonts w:ascii="Times New Roman" w:hAnsi="Times New Roman" w:eastAsia="宋体"/>
          <w:color w:val="000000"/>
        </w:rPr>
        <w:t>界面摘要用于定位问题，JSON便于逐项比对。TLS详细文本保留原始记录、解密后可取得的握手内容和字段说明；本地实验站提供对应报告与证据文件。复核时可以从结论回到字段或报文，再核对其验证步骤和样本来源。</w:t>
      </w:r>
    </w:p>
    <w:p w14:paraId="25783032">
      <w:pPr>
        <w:pStyle w:val="3"/>
      </w:pPr>
      <w:bookmarkStart w:id="21" w:name="heading_31"/>
      <w:r>
        <w:rPr>
          <w:rFonts w:ascii="Times New Roman" w:hAnsi="Times New Roman" w:eastAsia="黑体"/>
          <w:b/>
          <w:color w:val="000000"/>
        </w:rPr>
        <w:t>5 原型实验与结果分析</w:t>
      </w:r>
      <w:bookmarkEnd w:id="21"/>
    </w:p>
    <w:p w14:paraId="73017683">
      <w:pPr>
        <w:pStyle w:val="4"/>
      </w:pPr>
      <w:bookmarkStart w:id="22" w:name="heading_32"/>
      <w:r>
        <w:rPr>
          <w:rFonts w:ascii="Times New Roman" w:hAnsi="Times New Roman" w:eastAsia="黑体"/>
          <w:b/>
          <w:color w:val="000000"/>
        </w:rPr>
        <w:t>5.1 实验对象与运行环境</w:t>
      </w:r>
      <w:bookmarkEnd w:id="22"/>
    </w:p>
    <w:p w14:paraId="7FF02DDD">
      <w:pPr>
        <w:jc w:val="both"/>
      </w:pPr>
      <w:r>
        <w:rPr>
          <w:rFonts w:ascii="Times New Roman" w:hAnsi="Times New Roman" w:eastAsia="宋体"/>
          <w:color w:val="000000"/>
        </w:rPr>
        <w:t>公网探测的结果受对端配置影响，仅靠它难以覆盖所有预期组合和异常情况。本地实验站由项目生成实验身份并启动真实服务，客户端据此核对预期算法、身份和响应内容。当前四种实验模式分别关注TLS通道和应用消息签名，验证对象如下。</w:t>
      </w:r>
    </w:p>
    <w:p w14:paraId="234B0E05">
      <w:pPr>
        <w:pStyle w:val="15"/>
        <w:keepNext/>
        <w:spacing w:before="100" w:after="120"/>
        <w:ind w:firstLine="0"/>
        <w:jc w:val="center"/>
      </w:pPr>
      <w:r>
        <w:rPr>
          <w:rFonts w:ascii="Times New Roman" w:hAnsi="Times New Roman" w:eastAsia="宋体"/>
          <w:color w:val="000000"/>
        </w:rPr>
        <w:t>表5-1 实验模式与验证对象</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701"/>
        <w:gridCol w:w="3685"/>
        <w:gridCol w:w="3685"/>
      </w:tblGrid>
      <w:tr w14:paraId="62577C7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1701" w:type="dxa"/>
            <w:shd w:val="clear" w:color="auto" w:fill="E8EDF2"/>
            <w:tcMar>
              <w:top w:w="90" w:type="dxa"/>
              <w:left w:w="100" w:type="dxa"/>
              <w:bottom w:w="90" w:type="dxa"/>
              <w:right w:w="100" w:type="dxa"/>
            </w:tcMar>
            <w:vAlign w:val="center"/>
          </w:tcPr>
          <w:p w14:paraId="06F99A28">
            <w:pPr>
              <w:keepNext/>
              <w:spacing w:before="0" w:after="0" w:line="300" w:lineRule="exact"/>
              <w:ind w:firstLine="0"/>
              <w:jc w:val="center"/>
            </w:pPr>
            <w:r>
              <w:rPr>
                <w:rFonts w:ascii="Times New Roman" w:hAnsi="Times New Roman" w:eastAsia="宋体"/>
                <w:b/>
                <w:color w:val="000000"/>
                <w:sz w:val="21"/>
              </w:rPr>
              <w:t>实验模式</w:t>
            </w:r>
          </w:p>
        </w:tc>
        <w:tc>
          <w:tcPr>
            <w:tcW w:w="3685" w:type="dxa"/>
            <w:shd w:val="clear" w:color="auto" w:fill="E8EDF2"/>
            <w:tcMar>
              <w:top w:w="90" w:type="dxa"/>
              <w:left w:w="100" w:type="dxa"/>
              <w:bottom w:w="90" w:type="dxa"/>
              <w:right w:w="100" w:type="dxa"/>
            </w:tcMar>
            <w:vAlign w:val="center"/>
          </w:tcPr>
          <w:p w14:paraId="0ABEAC2E">
            <w:pPr>
              <w:keepNext/>
              <w:spacing w:before="0" w:after="0" w:line="300" w:lineRule="exact"/>
              <w:ind w:firstLine="0"/>
              <w:jc w:val="center"/>
            </w:pPr>
            <w:r>
              <w:rPr>
                <w:rFonts w:ascii="Times New Roman" w:hAnsi="Times New Roman" w:eastAsia="宋体"/>
                <w:b/>
                <w:color w:val="000000"/>
                <w:sz w:val="21"/>
              </w:rPr>
              <w:t>主要验证内容</w:t>
            </w:r>
          </w:p>
        </w:tc>
        <w:tc>
          <w:tcPr>
            <w:tcW w:w="3685" w:type="dxa"/>
            <w:shd w:val="clear" w:color="auto" w:fill="E8EDF2"/>
            <w:tcMar>
              <w:top w:w="90" w:type="dxa"/>
              <w:left w:w="100" w:type="dxa"/>
              <w:bottom w:w="90" w:type="dxa"/>
              <w:right w:w="100" w:type="dxa"/>
            </w:tcMar>
            <w:vAlign w:val="center"/>
          </w:tcPr>
          <w:p w14:paraId="01F335D7">
            <w:pPr>
              <w:keepNext/>
              <w:spacing w:before="0" w:after="0" w:line="300" w:lineRule="exact"/>
              <w:ind w:firstLine="0"/>
              <w:jc w:val="center"/>
            </w:pPr>
            <w:r>
              <w:rPr>
                <w:rFonts w:ascii="Times New Roman" w:hAnsi="Times New Roman" w:eastAsia="宋体"/>
                <w:b/>
                <w:color w:val="000000"/>
                <w:sz w:val="21"/>
              </w:rPr>
              <w:t>认证依据与范围</w:t>
            </w:r>
          </w:p>
        </w:tc>
      </w:tr>
      <w:tr w14:paraId="7111F10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01" w:type="dxa"/>
            <w:tcMar>
              <w:top w:w="90" w:type="dxa"/>
              <w:left w:w="100" w:type="dxa"/>
              <w:bottom w:w="90" w:type="dxa"/>
              <w:right w:w="100" w:type="dxa"/>
            </w:tcMar>
            <w:vAlign w:val="center"/>
          </w:tcPr>
          <w:p w14:paraId="04E29FE7">
            <w:pPr>
              <w:keepNext/>
              <w:spacing w:before="0" w:after="0" w:line="300" w:lineRule="exact"/>
              <w:ind w:firstLine="0"/>
              <w:jc w:val="center"/>
            </w:pPr>
            <w:r>
              <w:rPr>
                <w:rFonts w:ascii="Times New Roman" w:hAnsi="Times New Roman" w:eastAsia="宋体"/>
                <w:b w:val="0"/>
                <w:color w:val="000000"/>
                <w:sz w:val="21"/>
              </w:rPr>
              <w:t>HTTPS</w:t>
            </w:r>
          </w:p>
        </w:tc>
        <w:tc>
          <w:tcPr>
            <w:tcW w:w="3685" w:type="dxa"/>
            <w:tcMar>
              <w:top w:w="90" w:type="dxa"/>
              <w:left w:w="100" w:type="dxa"/>
              <w:bottom w:w="90" w:type="dxa"/>
              <w:right w:w="100" w:type="dxa"/>
            </w:tcMar>
            <w:vAlign w:val="center"/>
          </w:tcPr>
          <w:p w14:paraId="33B7E420">
            <w:pPr>
              <w:keepNext/>
              <w:spacing w:before="0" w:after="0" w:line="300" w:lineRule="exact"/>
              <w:ind w:firstLine="0"/>
              <w:jc w:val="left"/>
            </w:pPr>
            <w:r>
              <w:rPr>
                <w:rFonts w:ascii="Times New Roman" w:hAnsi="Times New Roman" w:eastAsia="宋体"/>
                <w:b w:val="0"/>
                <w:color w:val="000000"/>
                <w:sz w:val="21"/>
              </w:rPr>
              <w:t>TLS握手与证书校验；完成GET并核对响应体</w:t>
            </w:r>
          </w:p>
        </w:tc>
        <w:tc>
          <w:tcPr>
            <w:tcW w:w="3685" w:type="dxa"/>
            <w:tcMar>
              <w:top w:w="90" w:type="dxa"/>
              <w:left w:w="100" w:type="dxa"/>
              <w:bottom w:w="90" w:type="dxa"/>
              <w:right w:w="100" w:type="dxa"/>
            </w:tcMar>
            <w:vAlign w:val="center"/>
          </w:tcPr>
          <w:p w14:paraId="0FF64B2D">
            <w:pPr>
              <w:keepNext/>
              <w:spacing w:before="0" w:after="0" w:line="300" w:lineRule="exact"/>
              <w:ind w:firstLine="0"/>
              <w:jc w:val="left"/>
            </w:pPr>
            <w:r>
              <w:rPr>
                <w:rFonts w:ascii="Times New Roman" w:hAnsi="Times New Roman" w:eastAsia="宋体"/>
                <w:b w:val="0"/>
                <w:color w:val="000000"/>
                <w:sz w:val="21"/>
              </w:rPr>
              <w:t>显式信任实验CA；验证加密通道及页面内容</w:t>
            </w:r>
          </w:p>
        </w:tc>
      </w:tr>
      <w:tr w14:paraId="3C8DE2B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01" w:type="dxa"/>
            <w:tcMar>
              <w:top w:w="90" w:type="dxa"/>
              <w:left w:w="100" w:type="dxa"/>
              <w:bottom w:w="90" w:type="dxa"/>
              <w:right w:w="100" w:type="dxa"/>
            </w:tcMar>
            <w:vAlign w:val="center"/>
          </w:tcPr>
          <w:p w14:paraId="370B0FAE">
            <w:pPr>
              <w:keepNext/>
              <w:spacing w:before="0" w:after="0" w:line="300" w:lineRule="exact"/>
              <w:ind w:firstLine="0"/>
              <w:jc w:val="center"/>
            </w:pPr>
            <w:r>
              <w:rPr>
                <w:rFonts w:ascii="Times New Roman" w:hAnsi="Times New Roman" w:eastAsia="宋体"/>
                <w:b w:val="0"/>
                <w:color w:val="000000"/>
                <w:sz w:val="21"/>
              </w:rPr>
              <w:t>TLS1.3握手</w:t>
            </w:r>
          </w:p>
        </w:tc>
        <w:tc>
          <w:tcPr>
            <w:tcW w:w="3685" w:type="dxa"/>
            <w:tcMar>
              <w:top w:w="90" w:type="dxa"/>
              <w:left w:w="100" w:type="dxa"/>
              <w:bottom w:w="90" w:type="dxa"/>
              <w:right w:w="100" w:type="dxa"/>
            </w:tcMar>
            <w:vAlign w:val="center"/>
          </w:tcPr>
          <w:p w14:paraId="1348F05D">
            <w:pPr>
              <w:keepNext/>
              <w:spacing w:before="0" w:after="0" w:line="300" w:lineRule="exact"/>
              <w:ind w:firstLine="0"/>
              <w:jc w:val="left"/>
            </w:pPr>
            <w:r>
              <w:rPr>
                <w:rFonts w:ascii="Times New Roman" w:hAnsi="Times New Roman" w:eastAsia="宋体"/>
                <w:b w:val="0"/>
                <w:color w:val="000000"/>
                <w:sz w:val="21"/>
              </w:rPr>
              <w:t>握手签名、Finished、证书链与完整TLS会话</w:t>
            </w:r>
          </w:p>
        </w:tc>
        <w:tc>
          <w:tcPr>
            <w:tcW w:w="3685" w:type="dxa"/>
            <w:tcMar>
              <w:top w:w="90" w:type="dxa"/>
              <w:left w:w="100" w:type="dxa"/>
              <w:bottom w:w="90" w:type="dxa"/>
              <w:right w:w="100" w:type="dxa"/>
            </w:tcMar>
            <w:vAlign w:val="center"/>
          </w:tcPr>
          <w:p w14:paraId="72BD4C95">
            <w:pPr>
              <w:keepNext/>
              <w:spacing w:before="0" w:after="0" w:line="300" w:lineRule="exact"/>
              <w:ind w:firstLine="0"/>
              <w:jc w:val="left"/>
            </w:pPr>
            <w:r>
              <w:rPr>
                <w:rFonts w:ascii="Times New Roman" w:hAnsi="Times New Roman" w:eastAsia="宋体"/>
                <w:b w:val="0"/>
                <w:color w:val="000000"/>
                <w:sz w:val="21"/>
              </w:rPr>
              <w:t>显式信任实验CA；不以HTTP请求作为检查项</w:t>
            </w:r>
          </w:p>
        </w:tc>
      </w:tr>
      <w:tr w14:paraId="375816E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01" w:type="dxa"/>
            <w:tcMar>
              <w:top w:w="90" w:type="dxa"/>
              <w:left w:w="100" w:type="dxa"/>
              <w:bottom w:w="90" w:type="dxa"/>
              <w:right w:w="100" w:type="dxa"/>
            </w:tcMar>
            <w:vAlign w:val="center"/>
          </w:tcPr>
          <w:p w14:paraId="63000054">
            <w:pPr>
              <w:keepNext/>
              <w:spacing w:before="0" w:after="0" w:line="300" w:lineRule="exact"/>
              <w:ind w:firstLine="0"/>
              <w:jc w:val="center"/>
            </w:pPr>
            <w:r>
              <w:rPr>
                <w:rFonts w:ascii="Times New Roman" w:hAnsi="Times New Roman" w:eastAsia="宋体"/>
                <w:b w:val="0"/>
                <w:color w:val="000000"/>
                <w:sz w:val="21"/>
              </w:rPr>
              <w:t>TCP签名消息</w:t>
            </w:r>
          </w:p>
        </w:tc>
        <w:tc>
          <w:tcPr>
            <w:tcW w:w="3685" w:type="dxa"/>
            <w:tcMar>
              <w:top w:w="90" w:type="dxa"/>
              <w:left w:w="100" w:type="dxa"/>
              <w:bottom w:w="90" w:type="dxa"/>
              <w:right w:w="100" w:type="dxa"/>
            </w:tcMar>
            <w:vAlign w:val="center"/>
          </w:tcPr>
          <w:p w14:paraId="2EE73D38">
            <w:pPr>
              <w:keepNext/>
              <w:spacing w:before="0" w:after="0" w:line="300" w:lineRule="exact"/>
              <w:ind w:firstLine="0"/>
              <w:jc w:val="left"/>
            </w:pPr>
            <w:r>
              <w:rPr>
                <w:rFonts w:ascii="Times New Roman" w:hAnsi="Times New Roman" w:eastAsia="宋体"/>
                <w:b w:val="0"/>
                <w:color w:val="000000"/>
                <w:sz w:val="21"/>
              </w:rPr>
              <w:t>实际消息往返、固定公钥验签、混合签名与篡改对照</w:t>
            </w:r>
          </w:p>
        </w:tc>
        <w:tc>
          <w:tcPr>
            <w:tcW w:w="3685" w:type="dxa"/>
            <w:tcMar>
              <w:top w:w="90" w:type="dxa"/>
              <w:left w:w="100" w:type="dxa"/>
              <w:bottom w:w="90" w:type="dxa"/>
              <w:right w:w="100" w:type="dxa"/>
            </w:tcMar>
            <w:vAlign w:val="center"/>
          </w:tcPr>
          <w:p w14:paraId="437D5B79">
            <w:pPr>
              <w:keepNext/>
              <w:spacing w:before="0" w:after="0" w:line="300" w:lineRule="exact"/>
              <w:ind w:firstLine="0"/>
              <w:jc w:val="left"/>
            </w:pPr>
            <w:r>
              <w:rPr>
                <w:rFonts w:ascii="Times New Roman" w:hAnsi="Times New Roman" w:eastAsia="宋体"/>
                <w:b w:val="0"/>
                <w:color w:val="000000"/>
                <w:sz w:val="21"/>
              </w:rPr>
              <w:t>本地固定公钥；消息明文传输</w:t>
            </w:r>
          </w:p>
        </w:tc>
      </w:tr>
      <w:tr w14:paraId="11EDE7A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701" w:type="dxa"/>
            <w:tcMar>
              <w:top w:w="90" w:type="dxa"/>
              <w:left w:w="100" w:type="dxa"/>
              <w:bottom w:w="90" w:type="dxa"/>
              <w:right w:w="100" w:type="dxa"/>
            </w:tcMar>
            <w:vAlign w:val="center"/>
          </w:tcPr>
          <w:p w14:paraId="004698F0">
            <w:pPr>
              <w:keepNext/>
              <w:spacing w:before="0" w:after="0" w:line="300" w:lineRule="exact"/>
              <w:ind w:firstLine="0"/>
              <w:jc w:val="center"/>
            </w:pPr>
            <w:r>
              <w:rPr>
                <w:rFonts w:ascii="Times New Roman" w:hAnsi="Times New Roman" w:eastAsia="宋体"/>
                <w:b w:val="0"/>
                <w:color w:val="000000"/>
                <w:sz w:val="21"/>
              </w:rPr>
              <w:t>UDP签名消息</w:t>
            </w:r>
          </w:p>
        </w:tc>
        <w:tc>
          <w:tcPr>
            <w:tcW w:w="3685" w:type="dxa"/>
            <w:tcMar>
              <w:top w:w="90" w:type="dxa"/>
              <w:left w:w="100" w:type="dxa"/>
              <w:bottom w:w="90" w:type="dxa"/>
              <w:right w:w="100" w:type="dxa"/>
            </w:tcMar>
            <w:vAlign w:val="center"/>
          </w:tcPr>
          <w:p w14:paraId="2A6BA589">
            <w:pPr>
              <w:keepNext/>
              <w:spacing w:before="0" w:after="0" w:line="300" w:lineRule="exact"/>
              <w:ind w:firstLine="0"/>
              <w:jc w:val="left"/>
            </w:pPr>
            <w:r>
              <w:rPr>
                <w:rFonts w:ascii="Times New Roman" w:hAnsi="Times New Roman" w:eastAsia="宋体"/>
                <w:b w:val="0"/>
                <w:color w:val="000000"/>
                <w:sz w:val="21"/>
              </w:rPr>
              <w:t>消息往返、分片重组后的验签与负向对照</w:t>
            </w:r>
          </w:p>
        </w:tc>
        <w:tc>
          <w:tcPr>
            <w:tcW w:w="3685" w:type="dxa"/>
            <w:tcMar>
              <w:top w:w="90" w:type="dxa"/>
              <w:left w:w="100" w:type="dxa"/>
              <w:bottom w:w="90" w:type="dxa"/>
              <w:right w:w="100" w:type="dxa"/>
            </w:tcMar>
            <w:vAlign w:val="center"/>
          </w:tcPr>
          <w:p w14:paraId="7D8EE17C">
            <w:pPr>
              <w:keepNext w:val="0"/>
              <w:spacing w:before="0" w:after="0" w:line="300" w:lineRule="exact"/>
              <w:ind w:firstLine="0"/>
              <w:jc w:val="left"/>
            </w:pPr>
            <w:r>
              <w:rPr>
                <w:rFonts w:ascii="Times New Roman" w:hAnsi="Times New Roman" w:eastAsia="宋体"/>
                <w:b w:val="0"/>
                <w:color w:val="000000"/>
                <w:sz w:val="21"/>
              </w:rPr>
              <w:t>本地固定公钥；消息明文传输</w:t>
            </w:r>
          </w:p>
        </w:tc>
      </w:tr>
    </w:tbl>
    <w:p w14:paraId="4611B9C4">
      <w:pPr>
        <w:spacing w:before="0" w:after="0" w:line="240" w:lineRule="auto"/>
        <w:ind w:firstLine="0"/>
      </w:pPr>
    </w:p>
    <w:p w14:paraId="57FBE39E">
      <w:pPr>
        <w:jc w:val="both"/>
      </w:pPr>
      <w:r>
        <w:rPr>
          <w:rFonts w:ascii="Times New Roman" w:hAnsi="Times New Roman" w:eastAsia="宋体"/>
          <w:color w:val="000000"/>
        </w:rPr>
        <w:t>本章实验结果引用2026年10月7日项目存档记录[8-9]。记录中的运行环境为Conda的code环境、Python3.10和OpenSSL3.6.5；真实服务仅监听本机。检测成功、证书身份成立及签名消息验签均按具体实验配置和检查项判断，不外推到其他设备、版本或公网入口。</w:t>
      </w:r>
    </w:p>
    <w:p w14:paraId="07E7C852">
      <w:pPr>
        <w:pStyle w:val="4"/>
      </w:pPr>
      <w:bookmarkStart w:id="23" w:name="heading_33"/>
      <w:r>
        <w:rPr>
          <w:rFonts w:ascii="Times New Roman" w:hAnsi="Times New Roman" w:eastAsia="黑体"/>
          <w:b/>
          <w:color w:val="000000"/>
        </w:rPr>
        <w:t>5.2 TLS与HTTPS的双路径验证</w:t>
      </w:r>
      <w:bookmarkEnd w:id="23"/>
    </w:p>
    <w:p w14:paraId="16FD6E97">
      <w:pPr>
        <w:jc w:val="both"/>
      </w:pPr>
      <w:r>
        <w:rPr>
          <w:rFonts w:ascii="Times New Roman" w:hAnsi="Times New Roman" w:eastAsia="宋体"/>
          <w:color w:val="000000"/>
        </w:rPr>
        <w:t>TLS实验使用OpenSSL生成ML-DSA根证书和服务器证书，服务器身份可选择ML-DSA-44、65或87，密钥交换可选择前述三种混合组。证书包含localhost和127.0.0.1标识，服务仅监听本机；实验根由验证客户端显式指定，不导入系统信任库。</w:t>
      </w:r>
    </w:p>
    <w:p w14:paraId="5F7BD464">
      <w:pPr>
        <w:jc w:val="both"/>
      </w:pPr>
      <w:r>
        <w:rPr>
          <w:rFonts w:ascii="Times New Roman" w:hAnsi="Times New Roman" w:eastAsia="宋体"/>
          <w:color w:val="000000"/>
        </w:rPr>
        <w:t>第一条路径调用本项目检测器，检查混合密钥交换、握手解密、CertificateVerify和Finished。第二条路径使用OpenSSL客户端，显式信任实验根，检查证书链、根自签名、有效期、主机名和服务器用途，并完成TLS会话。HTTPS模式还实际请求页面，逐字节比较响应体。两条路径取得的证书与本地证书通过DER和SHA-256指纹核对，确认对应同一实验身份。</w:t>
      </w:r>
    </w:p>
    <w:p w14:paraId="76438DEA">
      <w:pPr>
        <w:jc w:val="both"/>
      </w:pPr>
      <w:r>
        <w:rPr>
          <w:rFonts w:ascii="Times New Roman" w:hAnsi="Times New Roman" w:eastAsia="宋体"/>
          <w:color w:val="000000"/>
        </w:rPr>
        <w:t>实验站的身份信任路径中，OpenSSL显式信任实验根CA，用签发者公钥逐级验证证书待签名部分（TBSCertificate）的签名，并检查有效期、主机名、服务器用途、根自签名和严格X.509约束；任一失败即拒绝，通过后才能确认实验CA范围内的身份可信。通用检测器未完成这些信任检查，也不发送客户端Finished，报告保留这一范围。</w:t>
      </w:r>
    </w:p>
    <w:p w14:paraId="6F6AE6F3">
      <w:pPr>
        <w:jc w:val="both"/>
      </w:pPr>
      <w:r>
        <w:rPr>
          <w:rFonts w:ascii="Times New Roman" w:hAnsi="Times New Roman" w:eastAsia="宋体"/>
          <w:color w:val="000000"/>
        </w:rPr>
        <w:t>实验站另有HTTP报告页用于展示证据。打开该页说明展示服务可访问；HTTPS/TLS是否验证成功，应读取实际被测端点及对应检查项。实验CA下成立的身份认证，也只在显式指定该实验根的信任范围内成立。</w:t>
      </w:r>
    </w:p>
    <w:p w14:paraId="5228DE9E">
      <w:pPr>
        <w:pStyle w:val="4"/>
      </w:pPr>
      <w:bookmarkStart w:id="24" w:name="heading_34"/>
      <w:r>
        <w:rPr>
          <w:rFonts w:ascii="Times New Roman" w:hAnsi="Times New Roman" w:eastAsia="黑体"/>
          <w:b/>
          <w:color w:val="000000"/>
        </w:rPr>
        <w:t>5.3 TCP与UDP签名消息验证</w:t>
      </w:r>
      <w:bookmarkEnd w:id="24"/>
    </w:p>
    <w:p w14:paraId="54734A30">
      <w:pPr>
        <w:jc w:val="both"/>
      </w:pPr>
      <w:r>
        <w:rPr>
          <w:rFonts w:ascii="Times New Roman" w:hAnsi="Times New Roman" w:eastAsia="宋体"/>
          <w:color w:val="000000"/>
        </w:rPr>
        <w:t>消息实验把签名用于真实TCP或UDP往返。签名数据绑定协议标识、随机挑战、消息和身份，客户端从本地固定公钥文件取得预期身份后验签，避免直接信任响应自行携带的新公钥。选择经典与后量子混合签名时，两份签名都必须通过。消息模式可使用前述十七种后量子签名参数，经典组成部分有五种选择。</w:t>
      </w:r>
    </w:p>
    <w:p w14:paraId="6F00415A">
      <w:pPr>
        <w:jc w:val="both"/>
      </w:pPr>
      <w:r>
        <w:rPr>
          <w:rFonts w:ascii="Times New Roman" w:hAnsi="Times New Roman" w:eastAsia="宋体"/>
          <w:color w:val="000000"/>
        </w:rPr>
        <w:t>TCP使用带长度的消息帧。UDP对较大的签名响应做应用层分片，携带挑战、分片序号和总数，完整重组后才验签。这些实验检验的是消息完整性和固定公钥范围内的来源认证，传输内容仍为明文，不提供TLS加密或CA信任验证。</w:t>
      </w:r>
    </w:p>
    <w:p w14:paraId="4262777C">
      <w:pPr>
        <w:pStyle w:val="4"/>
      </w:pPr>
      <w:bookmarkStart w:id="25" w:name="heading_35"/>
      <w:r>
        <w:rPr>
          <w:rFonts w:ascii="Times New Roman" w:hAnsi="Times New Roman" w:eastAsia="黑体"/>
          <w:b/>
          <w:color w:val="000000"/>
        </w:rPr>
        <w:t>5.4 异常输入与篡改对照</w:t>
      </w:r>
      <w:bookmarkEnd w:id="25"/>
    </w:p>
    <w:p w14:paraId="7B1ADD70">
      <w:pPr>
        <w:jc w:val="both"/>
      </w:pPr>
      <w:r>
        <w:rPr>
          <w:rFonts w:ascii="Times New Roman" w:hAnsi="Times New Roman" w:eastAsia="宋体"/>
          <w:color w:val="000000"/>
        </w:rPr>
        <w:t>正常通信成功之外，还需要确认错误输入确实会被拒绝。实验站及其测试已经覆盖以下对照。其中，篡改证书签名时保持算法OID与长度不变，可以直接检查程序是否真正执行了签名验证。</w:t>
      </w:r>
    </w:p>
    <w:p w14:paraId="729C20C7">
      <w:pPr>
        <w:pStyle w:val="15"/>
        <w:keepNext/>
        <w:spacing w:before="100" w:after="120"/>
        <w:ind w:firstLine="0"/>
        <w:jc w:val="center"/>
      </w:pPr>
      <w:r>
        <w:rPr>
          <w:rFonts w:ascii="Times New Roman" w:hAnsi="Times New Roman" w:eastAsia="宋体"/>
          <w:color w:val="000000"/>
        </w:rPr>
        <w:t>表5-2 负向对照与验证目的</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928"/>
        <w:gridCol w:w="3969"/>
        <w:gridCol w:w="3175"/>
      </w:tblGrid>
      <w:tr w14:paraId="0D664E2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1928" w:type="dxa"/>
            <w:shd w:val="clear" w:color="auto" w:fill="E8EDF2"/>
            <w:tcMar>
              <w:top w:w="90" w:type="dxa"/>
              <w:left w:w="100" w:type="dxa"/>
              <w:bottom w:w="90" w:type="dxa"/>
              <w:right w:w="100" w:type="dxa"/>
            </w:tcMar>
            <w:vAlign w:val="center"/>
          </w:tcPr>
          <w:p w14:paraId="0E768775">
            <w:pPr>
              <w:keepNext/>
              <w:spacing w:before="0" w:after="0" w:line="300" w:lineRule="exact"/>
              <w:ind w:firstLine="0"/>
              <w:jc w:val="center"/>
            </w:pPr>
            <w:r>
              <w:rPr>
                <w:rFonts w:ascii="Times New Roman" w:hAnsi="Times New Roman" w:eastAsia="宋体"/>
                <w:b/>
                <w:color w:val="000000"/>
                <w:sz w:val="21"/>
              </w:rPr>
              <w:t>对照场景</w:t>
            </w:r>
          </w:p>
        </w:tc>
        <w:tc>
          <w:tcPr>
            <w:tcW w:w="3969" w:type="dxa"/>
            <w:shd w:val="clear" w:color="auto" w:fill="E8EDF2"/>
            <w:tcMar>
              <w:top w:w="90" w:type="dxa"/>
              <w:left w:w="100" w:type="dxa"/>
              <w:bottom w:w="90" w:type="dxa"/>
              <w:right w:w="100" w:type="dxa"/>
            </w:tcMar>
            <w:vAlign w:val="center"/>
          </w:tcPr>
          <w:p w14:paraId="34210F1E">
            <w:pPr>
              <w:keepNext/>
              <w:spacing w:before="0" w:after="0" w:line="300" w:lineRule="exact"/>
              <w:ind w:firstLine="0"/>
              <w:jc w:val="center"/>
            </w:pPr>
            <w:r>
              <w:rPr>
                <w:rFonts w:ascii="Times New Roman" w:hAnsi="Times New Roman" w:eastAsia="宋体"/>
                <w:b/>
                <w:color w:val="000000"/>
                <w:sz w:val="21"/>
              </w:rPr>
              <w:t>处理方式与预期结果</w:t>
            </w:r>
          </w:p>
        </w:tc>
        <w:tc>
          <w:tcPr>
            <w:tcW w:w="3175" w:type="dxa"/>
            <w:shd w:val="clear" w:color="auto" w:fill="E8EDF2"/>
            <w:tcMar>
              <w:top w:w="90" w:type="dxa"/>
              <w:left w:w="100" w:type="dxa"/>
              <w:bottom w:w="90" w:type="dxa"/>
              <w:right w:w="100" w:type="dxa"/>
            </w:tcMar>
            <w:vAlign w:val="center"/>
          </w:tcPr>
          <w:p w14:paraId="4DB1FCCB">
            <w:pPr>
              <w:keepNext/>
              <w:spacing w:before="0" w:after="0" w:line="300" w:lineRule="exact"/>
              <w:ind w:firstLine="0"/>
              <w:jc w:val="center"/>
            </w:pPr>
            <w:r>
              <w:rPr>
                <w:rFonts w:ascii="Times New Roman" w:hAnsi="Times New Roman" w:eastAsia="宋体"/>
                <w:b/>
                <w:color w:val="000000"/>
                <w:sz w:val="21"/>
              </w:rPr>
              <w:t>检验目的</w:t>
            </w:r>
          </w:p>
        </w:tc>
      </w:tr>
      <w:tr w14:paraId="4D1C1CC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928" w:type="dxa"/>
            <w:tcMar>
              <w:top w:w="90" w:type="dxa"/>
              <w:left w:w="100" w:type="dxa"/>
              <w:bottom w:w="90" w:type="dxa"/>
              <w:right w:w="100" w:type="dxa"/>
            </w:tcMar>
            <w:vAlign w:val="center"/>
          </w:tcPr>
          <w:p w14:paraId="74405CC5">
            <w:pPr>
              <w:keepNext/>
              <w:spacing w:before="0" w:after="0" w:line="300" w:lineRule="exact"/>
              <w:ind w:firstLine="0"/>
              <w:jc w:val="center"/>
            </w:pPr>
            <w:r>
              <w:rPr>
                <w:rFonts w:ascii="Times New Roman" w:hAnsi="Times New Roman" w:eastAsia="宋体"/>
                <w:b w:val="0"/>
                <w:color w:val="000000"/>
                <w:sz w:val="21"/>
              </w:rPr>
              <w:t>仅提供经典交换组</w:t>
            </w:r>
          </w:p>
        </w:tc>
        <w:tc>
          <w:tcPr>
            <w:tcW w:w="3969" w:type="dxa"/>
            <w:tcMar>
              <w:top w:w="90" w:type="dxa"/>
              <w:left w:w="100" w:type="dxa"/>
              <w:bottom w:w="90" w:type="dxa"/>
              <w:right w:w="100" w:type="dxa"/>
            </w:tcMar>
            <w:vAlign w:val="center"/>
          </w:tcPr>
          <w:p w14:paraId="7F2FC2BA">
            <w:pPr>
              <w:keepNext/>
              <w:spacing w:before="0" w:after="0" w:line="300" w:lineRule="exact"/>
              <w:ind w:firstLine="0"/>
              <w:jc w:val="left"/>
            </w:pPr>
            <w:r>
              <w:rPr>
                <w:rFonts w:ascii="Times New Roman" w:hAnsi="Times New Roman" w:eastAsia="宋体"/>
                <w:b w:val="0"/>
                <w:color w:val="000000"/>
                <w:sz w:val="21"/>
              </w:rPr>
              <w:t>向限定混合组的TLS服务发起连接，握手被拒绝</w:t>
            </w:r>
          </w:p>
        </w:tc>
        <w:tc>
          <w:tcPr>
            <w:tcW w:w="3175" w:type="dxa"/>
            <w:tcMar>
              <w:top w:w="90" w:type="dxa"/>
              <w:left w:w="100" w:type="dxa"/>
              <w:bottom w:w="90" w:type="dxa"/>
              <w:right w:w="100" w:type="dxa"/>
            </w:tcMar>
            <w:vAlign w:val="center"/>
          </w:tcPr>
          <w:p w14:paraId="4A25E106">
            <w:pPr>
              <w:keepNext/>
              <w:spacing w:before="0" w:after="0" w:line="300" w:lineRule="exact"/>
              <w:ind w:firstLine="0"/>
              <w:jc w:val="left"/>
            </w:pPr>
            <w:r>
              <w:rPr>
                <w:rFonts w:ascii="Times New Roman" w:hAnsi="Times New Roman" w:eastAsia="宋体"/>
                <w:b w:val="0"/>
                <w:color w:val="000000"/>
                <w:sz w:val="21"/>
              </w:rPr>
              <w:t>检查实验配置没有回退到经典交换</w:t>
            </w:r>
          </w:p>
        </w:tc>
      </w:tr>
      <w:tr w14:paraId="1A8A02B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928" w:type="dxa"/>
            <w:tcMar>
              <w:top w:w="90" w:type="dxa"/>
              <w:left w:w="100" w:type="dxa"/>
              <w:bottom w:w="90" w:type="dxa"/>
              <w:right w:w="100" w:type="dxa"/>
            </w:tcMar>
            <w:vAlign w:val="center"/>
          </w:tcPr>
          <w:p w14:paraId="1810C2DB">
            <w:pPr>
              <w:keepNext/>
              <w:spacing w:before="0" w:after="0" w:line="300" w:lineRule="exact"/>
              <w:ind w:firstLine="0"/>
              <w:jc w:val="center"/>
            </w:pPr>
            <w:r>
              <w:rPr>
                <w:rFonts w:ascii="Times New Roman" w:hAnsi="Times New Roman" w:eastAsia="宋体"/>
                <w:b w:val="0"/>
                <w:color w:val="000000"/>
                <w:sz w:val="21"/>
              </w:rPr>
              <w:t>错误主机名</w:t>
            </w:r>
          </w:p>
        </w:tc>
        <w:tc>
          <w:tcPr>
            <w:tcW w:w="3969" w:type="dxa"/>
            <w:tcMar>
              <w:top w:w="90" w:type="dxa"/>
              <w:left w:w="100" w:type="dxa"/>
              <w:bottom w:w="90" w:type="dxa"/>
              <w:right w:w="100" w:type="dxa"/>
            </w:tcMar>
            <w:vAlign w:val="center"/>
          </w:tcPr>
          <w:p w14:paraId="5381886B">
            <w:pPr>
              <w:keepNext/>
              <w:spacing w:before="0" w:after="0" w:line="300" w:lineRule="exact"/>
              <w:ind w:firstLine="0"/>
              <w:jc w:val="left"/>
            </w:pPr>
            <w:r>
              <w:rPr>
                <w:rFonts w:ascii="Times New Roman" w:hAnsi="Times New Roman" w:eastAsia="宋体"/>
                <w:b w:val="0"/>
                <w:color w:val="000000"/>
                <w:sz w:val="21"/>
              </w:rPr>
              <w:t>以wrong.invalid验证实验服务器证书，校验失败</w:t>
            </w:r>
          </w:p>
        </w:tc>
        <w:tc>
          <w:tcPr>
            <w:tcW w:w="3175" w:type="dxa"/>
            <w:tcMar>
              <w:top w:w="90" w:type="dxa"/>
              <w:left w:w="100" w:type="dxa"/>
              <w:bottom w:w="90" w:type="dxa"/>
              <w:right w:w="100" w:type="dxa"/>
            </w:tcMar>
            <w:vAlign w:val="center"/>
          </w:tcPr>
          <w:p w14:paraId="2FF37453">
            <w:pPr>
              <w:keepNext/>
              <w:spacing w:before="0" w:after="0" w:line="300" w:lineRule="exact"/>
              <w:ind w:firstLine="0"/>
              <w:jc w:val="left"/>
            </w:pPr>
            <w:r>
              <w:rPr>
                <w:rFonts w:ascii="Times New Roman" w:hAnsi="Times New Roman" w:eastAsia="宋体"/>
                <w:b w:val="0"/>
                <w:color w:val="000000"/>
                <w:sz w:val="21"/>
              </w:rPr>
              <w:t>检查证书身份与目标名称的绑定</w:t>
            </w:r>
          </w:p>
        </w:tc>
      </w:tr>
      <w:tr w14:paraId="78D51E1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928" w:type="dxa"/>
            <w:tcMar>
              <w:top w:w="90" w:type="dxa"/>
              <w:left w:w="100" w:type="dxa"/>
              <w:bottom w:w="90" w:type="dxa"/>
              <w:right w:w="100" w:type="dxa"/>
            </w:tcMar>
            <w:vAlign w:val="center"/>
          </w:tcPr>
          <w:p w14:paraId="52890731">
            <w:pPr>
              <w:keepNext/>
              <w:spacing w:before="0" w:after="0" w:line="300" w:lineRule="exact"/>
              <w:ind w:firstLine="0"/>
              <w:jc w:val="center"/>
            </w:pPr>
            <w:r>
              <w:rPr>
                <w:rFonts w:ascii="Times New Roman" w:hAnsi="Times New Roman" w:eastAsia="宋体"/>
                <w:b w:val="0"/>
                <w:color w:val="000000"/>
                <w:sz w:val="21"/>
              </w:rPr>
              <w:t>证书签名被修改</w:t>
            </w:r>
          </w:p>
        </w:tc>
        <w:tc>
          <w:tcPr>
            <w:tcW w:w="3969" w:type="dxa"/>
            <w:tcMar>
              <w:top w:w="90" w:type="dxa"/>
              <w:left w:w="100" w:type="dxa"/>
              <w:bottom w:w="90" w:type="dxa"/>
              <w:right w:w="100" w:type="dxa"/>
            </w:tcMar>
            <w:vAlign w:val="center"/>
          </w:tcPr>
          <w:p w14:paraId="3DBD373E">
            <w:pPr>
              <w:keepNext/>
              <w:spacing w:before="0" w:after="0" w:line="300" w:lineRule="exact"/>
              <w:ind w:firstLine="0"/>
              <w:jc w:val="left"/>
            </w:pPr>
            <w:r>
              <w:rPr>
                <w:rFonts w:ascii="Times New Roman" w:hAnsi="Times New Roman" w:eastAsia="宋体"/>
                <w:b w:val="0"/>
                <w:color w:val="000000"/>
                <w:sz w:val="21"/>
              </w:rPr>
              <w:t>翻转证书签名字节，保持OID与长度不变，链验证失败</w:t>
            </w:r>
          </w:p>
        </w:tc>
        <w:tc>
          <w:tcPr>
            <w:tcW w:w="3175" w:type="dxa"/>
            <w:tcMar>
              <w:top w:w="90" w:type="dxa"/>
              <w:left w:w="100" w:type="dxa"/>
              <w:bottom w:w="90" w:type="dxa"/>
              <w:right w:w="100" w:type="dxa"/>
            </w:tcMar>
            <w:vAlign w:val="center"/>
          </w:tcPr>
          <w:p w14:paraId="11E40931">
            <w:pPr>
              <w:keepNext/>
              <w:spacing w:before="0" w:after="0" w:line="300" w:lineRule="exact"/>
              <w:ind w:firstLine="0"/>
              <w:jc w:val="left"/>
            </w:pPr>
            <w:r>
              <w:rPr>
                <w:rFonts w:ascii="Times New Roman" w:hAnsi="Times New Roman" w:eastAsia="宋体"/>
                <w:b w:val="0"/>
                <w:color w:val="000000"/>
                <w:sz w:val="21"/>
              </w:rPr>
              <w:t>检查证书签名数据是否实际参与验证</w:t>
            </w:r>
          </w:p>
        </w:tc>
      </w:tr>
      <w:tr w14:paraId="22E03F8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928" w:type="dxa"/>
            <w:tcMar>
              <w:top w:w="90" w:type="dxa"/>
              <w:left w:w="100" w:type="dxa"/>
              <w:bottom w:w="90" w:type="dxa"/>
              <w:right w:w="100" w:type="dxa"/>
            </w:tcMar>
            <w:vAlign w:val="center"/>
          </w:tcPr>
          <w:p w14:paraId="314DE69F">
            <w:pPr>
              <w:keepNext/>
              <w:spacing w:before="0" w:after="0" w:line="300" w:lineRule="exact"/>
              <w:ind w:firstLine="0"/>
              <w:jc w:val="center"/>
            </w:pPr>
            <w:r>
              <w:rPr>
                <w:rFonts w:ascii="Times New Roman" w:hAnsi="Times New Roman" w:eastAsia="宋体"/>
                <w:b w:val="0"/>
                <w:color w:val="000000"/>
                <w:sz w:val="21"/>
              </w:rPr>
              <w:t>消息、签名或公钥错误</w:t>
            </w:r>
          </w:p>
        </w:tc>
        <w:tc>
          <w:tcPr>
            <w:tcW w:w="3969" w:type="dxa"/>
            <w:tcMar>
              <w:top w:w="90" w:type="dxa"/>
              <w:left w:w="100" w:type="dxa"/>
              <w:bottom w:w="90" w:type="dxa"/>
              <w:right w:w="100" w:type="dxa"/>
            </w:tcMar>
            <w:vAlign w:val="center"/>
          </w:tcPr>
          <w:p w14:paraId="7E672341">
            <w:pPr>
              <w:keepNext/>
              <w:spacing w:before="0" w:after="0" w:line="300" w:lineRule="exact"/>
              <w:ind w:firstLine="0"/>
              <w:jc w:val="left"/>
            </w:pPr>
            <w:r>
              <w:rPr>
                <w:rFonts w:ascii="Times New Roman" w:hAnsi="Times New Roman" w:eastAsia="宋体"/>
                <w:b w:val="0"/>
                <w:color w:val="000000"/>
                <w:sz w:val="21"/>
              </w:rPr>
              <w:t>修改签名消息或签名，或改用另一公钥，验签失败</w:t>
            </w:r>
          </w:p>
        </w:tc>
        <w:tc>
          <w:tcPr>
            <w:tcW w:w="3175" w:type="dxa"/>
            <w:tcMar>
              <w:top w:w="90" w:type="dxa"/>
              <w:left w:w="100" w:type="dxa"/>
              <w:bottom w:w="90" w:type="dxa"/>
              <w:right w:w="100" w:type="dxa"/>
            </w:tcMar>
            <w:vAlign w:val="center"/>
          </w:tcPr>
          <w:p w14:paraId="748B24DE">
            <w:pPr>
              <w:keepNext/>
              <w:spacing w:before="0" w:after="0" w:line="300" w:lineRule="exact"/>
              <w:ind w:firstLine="0"/>
              <w:jc w:val="left"/>
            </w:pPr>
            <w:r>
              <w:rPr>
                <w:rFonts w:ascii="Times New Roman" w:hAnsi="Times New Roman" w:eastAsia="宋体"/>
                <w:b w:val="0"/>
                <w:color w:val="000000"/>
                <w:sz w:val="21"/>
              </w:rPr>
              <w:t>检查消息内容、签名和身份之间的关系</w:t>
            </w:r>
          </w:p>
        </w:tc>
      </w:tr>
      <w:tr w14:paraId="52D3FDE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928" w:type="dxa"/>
            <w:tcMar>
              <w:top w:w="90" w:type="dxa"/>
              <w:left w:w="100" w:type="dxa"/>
              <w:bottom w:w="90" w:type="dxa"/>
              <w:right w:w="100" w:type="dxa"/>
            </w:tcMar>
            <w:vAlign w:val="center"/>
          </w:tcPr>
          <w:p w14:paraId="0AAF0852">
            <w:pPr>
              <w:keepNext/>
              <w:spacing w:before="0" w:after="0" w:line="300" w:lineRule="exact"/>
              <w:ind w:firstLine="0"/>
              <w:jc w:val="center"/>
            </w:pPr>
            <w:r>
              <w:rPr>
                <w:rFonts w:ascii="Times New Roman" w:hAnsi="Times New Roman" w:eastAsia="宋体"/>
                <w:b w:val="0"/>
                <w:color w:val="000000"/>
                <w:sz w:val="21"/>
              </w:rPr>
              <w:t>重放或跨协议响应</w:t>
            </w:r>
          </w:p>
        </w:tc>
        <w:tc>
          <w:tcPr>
            <w:tcW w:w="3969" w:type="dxa"/>
            <w:tcMar>
              <w:top w:w="90" w:type="dxa"/>
              <w:left w:w="100" w:type="dxa"/>
              <w:bottom w:w="90" w:type="dxa"/>
              <w:right w:w="100" w:type="dxa"/>
            </w:tcMar>
            <w:vAlign w:val="center"/>
          </w:tcPr>
          <w:p w14:paraId="4087A91D">
            <w:pPr>
              <w:keepNext/>
              <w:spacing w:before="0" w:after="0" w:line="300" w:lineRule="exact"/>
              <w:ind w:firstLine="0"/>
              <w:jc w:val="left"/>
            </w:pPr>
            <w:r>
              <w:rPr>
                <w:rFonts w:ascii="Times New Roman" w:hAnsi="Times New Roman" w:eastAsia="宋体"/>
                <w:b w:val="0"/>
                <w:color w:val="000000"/>
                <w:sz w:val="21"/>
              </w:rPr>
              <w:t>对新挑战使用旧响应，或在另一协议下验证，结果被拒绝</w:t>
            </w:r>
          </w:p>
        </w:tc>
        <w:tc>
          <w:tcPr>
            <w:tcW w:w="3175" w:type="dxa"/>
            <w:tcMar>
              <w:top w:w="90" w:type="dxa"/>
              <w:left w:w="100" w:type="dxa"/>
              <w:bottom w:w="90" w:type="dxa"/>
              <w:right w:w="100" w:type="dxa"/>
            </w:tcMar>
            <w:vAlign w:val="center"/>
          </w:tcPr>
          <w:p w14:paraId="2D9370D5">
            <w:pPr>
              <w:keepNext/>
              <w:spacing w:before="0" w:after="0" w:line="300" w:lineRule="exact"/>
              <w:ind w:firstLine="0"/>
              <w:jc w:val="left"/>
            </w:pPr>
            <w:r>
              <w:rPr>
                <w:rFonts w:ascii="Times New Roman" w:hAnsi="Times New Roman" w:eastAsia="宋体"/>
                <w:b w:val="0"/>
                <w:color w:val="000000"/>
                <w:sz w:val="21"/>
              </w:rPr>
              <w:t>检查挑战与协议标识是否绑定</w:t>
            </w:r>
          </w:p>
        </w:tc>
      </w:tr>
      <w:tr w14:paraId="65E6E0D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928" w:type="dxa"/>
            <w:tcMar>
              <w:top w:w="90" w:type="dxa"/>
              <w:left w:w="100" w:type="dxa"/>
              <w:bottom w:w="90" w:type="dxa"/>
              <w:right w:w="100" w:type="dxa"/>
            </w:tcMar>
            <w:vAlign w:val="center"/>
          </w:tcPr>
          <w:p w14:paraId="35E4FC11">
            <w:pPr>
              <w:keepNext/>
              <w:spacing w:before="0" w:after="0" w:line="300" w:lineRule="exact"/>
              <w:ind w:firstLine="0"/>
              <w:jc w:val="center"/>
            </w:pPr>
            <w:r>
              <w:rPr>
                <w:rFonts w:ascii="Times New Roman" w:hAnsi="Times New Roman" w:eastAsia="宋体"/>
                <w:b w:val="0"/>
                <w:color w:val="000000"/>
                <w:sz w:val="21"/>
              </w:rPr>
              <w:t>混合签名的单路篡改</w:t>
            </w:r>
          </w:p>
        </w:tc>
        <w:tc>
          <w:tcPr>
            <w:tcW w:w="3969" w:type="dxa"/>
            <w:tcMar>
              <w:top w:w="90" w:type="dxa"/>
              <w:left w:w="100" w:type="dxa"/>
              <w:bottom w:w="90" w:type="dxa"/>
              <w:right w:w="100" w:type="dxa"/>
            </w:tcMar>
            <w:vAlign w:val="center"/>
          </w:tcPr>
          <w:p w14:paraId="5C5FE2B6">
            <w:pPr>
              <w:keepNext/>
              <w:spacing w:before="0" w:after="0" w:line="300" w:lineRule="exact"/>
              <w:ind w:firstLine="0"/>
              <w:jc w:val="left"/>
            </w:pPr>
            <w:r>
              <w:rPr>
                <w:rFonts w:ascii="Times New Roman" w:hAnsi="Times New Roman" w:eastAsia="宋体"/>
                <w:b w:val="0"/>
                <w:color w:val="000000"/>
                <w:sz w:val="21"/>
              </w:rPr>
              <w:t>分别破坏经典或后量子签名，整体验签均不通过</w:t>
            </w:r>
          </w:p>
        </w:tc>
        <w:tc>
          <w:tcPr>
            <w:tcW w:w="3175" w:type="dxa"/>
            <w:tcMar>
              <w:top w:w="90" w:type="dxa"/>
              <w:left w:w="100" w:type="dxa"/>
              <w:bottom w:w="90" w:type="dxa"/>
              <w:right w:w="100" w:type="dxa"/>
            </w:tcMar>
            <w:vAlign w:val="center"/>
          </w:tcPr>
          <w:p w14:paraId="138F974C">
            <w:pPr>
              <w:keepNext w:val="0"/>
              <w:spacing w:before="0" w:after="0" w:line="300" w:lineRule="exact"/>
              <w:ind w:firstLine="0"/>
              <w:jc w:val="left"/>
            </w:pPr>
            <w:r>
              <w:rPr>
                <w:rFonts w:ascii="Times New Roman" w:hAnsi="Times New Roman" w:eastAsia="宋体"/>
                <w:b w:val="0"/>
                <w:color w:val="000000"/>
                <w:sz w:val="21"/>
              </w:rPr>
              <w:t>检查两路验签均为必要条件</w:t>
            </w:r>
          </w:p>
        </w:tc>
      </w:tr>
    </w:tbl>
    <w:p w14:paraId="0BF5C85F">
      <w:pPr>
        <w:spacing w:before="0" w:after="0" w:line="240" w:lineRule="auto"/>
        <w:ind w:firstLine="0"/>
      </w:pPr>
    </w:p>
    <w:p w14:paraId="158B662B">
      <w:pPr>
        <w:jc w:val="both"/>
      </w:pPr>
      <w:r>
        <w:rPr>
          <w:rFonts w:ascii="Times New Roman" w:hAnsi="Times New Roman" w:eastAsia="宋体"/>
          <w:color w:val="000000"/>
        </w:rPr>
        <w:t>核心检测器还通过构造握手报文的自动化测试，检查签名方案不匹配、CertificateVerify被篡改及参数长度错误等情况。这类测试与真实网络实验分别保留依据，报告中的通过和拒绝结果应对应具体样本。</w:t>
      </w:r>
    </w:p>
    <w:p w14:paraId="4C3FF961">
      <w:pPr>
        <w:pStyle w:val="4"/>
      </w:pPr>
      <w:bookmarkStart w:id="26" w:name="heading_36"/>
      <w:r>
        <w:rPr>
          <w:rFonts w:ascii="Times New Roman" w:hAnsi="Times New Roman" w:eastAsia="黑体"/>
          <w:b/>
          <w:color w:val="000000"/>
        </w:rPr>
        <w:t>5.5 已有实测结果与适用范围</w:t>
      </w:r>
      <w:bookmarkEnd w:id="26"/>
    </w:p>
    <w:p w14:paraId="2BFB15FE">
      <w:pPr>
        <w:jc w:val="both"/>
      </w:pPr>
      <w:r>
        <w:rPr>
          <w:rFonts w:ascii="Times New Roman" w:hAnsi="Times New Roman" w:eastAsia="宋体"/>
          <w:color w:val="000000"/>
        </w:rPr>
        <w:t>项目存档的完整回归结果为351项通过，运行耗时69.14s，无失败或跳过[8-9]。真实集成用例覆盖三种TLS混合交换组与三种ML-DSA身份组成的九种组合、十七种签名分别在TCP和UDP上传输的三十四种组合，以及五种经典混合签名检查。351项为整套回归测试数量，不等同于351条独立公网连接或351种算法组合。</w:t>
      </w:r>
    </w:p>
    <w:p w14:paraId="0E7F5474">
      <w:pPr>
        <w:pStyle w:val="15"/>
        <w:keepNext/>
        <w:spacing w:before="100" w:after="120"/>
        <w:ind w:firstLine="0"/>
        <w:jc w:val="center"/>
      </w:pPr>
      <w:r>
        <w:rPr>
          <w:rFonts w:ascii="Times New Roman" w:hAnsi="Times New Roman" w:eastAsia="宋体"/>
          <w:color w:val="000000"/>
        </w:rPr>
        <w:t>表5-3 2026年10月7日真实展示记录</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1814"/>
        <w:gridCol w:w="3798"/>
        <w:gridCol w:w="3458"/>
      </w:tblGrid>
      <w:tr w14:paraId="223B341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1814" w:type="dxa"/>
            <w:shd w:val="clear" w:color="auto" w:fill="E8EDF2"/>
            <w:tcMar>
              <w:top w:w="90" w:type="dxa"/>
              <w:left w:w="100" w:type="dxa"/>
              <w:bottom w:w="90" w:type="dxa"/>
              <w:right w:w="100" w:type="dxa"/>
            </w:tcMar>
            <w:vAlign w:val="center"/>
          </w:tcPr>
          <w:p w14:paraId="186A4048">
            <w:pPr>
              <w:keepNext/>
              <w:spacing w:before="0" w:after="0" w:line="300" w:lineRule="exact"/>
              <w:ind w:firstLine="0"/>
              <w:jc w:val="center"/>
            </w:pPr>
            <w:r>
              <w:rPr>
                <w:rFonts w:ascii="Times New Roman" w:hAnsi="Times New Roman" w:eastAsia="宋体"/>
                <w:b/>
                <w:color w:val="000000"/>
                <w:sz w:val="21"/>
              </w:rPr>
              <w:t>场景</w:t>
            </w:r>
          </w:p>
        </w:tc>
        <w:tc>
          <w:tcPr>
            <w:tcW w:w="3798" w:type="dxa"/>
            <w:shd w:val="clear" w:color="auto" w:fill="E8EDF2"/>
            <w:tcMar>
              <w:top w:w="90" w:type="dxa"/>
              <w:left w:w="100" w:type="dxa"/>
              <w:bottom w:w="90" w:type="dxa"/>
              <w:right w:w="100" w:type="dxa"/>
            </w:tcMar>
            <w:vAlign w:val="center"/>
          </w:tcPr>
          <w:p w14:paraId="5E70422F">
            <w:pPr>
              <w:keepNext/>
              <w:spacing w:before="0" w:after="0" w:line="300" w:lineRule="exact"/>
              <w:ind w:firstLine="0"/>
              <w:jc w:val="center"/>
            </w:pPr>
            <w:r>
              <w:rPr>
                <w:rFonts w:ascii="Times New Roman" w:hAnsi="Times New Roman" w:eastAsia="宋体"/>
                <w:b/>
                <w:color w:val="000000"/>
                <w:sz w:val="21"/>
              </w:rPr>
              <w:t>算法配置</w:t>
            </w:r>
          </w:p>
        </w:tc>
        <w:tc>
          <w:tcPr>
            <w:tcW w:w="3458" w:type="dxa"/>
            <w:shd w:val="clear" w:color="auto" w:fill="E8EDF2"/>
            <w:tcMar>
              <w:top w:w="90" w:type="dxa"/>
              <w:left w:w="100" w:type="dxa"/>
              <w:bottom w:w="90" w:type="dxa"/>
              <w:right w:w="100" w:type="dxa"/>
            </w:tcMar>
            <w:vAlign w:val="center"/>
          </w:tcPr>
          <w:p w14:paraId="63C4BFF7">
            <w:pPr>
              <w:keepNext/>
              <w:spacing w:before="0" w:after="0" w:line="300" w:lineRule="exact"/>
              <w:ind w:firstLine="0"/>
              <w:jc w:val="center"/>
            </w:pPr>
            <w:r>
              <w:rPr>
                <w:rFonts w:ascii="Times New Roman" w:hAnsi="Times New Roman" w:eastAsia="宋体"/>
                <w:b/>
                <w:color w:val="000000"/>
                <w:sz w:val="21"/>
              </w:rPr>
              <w:t>验证结果</w:t>
            </w:r>
          </w:p>
        </w:tc>
      </w:tr>
      <w:tr w14:paraId="38B1699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14" w:type="dxa"/>
            <w:tcMar>
              <w:top w:w="90" w:type="dxa"/>
              <w:left w:w="100" w:type="dxa"/>
              <w:bottom w:w="90" w:type="dxa"/>
              <w:right w:w="100" w:type="dxa"/>
            </w:tcMar>
            <w:vAlign w:val="center"/>
          </w:tcPr>
          <w:p w14:paraId="1813EDA6">
            <w:pPr>
              <w:keepNext/>
              <w:spacing w:before="0" w:after="0" w:line="300" w:lineRule="exact"/>
              <w:ind w:firstLine="0"/>
              <w:jc w:val="center"/>
            </w:pPr>
            <w:r>
              <w:rPr>
                <w:rFonts w:ascii="Times New Roman" w:hAnsi="Times New Roman" w:eastAsia="宋体"/>
                <w:b w:val="0"/>
                <w:color w:val="000000"/>
                <w:sz w:val="21"/>
              </w:rPr>
              <w:t>TLS握手</w:t>
            </w:r>
          </w:p>
        </w:tc>
        <w:tc>
          <w:tcPr>
            <w:tcW w:w="3798" w:type="dxa"/>
            <w:tcMar>
              <w:top w:w="90" w:type="dxa"/>
              <w:left w:w="100" w:type="dxa"/>
              <w:bottom w:w="90" w:type="dxa"/>
              <w:right w:w="100" w:type="dxa"/>
            </w:tcMar>
            <w:vAlign w:val="center"/>
          </w:tcPr>
          <w:p w14:paraId="49A299EE">
            <w:pPr>
              <w:keepNext/>
              <w:spacing w:before="0" w:after="0" w:line="300" w:lineRule="exact"/>
              <w:ind w:firstLine="0"/>
              <w:jc w:val="left"/>
            </w:pPr>
            <w:r>
              <w:rPr>
                <w:rFonts w:ascii="Times New Roman" w:hAnsi="Times New Roman" w:eastAsia="宋体"/>
                <w:b w:val="0"/>
                <w:color w:val="000000"/>
                <w:sz w:val="21"/>
              </w:rPr>
              <w:t>SecP256r1MLKEM768＋ML-DSA-44</w:t>
            </w:r>
          </w:p>
        </w:tc>
        <w:tc>
          <w:tcPr>
            <w:tcW w:w="3458" w:type="dxa"/>
            <w:tcMar>
              <w:top w:w="90" w:type="dxa"/>
              <w:left w:w="100" w:type="dxa"/>
              <w:bottom w:w="90" w:type="dxa"/>
              <w:right w:w="100" w:type="dxa"/>
            </w:tcMar>
            <w:vAlign w:val="center"/>
          </w:tcPr>
          <w:p w14:paraId="3E11DAA2">
            <w:pPr>
              <w:keepNext/>
              <w:spacing w:before="0" w:after="0" w:line="300" w:lineRule="exact"/>
              <w:ind w:firstLine="0"/>
              <w:jc w:val="left"/>
            </w:pPr>
            <w:r>
              <w:rPr>
                <w:rFonts w:ascii="Times New Roman" w:hAnsi="Times New Roman" w:eastAsia="宋体"/>
                <w:b w:val="0"/>
                <w:color w:val="000000"/>
                <w:sz w:val="21"/>
              </w:rPr>
              <w:t>11/11项检查通过</w:t>
            </w:r>
          </w:p>
        </w:tc>
      </w:tr>
      <w:tr w14:paraId="72F4D4D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14" w:type="dxa"/>
            <w:tcMar>
              <w:top w:w="90" w:type="dxa"/>
              <w:left w:w="100" w:type="dxa"/>
              <w:bottom w:w="90" w:type="dxa"/>
              <w:right w:w="100" w:type="dxa"/>
            </w:tcMar>
            <w:vAlign w:val="center"/>
          </w:tcPr>
          <w:p w14:paraId="41A71506">
            <w:pPr>
              <w:keepNext/>
              <w:spacing w:before="0" w:after="0" w:line="300" w:lineRule="exact"/>
              <w:ind w:firstLine="0"/>
              <w:jc w:val="center"/>
            </w:pPr>
            <w:r>
              <w:rPr>
                <w:rFonts w:ascii="Times New Roman" w:hAnsi="Times New Roman" w:eastAsia="宋体"/>
                <w:b w:val="0"/>
                <w:color w:val="000000"/>
                <w:sz w:val="21"/>
              </w:rPr>
              <w:t>HTTPS</w:t>
            </w:r>
          </w:p>
        </w:tc>
        <w:tc>
          <w:tcPr>
            <w:tcW w:w="3798" w:type="dxa"/>
            <w:tcMar>
              <w:top w:w="90" w:type="dxa"/>
              <w:left w:w="100" w:type="dxa"/>
              <w:bottom w:w="90" w:type="dxa"/>
              <w:right w:w="100" w:type="dxa"/>
            </w:tcMar>
            <w:vAlign w:val="center"/>
          </w:tcPr>
          <w:p w14:paraId="55ABA6F0">
            <w:pPr>
              <w:keepNext/>
              <w:spacing w:before="0" w:after="0" w:line="300" w:lineRule="exact"/>
              <w:ind w:firstLine="0"/>
              <w:jc w:val="left"/>
            </w:pPr>
            <w:r>
              <w:rPr>
                <w:rFonts w:ascii="Times New Roman" w:hAnsi="Times New Roman" w:eastAsia="宋体"/>
                <w:b w:val="0"/>
                <w:color w:val="000000"/>
                <w:sz w:val="21"/>
              </w:rPr>
              <w:t>X25519MLKEM768＋ML-DSA-65</w:t>
            </w:r>
          </w:p>
        </w:tc>
        <w:tc>
          <w:tcPr>
            <w:tcW w:w="3458" w:type="dxa"/>
            <w:tcMar>
              <w:top w:w="90" w:type="dxa"/>
              <w:left w:w="100" w:type="dxa"/>
              <w:bottom w:w="90" w:type="dxa"/>
              <w:right w:w="100" w:type="dxa"/>
            </w:tcMar>
            <w:vAlign w:val="center"/>
          </w:tcPr>
          <w:p w14:paraId="57B756E3">
            <w:pPr>
              <w:keepNext/>
              <w:spacing w:before="0" w:after="0" w:line="300" w:lineRule="exact"/>
              <w:ind w:firstLine="0"/>
              <w:jc w:val="left"/>
            </w:pPr>
            <w:r>
              <w:rPr>
                <w:rFonts w:ascii="Times New Roman" w:hAnsi="Times New Roman" w:eastAsia="宋体"/>
                <w:b w:val="0"/>
                <w:color w:val="000000"/>
                <w:sz w:val="21"/>
              </w:rPr>
              <w:t>11/11项检查通过，完成GET与响应体核对</w:t>
            </w:r>
          </w:p>
        </w:tc>
      </w:tr>
      <w:tr w14:paraId="6A684A4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14" w:type="dxa"/>
            <w:tcMar>
              <w:top w:w="90" w:type="dxa"/>
              <w:left w:w="100" w:type="dxa"/>
              <w:bottom w:w="90" w:type="dxa"/>
              <w:right w:w="100" w:type="dxa"/>
            </w:tcMar>
            <w:vAlign w:val="center"/>
          </w:tcPr>
          <w:p w14:paraId="02FC9FE5">
            <w:pPr>
              <w:keepNext/>
              <w:spacing w:before="0" w:after="0" w:line="300" w:lineRule="exact"/>
              <w:ind w:firstLine="0"/>
              <w:jc w:val="center"/>
            </w:pPr>
            <w:r>
              <w:rPr>
                <w:rFonts w:ascii="Times New Roman" w:hAnsi="Times New Roman" w:eastAsia="宋体"/>
                <w:b w:val="0"/>
                <w:color w:val="000000"/>
                <w:sz w:val="21"/>
              </w:rPr>
              <w:t>TCP混合签名</w:t>
            </w:r>
          </w:p>
        </w:tc>
        <w:tc>
          <w:tcPr>
            <w:tcW w:w="3798" w:type="dxa"/>
            <w:tcMar>
              <w:top w:w="90" w:type="dxa"/>
              <w:left w:w="100" w:type="dxa"/>
              <w:bottom w:w="90" w:type="dxa"/>
              <w:right w:w="100" w:type="dxa"/>
            </w:tcMar>
            <w:vAlign w:val="center"/>
          </w:tcPr>
          <w:p w14:paraId="6E298BED">
            <w:pPr>
              <w:keepNext/>
              <w:spacing w:before="0" w:after="0" w:line="300" w:lineRule="exact"/>
              <w:ind w:firstLine="0"/>
              <w:jc w:val="left"/>
            </w:pPr>
            <w:r>
              <w:rPr>
                <w:rFonts w:ascii="Times New Roman" w:hAnsi="Times New Roman" w:eastAsia="宋体"/>
                <w:b w:val="0"/>
                <w:color w:val="000000"/>
                <w:sz w:val="21"/>
              </w:rPr>
              <w:t>Falcon-512＋ECDSA-P256</w:t>
            </w:r>
          </w:p>
        </w:tc>
        <w:tc>
          <w:tcPr>
            <w:tcW w:w="3458" w:type="dxa"/>
            <w:tcMar>
              <w:top w:w="90" w:type="dxa"/>
              <w:left w:w="100" w:type="dxa"/>
              <w:bottom w:w="90" w:type="dxa"/>
              <w:right w:w="100" w:type="dxa"/>
            </w:tcMar>
            <w:vAlign w:val="center"/>
          </w:tcPr>
          <w:p w14:paraId="039E5CAB">
            <w:pPr>
              <w:keepNext/>
              <w:spacing w:before="0" w:after="0" w:line="300" w:lineRule="exact"/>
              <w:ind w:firstLine="0"/>
              <w:jc w:val="left"/>
            </w:pPr>
            <w:r>
              <w:rPr>
                <w:rFonts w:ascii="Times New Roman" w:hAnsi="Times New Roman" w:eastAsia="宋体"/>
                <w:b w:val="0"/>
                <w:color w:val="000000"/>
                <w:sz w:val="21"/>
              </w:rPr>
              <w:t>9/9项检查通过</w:t>
            </w:r>
          </w:p>
        </w:tc>
      </w:tr>
      <w:tr w14:paraId="06EB519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814" w:type="dxa"/>
            <w:tcMar>
              <w:top w:w="90" w:type="dxa"/>
              <w:left w:w="100" w:type="dxa"/>
              <w:bottom w:w="90" w:type="dxa"/>
              <w:right w:w="100" w:type="dxa"/>
            </w:tcMar>
            <w:vAlign w:val="center"/>
          </w:tcPr>
          <w:p w14:paraId="3C973CC9">
            <w:pPr>
              <w:keepNext/>
              <w:spacing w:before="0" w:after="0" w:line="300" w:lineRule="exact"/>
              <w:ind w:firstLine="0"/>
              <w:jc w:val="center"/>
            </w:pPr>
            <w:r>
              <w:rPr>
                <w:rFonts w:ascii="Times New Roman" w:hAnsi="Times New Roman" w:eastAsia="宋体"/>
                <w:b w:val="0"/>
                <w:color w:val="000000"/>
                <w:sz w:val="21"/>
              </w:rPr>
              <w:t>UDP大签名</w:t>
            </w:r>
          </w:p>
        </w:tc>
        <w:tc>
          <w:tcPr>
            <w:tcW w:w="3798" w:type="dxa"/>
            <w:tcMar>
              <w:top w:w="90" w:type="dxa"/>
              <w:left w:w="100" w:type="dxa"/>
              <w:bottom w:w="90" w:type="dxa"/>
              <w:right w:w="100" w:type="dxa"/>
            </w:tcMar>
            <w:vAlign w:val="center"/>
          </w:tcPr>
          <w:p w14:paraId="39F53BCD">
            <w:pPr>
              <w:keepNext/>
              <w:spacing w:before="0" w:after="0" w:line="300" w:lineRule="exact"/>
              <w:ind w:firstLine="0"/>
              <w:jc w:val="left"/>
            </w:pPr>
            <w:r>
              <w:rPr>
                <w:rFonts w:ascii="Times New Roman" w:hAnsi="Times New Roman" w:eastAsia="宋体"/>
                <w:b w:val="0"/>
                <w:color w:val="000000"/>
                <w:sz w:val="21"/>
              </w:rPr>
              <w:t>SLH-DSA-SHA2-256f后端</w:t>
            </w:r>
          </w:p>
        </w:tc>
        <w:tc>
          <w:tcPr>
            <w:tcW w:w="3458" w:type="dxa"/>
            <w:tcMar>
              <w:top w:w="90" w:type="dxa"/>
              <w:left w:w="100" w:type="dxa"/>
              <w:bottom w:w="90" w:type="dxa"/>
              <w:right w:w="100" w:type="dxa"/>
            </w:tcMar>
            <w:vAlign w:val="center"/>
          </w:tcPr>
          <w:p w14:paraId="35C6CD30">
            <w:pPr>
              <w:keepNext w:val="0"/>
              <w:spacing w:before="0" w:after="0" w:line="300" w:lineRule="exact"/>
              <w:ind w:firstLine="0"/>
              <w:jc w:val="left"/>
            </w:pPr>
            <w:r>
              <w:rPr>
                <w:rFonts w:ascii="Times New Roman" w:hAnsi="Times New Roman" w:eastAsia="宋体"/>
                <w:b w:val="0"/>
                <w:color w:val="000000"/>
                <w:sz w:val="21"/>
              </w:rPr>
              <w:t>7/7项检查通过；49856B签名，经58个响应分片重组验签</w:t>
            </w:r>
          </w:p>
        </w:tc>
      </w:tr>
    </w:tbl>
    <w:p w14:paraId="3B37E8C4">
      <w:pPr>
        <w:spacing w:before="0" w:after="0" w:line="240" w:lineRule="auto"/>
        <w:ind w:firstLine="0"/>
      </w:pPr>
    </w:p>
    <w:p w14:paraId="45C61F64">
      <w:pPr>
        <w:jc w:val="both"/>
      </w:pPr>
      <w:r>
        <w:rPr>
          <w:rFonts w:ascii="Times New Roman" w:hAnsi="Times New Roman" w:eastAsia="宋体"/>
          <w:color w:val="000000"/>
        </w:rPr>
        <w:t>表5-3中的检查项数量为各场景报告的项目数，与前述回归用例数量不同。UDP记录使用SPHINCS+simple后端，名称和接口口径见第3.5节；大签名分片成功反映该场景的传输与重组能力，不构成FIPS205外部接口互通证明。</w:t>
      </w:r>
    </w:p>
    <w:p w14:paraId="09318F81">
      <w:pPr>
        <w:jc w:val="both"/>
      </w:pPr>
      <w:r>
        <w:rPr>
          <w:rFonts w:ascii="Times New Roman" w:hAnsi="Times New Roman" w:eastAsia="宋体"/>
          <w:color w:val="000000"/>
        </w:rPr>
        <w:t>这些记录证明相应版本在规定环境和样本下完成了正常通信与对照检查，不能替代密码算法安全证明、全面协议安全审计或跨环境性能评价。展示服务停止后，报告仍是历史证据；再次启动和重测应生成新结果，避免沿用旧成功状态。</w:t>
      </w:r>
    </w:p>
    <w:p w14:paraId="63CD078D">
      <w:pPr>
        <w:pStyle w:val="3"/>
      </w:pPr>
      <w:bookmarkStart w:id="27" w:name="heading_37"/>
      <w:r>
        <w:rPr>
          <w:rFonts w:ascii="Times New Roman" w:hAnsi="Times New Roman" w:eastAsia="黑体"/>
          <w:b/>
          <w:color w:val="000000"/>
        </w:rPr>
        <w:t>6 应用设计与扩展方向</w:t>
      </w:r>
      <w:bookmarkEnd w:id="27"/>
    </w:p>
    <w:p w14:paraId="2A66A1E0">
      <w:pPr>
        <w:pStyle w:val="4"/>
      </w:pPr>
      <w:bookmarkStart w:id="28" w:name="heading_38"/>
      <w:r>
        <w:rPr>
          <w:rFonts w:ascii="Times New Roman" w:hAnsi="Times New Roman" w:eastAsia="黑体"/>
          <w:b/>
          <w:color w:val="000000"/>
        </w:rPr>
        <w:t>6.1 后量子迁移评估与配置定位</w:t>
      </w:r>
      <w:bookmarkEnd w:id="28"/>
    </w:p>
    <w:p w14:paraId="6A3082F6">
      <w:pPr>
        <w:jc w:val="both"/>
      </w:pPr>
      <w:r>
        <w:rPr>
          <w:rFonts w:ascii="Times New Roman" w:hAnsi="Times New Roman" w:eastAsia="宋体"/>
          <w:color w:val="000000"/>
        </w:rPr>
        <w:t>面向网络服务的迁移评估，可先导入抓包确认实际会话选择的组和密码套件，再对目标入口进行主动深度检测，关联同次握手的证书与签名结果。若密钥交换已采用混合组而证书仍为经典算法，平台输出部分抗量子并定位相应层次；若参数或验签失败，则从详细报文和检查步骤查找配置或实现问题。</w:t>
      </w:r>
    </w:p>
    <w:p w14:paraId="4C04D93D">
      <w:pPr>
        <w:jc w:val="both"/>
      </w:pPr>
      <w:r>
        <w:rPr>
          <w:rFonts w:ascii="Times New Roman" w:hAnsi="Times New Roman" w:eastAsia="宋体"/>
          <w:color w:val="000000"/>
        </w:rPr>
        <w:t>复核记录应固定目标地址、端口、探测时间和证据来源。对多个入口或多次配置变更的评估，可按这些字段逐项比较，保留每次连接独立结论。当前结果说明特定入口在特定探测中的行为，后续部署判断仍需覆盖实际使用的入口与客户端条件。</w:t>
      </w:r>
    </w:p>
    <w:p w14:paraId="23FF9C9A">
      <w:pPr>
        <w:pStyle w:val="4"/>
      </w:pPr>
      <w:bookmarkStart w:id="29" w:name="heading_39"/>
      <w:r>
        <w:rPr>
          <w:rFonts w:ascii="Times New Roman" w:hAnsi="Times New Roman" w:eastAsia="黑体"/>
          <w:b/>
          <w:color w:val="000000"/>
        </w:rPr>
        <w:t>6.2 教学实验与算法复核</w:t>
      </w:r>
      <w:bookmarkEnd w:id="29"/>
    </w:p>
    <w:p w14:paraId="0309C53B">
      <w:pPr>
        <w:jc w:val="both"/>
      </w:pPr>
      <w:r>
        <w:rPr>
          <w:rFonts w:ascii="Times New Roman" w:hAnsi="Times New Roman" w:eastAsia="宋体"/>
          <w:color w:val="000000"/>
        </w:rPr>
        <w:t>教学使用可将协议时序、算法计算和网络对照结合起来。先在独立页面观察ML-KEM封装与解封装、混合秘密派生和签名验签，再启动本地TLS或签名消息服务，核对同一类算法在通信中的输入输出。通过修改消息、签名、证书签名或目标主机名，观察验证步骤何时拒绝，可解释长度校验、密码学验证与信任检查各自的作用。</w:t>
      </w:r>
    </w:p>
    <w:p w14:paraId="11F813CB">
      <w:pPr>
        <w:jc w:val="both"/>
      </w:pPr>
      <w:r>
        <w:rPr>
          <w:rFonts w:ascii="Times New Roman" w:hAnsi="Times New Roman" w:eastAsia="宋体"/>
          <w:color w:val="000000"/>
        </w:rPr>
        <w:t>复核时保持算法参数、库版本、信任根或固定公钥一致，并保存正常与异常输入的对应证据。计算展示中的临时秘密只用于本轮实验，自定义消息签名和离线混合加密格式的验证结果按其自身编码范围解释。</w:t>
      </w:r>
    </w:p>
    <w:p w14:paraId="50CCFCF4">
      <w:pPr>
        <w:pStyle w:val="4"/>
      </w:pPr>
      <w:bookmarkStart w:id="30" w:name="heading_40"/>
      <w:r>
        <w:rPr>
          <w:rFonts w:ascii="Times New Roman" w:hAnsi="Times New Roman" w:eastAsia="黑体"/>
          <w:b/>
          <w:color w:val="000000"/>
        </w:rPr>
        <w:t>6.3 当前限制与适用边界</w:t>
      </w:r>
      <w:bookmarkEnd w:id="30"/>
    </w:p>
    <w:p w14:paraId="70E720B6">
      <w:pPr>
        <w:jc w:val="both"/>
      </w:pPr>
      <w:r>
        <w:rPr>
          <w:rFonts w:ascii="Times New Roman" w:hAnsi="Times New Roman" w:eastAsia="宋体"/>
          <w:color w:val="000000"/>
        </w:rPr>
        <w:t>当前较完整的验证集中在TLS1.3主动检测、独立算法计算，以及本机TLS/HTTPS和签名消息实验。被动抓包页尚未支持导入会话密钥日志；IPsec、SSH等协议已有解析基础，其后量子专项检测还需要结合具体协商格式和实际样本继续补充。</w:t>
      </w:r>
    </w:p>
    <w:p w14:paraId="42BBADDF">
      <w:pPr>
        <w:jc w:val="both"/>
      </w:pPr>
      <w:r>
        <w:rPr>
          <w:rFonts w:ascii="Times New Roman" w:hAnsi="Times New Roman" w:eastAsia="宋体"/>
          <w:color w:val="000000"/>
        </w:rPr>
        <w:t>通用TLS检测器侧重服务器握手与算法参数，不执行完整证书信任路径检查，也不发送客户端Finished。本地实验站的OpenSSL路径在显式实验CA下完成身份检查和TLS会话；TCP/UDP路径依据固定公钥认证消息来源，内容仍为明文。三者的验证对象与信任依据分别保留。</w:t>
      </w:r>
    </w:p>
    <w:p w14:paraId="4896CFFF">
      <w:pPr>
        <w:pStyle w:val="4"/>
      </w:pPr>
      <w:bookmarkStart w:id="31" w:name="heading_41"/>
      <w:r>
        <w:rPr>
          <w:rFonts w:ascii="Times New Roman" w:hAnsi="Times New Roman" w:eastAsia="黑体"/>
          <w:b/>
          <w:color w:val="000000"/>
        </w:rPr>
        <w:t>6.4 标准登记与后续完善</w:t>
      </w:r>
      <w:bookmarkEnd w:id="31"/>
    </w:p>
    <w:p w14:paraId="1A6985D1">
      <w:pPr>
        <w:jc w:val="both"/>
      </w:pPr>
      <w:r>
        <w:rPr>
          <w:rFonts w:ascii="Times New Roman" w:hAnsi="Times New Roman" w:eastAsia="宋体"/>
          <w:color w:val="000000"/>
        </w:rPr>
        <w:t>算法标识表需随标准登记持续核对。截至2026年10月9日，IANA将0x11EE登记为curveSM2MLKEM768[6]；已记录实现中的代码映射仍为X25519MLKEM1024，属于需修正并补测的具体项。本作品已验证混合组仅列表3-1中的三组，不将该编号纳入已验证范围。旧版Kyber草案标识也需保留版本含义，不能与ML-KEM互换解释。</w:t>
      </w:r>
    </w:p>
    <w:p w14:paraId="7F75A9DB">
      <w:pPr>
        <w:jc w:val="both"/>
      </w:pPr>
      <w:r>
        <w:rPr>
          <w:rFonts w:ascii="Times New Roman" w:hAnsi="Times New Roman" w:eastAsia="宋体"/>
          <w:color w:val="000000"/>
        </w:rPr>
        <w:t>后续完善重点包括导入会话密钥日志以扩展TLS1.3被动分析、补充深度验证对重试流程的支持，以及结合真实样本完善其他协议的后量子专项检测。新增能力应同时补充参数、正常通信与负向样本测试，并更新结论范围和证据记录。</w:t>
      </w:r>
    </w:p>
    <w:p w14:paraId="11EAF6CF">
      <w:pPr>
        <w:pStyle w:val="3"/>
      </w:pPr>
      <w:bookmarkStart w:id="32" w:name="heading_42"/>
      <w:r>
        <w:rPr>
          <w:rFonts w:ascii="Times New Roman" w:hAnsi="Times New Roman" w:eastAsia="黑体"/>
          <w:b/>
          <w:color w:val="000000"/>
        </w:rPr>
        <w:t>7 总结</w:t>
      </w:r>
      <w:bookmarkEnd w:id="32"/>
    </w:p>
    <w:p w14:paraId="141AAA74">
      <w:pPr>
        <w:jc w:val="both"/>
      </w:pPr>
      <w:r>
        <w:rPr>
          <w:rFonts w:ascii="Times New Roman" w:hAnsi="Times New Roman" w:eastAsia="宋体"/>
          <w:color w:val="000000"/>
        </w:rPr>
        <w:t>本作品构建了面向后量子密码迁移的协议检测与算法验证平台，将抓包分析、主动TLS1.3检测、独立算法计算和本地网络实验组织为可复核的工作流程。检测分别记录密钥交换与证书认证的算法状态，以真实共享秘密、握手解密、Finished及CertificateVerify校验确认服务器侧握手，并保留连接来源和失败原因。</w:t>
      </w:r>
    </w:p>
    <w:p w14:paraId="48AA9F46">
      <w:pPr>
        <w:jc w:val="both"/>
      </w:pPr>
      <w:r>
        <w:rPr>
          <w:rFonts w:ascii="Times New Roman" w:hAnsi="Times New Roman" w:eastAsia="宋体"/>
          <w:color w:val="000000"/>
        </w:rPr>
        <w:t>已有存档记录覆盖混合TLS交换组、后量子身份以及TCP/UDP签名消息的实际通信和负向对照。作品的结论限定于具体连接、实验环境与检查范围；完整身份信任、协议互通及后续扩展按独立验证路径推进。通过从算法标识返回报文和实际运算证据，平台为迁移配置排查与密码教学提供了可追溯的实现基础。</w:t>
      </w:r>
    </w:p>
    <w:p w14:paraId="1627CA91">
      <w:pPr>
        <w:pStyle w:val="3"/>
      </w:pPr>
      <w:bookmarkStart w:id="33" w:name="heading_43"/>
      <w:r>
        <w:rPr>
          <w:rFonts w:ascii="Times New Roman" w:hAnsi="Times New Roman" w:eastAsia="黑体"/>
          <w:b/>
          <w:color w:val="000000"/>
        </w:rPr>
        <w:t>参考文献</w:t>
      </w:r>
      <w:bookmarkEnd w:id="33"/>
    </w:p>
    <w:p w14:paraId="394B232C">
      <w:pPr>
        <w:spacing w:after="160" w:line="300" w:lineRule="exact"/>
        <w:ind w:left="360" w:hanging="360"/>
        <w:jc w:val="both"/>
      </w:pPr>
      <w:r>
        <w:rPr>
          <w:rFonts w:ascii="Times New Roman" w:hAnsi="Times New Roman" w:eastAsia="宋体"/>
          <w:color w:val="000000"/>
          <w:sz w:val="21"/>
        </w:rPr>
        <w:t>[1] NIST. Module-Lattice-Based Key-Encapsulation Mechanism Standard FIPS203[S]. 2024. DOI:10.6028/NIST.FIPS.203. https://csrc.nist.gov/pubs/fips/203/final.</w:t>
      </w:r>
    </w:p>
    <w:p w14:paraId="10A87359">
      <w:pPr>
        <w:spacing w:after="160" w:line="300" w:lineRule="exact"/>
        <w:ind w:left="360" w:hanging="360"/>
        <w:jc w:val="both"/>
      </w:pPr>
      <w:r>
        <w:rPr>
          <w:rFonts w:ascii="Times New Roman" w:hAnsi="Times New Roman" w:eastAsia="宋体"/>
          <w:color w:val="000000"/>
          <w:sz w:val="21"/>
        </w:rPr>
        <w:t>[2] NIST. Module-Lattice-Based Digital Signature Standard FIPS204[S]. 2024. DOI:10.6028/NIST.FIPS.204. https://csrc.nist.gov/pubs/fips/204/final.</w:t>
      </w:r>
    </w:p>
    <w:p w14:paraId="468E093B">
      <w:pPr>
        <w:spacing w:after="160" w:line="300" w:lineRule="exact"/>
        <w:ind w:left="360" w:hanging="360"/>
        <w:jc w:val="both"/>
      </w:pPr>
      <w:r>
        <w:rPr>
          <w:rFonts w:ascii="Times New Roman" w:hAnsi="Times New Roman" w:eastAsia="宋体"/>
          <w:color w:val="000000"/>
          <w:sz w:val="21"/>
        </w:rPr>
        <w:t>[3] NIST. Stateless Hash-Based Digital Signature Standard FIPS205[S]. 2024. DOI:10.6028/NIST.FIPS.205. https://csrc.nist.gov/pubs/fips/205/final.</w:t>
      </w:r>
    </w:p>
    <w:p w14:paraId="52FC0C79">
      <w:pPr>
        <w:spacing w:after="160" w:line="300" w:lineRule="exact"/>
        <w:ind w:left="360" w:hanging="360"/>
        <w:jc w:val="both"/>
      </w:pPr>
      <w:r>
        <w:rPr>
          <w:rFonts w:ascii="Times New Roman" w:hAnsi="Times New Roman" w:eastAsia="宋体"/>
          <w:color w:val="000000"/>
          <w:sz w:val="21"/>
        </w:rPr>
        <w:t>[4] RESCORLA E. The Transport Layer Security TLS Protocol Version 1.3 RFC8446[S]. 2018. https://www.rfc-editor.org/rfc/rfc8446.html.</w:t>
      </w:r>
    </w:p>
    <w:p w14:paraId="55BEE4C8">
      <w:pPr>
        <w:spacing w:after="160" w:line="300" w:lineRule="exact"/>
        <w:ind w:left="360" w:hanging="360"/>
        <w:jc w:val="both"/>
      </w:pPr>
      <w:r>
        <w:rPr>
          <w:rFonts w:ascii="Times New Roman" w:hAnsi="Times New Roman" w:eastAsia="宋体"/>
          <w:color w:val="000000"/>
          <w:sz w:val="21"/>
        </w:rPr>
        <w:t>[5] COOPER D, SANTESSON S, FARRELL S, et al. Internet X.509 Public Key Infrastructure Certificate and Certificate Revocation List CRL Profile RFC5280[S]. 2008. https://www.rfc-editor.org/rfc/rfc5280.html.</w:t>
      </w:r>
    </w:p>
    <w:p w14:paraId="45A28418">
      <w:pPr>
        <w:spacing w:after="160" w:line="300" w:lineRule="exact"/>
        <w:ind w:left="360" w:hanging="360"/>
        <w:jc w:val="both"/>
      </w:pPr>
      <w:r>
        <w:rPr>
          <w:rFonts w:ascii="Times New Roman" w:hAnsi="Times New Roman" w:eastAsia="宋体"/>
          <w:color w:val="000000"/>
          <w:sz w:val="21"/>
        </w:rPr>
        <w:t>[6] IANA. Transport Layer Security TLS Parameters[EB/OL]. [2026-10-09]. https://www.iana.org/assignments/tls-parameters/.</w:t>
      </w:r>
    </w:p>
    <w:p w14:paraId="2B3A9E2A">
      <w:pPr>
        <w:spacing w:after="160" w:line="300" w:lineRule="exact"/>
        <w:ind w:left="360" w:hanging="360"/>
        <w:jc w:val="both"/>
      </w:pPr>
      <w:r>
        <w:rPr>
          <w:rFonts w:ascii="Times New Roman" w:hAnsi="Times New Roman" w:eastAsia="宋体"/>
          <w:color w:val="000000"/>
          <w:sz w:val="21"/>
        </w:rPr>
        <w:t>[7] pure-wei. PQC_detection_projection源代码及项目说明[EB/OL]. [2026-10-09]. https://github.com/pure-wei/PQC_detection_projection.</w:t>
      </w:r>
    </w:p>
    <w:p w14:paraId="785AF249">
      <w:pPr>
        <w:spacing w:after="160" w:line="300" w:lineRule="exact"/>
        <w:ind w:left="360" w:hanging="360"/>
        <w:jc w:val="both"/>
      </w:pPr>
      <w:r>
        <w:rPr>
          <w:rFonts w:ascii="Times New Roman" w:hAnsi="Times New Roman" w:eastAsia="宋体"/>
          <w:color w:val="000000"/>
          <w:sz w:val="21"/>
        </w:rPr>
        <w:t>[8] pure-wei. 本地后量子实验站多协议与数字签名验收[EB/OL]. 2026-10-07[2026-10-09]. 项目路径docs/2026-10-07-pqc-multilayer-validation.md.</w:t>
      </w:r>
    </w:p>
    <w:p w14:paraId="645237D0">
      <w:pPr>
        <w:spacing w:after="160" w:line="300" w:lineRule="exact"/>
        <w:ind w:left="360" w:hanging="360"/>
        <w:jc w:val="both"/>
      </w:pPr>
      <w:r>
        <w:rPr>
          <w:rFonts w:ascii="Times New Roman" w:hAnsi="Times New Roman" w:eastAsia="宋体"/>
          <w:color w:val="000000"/>
          <w:sz w:val="21"/>
        </w:rPr>
        <w:t>[9] pure-wei. 多层后量子实验完整回归输出[EB/OL]. 2026-10-07[2026-10-09]. 项目路径docs/pqc-multilayer-pytest-2026-10-07.txt.</w:t>
      </w:r>
    </w:p>
    <w:sectPr>
      <w:headerReference r:id="rId7" w:type="default"/>
      <w:footerReference r:id="rId8" w:type="default"/>
      <w:pgSz w:w="11906" w:h="16838"/>
      <w:pgMar w:top="1247" w:right="1417" w:bottom="1191" w:left="1417" w:header="454" w:footer="51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EDBA8">
    <w:pPr>
      <w:pStyle w:val="24"/>
      <w:jc w:val="center"/>
    </w:pPr>
    <w:r>
      <w:fldChar w:fldCharType="begin"/>
    </w:r>
    <w:r>
      <w:instrText xml:space="preserve">PAGE \* ROMAN</w:instrText>
    </w:r>
    <w:r>
      <w:fldChar w:fldCharType="separate"/>
    </w:r>
    <w:r>
      <w:t>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366B40">
    <w:pPr>
      <w:pStyle w:val="24"/>
      <w:jc w:val="center"/>
    </w:pPr>
    <w:r>
      <w:fldChar w:fldCharType="begin"/>
    </w:r>
    <w:r>
      <w:instrText xml:space="preserve">PAGE \* Arabic</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A572A5">
    <w:pPr>
      <w:pStyle w:val="25"/>
      <w:jc w:val="center"/>
    </w:pPr>
    <w:r>
      <w:rPr>
        <w:rFonts w:ascii="Times New Roman" w:hAnsi="Times New Roman" w:eastAsia="宋体"/>
        <w:color w:val="000000"/>
        <w:sz w:val="18"/>
      </w:rPr>
      <w:t>2026年全国密码技术竞赛作品设计报告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A19281">
    <w:pPr>
      <w:pStyle w:val="25"/>
      <w:jc w:val="center"/>
    </w:pPr>
    <w:r>
      <w:rPr>
        <w:rFonts w:ascii="Times New Roman" w:hAnsi="Times New Roman" w:eastAsia="宋体"/>
        <w:color w:val="000000"/>
        <w:sz w:val="18"/>
      </w:rPr>
      <w:t>2026年全国密码技术竞赛作品设计报告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9D5EE4"/>
    <w:rsid w:val="286D547B"/>
    <w:rsid w:val="361D1EF6"/>
    <w:rsid w:val="40955117"/>
    <w:rsid w:val="55EA1ACA"/>
    <w:rsid w:val="6A865112"/>
    <w:rsid w:val="74B2702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before="0" w:after="100" w:line="400" w:lineRule="exact"/>
      <w:ind w:firstLine="480"/>
    </w:pPr>
    <w:rPr>
      <w:rFonts w:ascii="Times New Roman" w:hAnsi="Times New Roman" w:eastAsia="宋体" w:cs="Times New Roman"/>
      <w:color w:val="000000"/>
      <w:sz w:val="24"/>
      <w:szCs w:val="22"/>
      <w:lang w:val="en-US" w:eastAsia="en-US" w:bidi="ar-SA"/>
    </w:rPr>
  </w:style>
  <w:style w:type="paragraph" w:styleId="3">
    <w:name w:val="heading 1"/>
    <w:basedOn w:val="1"/>
    <w:next w:val="1"/>
    <w:link w:val="138"/>
    <w:qFormat/>
    <w:uiPriority w:val="9"/>
    <w:pPr>
      <w:keepNext/>
      <w:keepLines/>
      <w:pageBreakBefore/>
      <w:spacing w:before="280" w:after="160" w:line="480" w:lineRule="exact"/>
      <w:ind w:firstLine="0"/>
      <w:outlineLvl w:val="0"/>
    </w:pPr>
    <w:rPr>
      <w:rFonts w:ascii="Times New Roman" w:hAnsi="Times New Roman" w:eastAsia="黑体" w:cs="Times New Roman"/>
      <w:b/>
      <w:bCs/>
      <w:color w:val="000000"/>
      <w:sz w:val="32"/>
      <w:szCs w:val="28"/>
    </w:rPr>
  </w:style>
  <w:style w:type="paragraph" w:styleId="4">
    <w:name w:val="heading 2"/>
    <w:basedOn w:val="1"/>
    <w:next w:val="1"/>
    <w:link w:val="139"/>
    <w:unhideWhenUsed/>
    <w:qFormat/>
    <w:uiPriority w:val="9"/>
    <w:pPr>
      <w:keepNext/>
      <w:keepLines/>
      <w:spacing w:before="280" w:after="160" w:line="440" w:lineRule="exact"/>
      <w:ind w:firstLine="0"/>
      <w:outlineLvl w:val="1"/>
    </w:pPr>
    <w:rPr>
      <w:rFonts w:ascii="Times New Roman" w:hAnsi="Times New Roman" w:eastAsia="黑体" w:cs="Times New Roman"/>
      <w:b/>
      <w:bCs/>
      <w:color w:val="000000"/>
      <w:sz w:val="28"/>
      <w:szCs w:val="26"/>
    </w:rPr>
  </w:style>
  <w:style w:type="paragraph" w:styleId="5">
    <w:name w:val="heading 3"/>
    <w:basedOn w:val="1"/>
    <w:next w:val="1"/>
    <w:link w:val="140"/>
    <w:unhideWhenUsed/>
    <w:qFormat/>
    <w:uiPriority w:val="9"/>
    <w:pPr>
      <w:keepNext/>
      <w:keepLines/>
      <w:spacing w:before="280" w:after="160" w:line="440" w:lineRule="exact"/>
      <w:ind w:firstLine="0"/>
      <w:outlineLvl w:val="2"/>
    </w:pPr>
    <w:rPr>
      <w:rFonts w:ascii="Times New Roman" w:hAnsi="Times New Roman" w:eastAsia="黑体" w:cs="Times New Roman"/>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60" w:lineRule="exact"/>
      <w:ind w:firstLine="0"/>
    </w:pPr>
    <w:rPr>
      <w:rFonts w:ascii="Times New Roman" w:hAnsi="Times New Roman" w:eastAsia="宋体" w:cs="Times New Roman"/>
      <w:color w:val="000000"/>
      <w:sz w:val="21"/>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20" w:lineRule="exact"/>
      <w:ind w:firstLine="0"/>
    </w:pPr>
    <w:rPr>
      <w:rFonts w:ascii="Times New Roman" w:hAnsi="Times New Roman" w:eastAsia="宋体" w:cs="Times New Roman"/>
      <w:color w:val="000000"/>
      <w:sz w:val="18"/>
    </w:rPr>
  </w:style>
  <w:style w:type="paragraph" w:styleId="25">
    <w:name w:val="header"/>
    <w:basedOn w:val="1"/>
    <w:link w:val="135"/>
    <w:unhideWhenUsed/>
    <w:uiPriority w:val="99"/>
    <w:pPr>
      <w:tabs>
        <w:tab w:val="center" w:pos="4680"/>
        <w:tab w:val="right" w:pos="9360"/>
      </w:tabs>
      <w:spacing w:after="0" w:line="220" w:lineRule="exact"/>
      <w:ind w:firstLine="0"/>
    </w:pPr>
    <w:rPr>
      <w:rFonts w:ascii="Times New Roman" w:hAnsi="Times New Roman" w:eastAsia="宋体" w:cs="Times New Roman"/>
      <w:color w:val="000000"/>
      <w:sz w:val="18"/>
    </w:rPr>
  </w:style>
  <w:style w:type="paragraph" w:styleId="26">
    <w:name w:val="Subtitle"/>
    <w:basedOn w:val="1"/>
    <w:next w:val="1"/>
    <w:link w:val="142"/>
    <w:qFormat/>
    <w:uiPriority w:val="11"/>
    <w:pPr>
      <w:keepNext/>
      <w:spacing w:before="280" w:after="160" w:line="480" w:lineRule="exact"/>
      <w:ind w:firstLine="0"/>
    </w:pPr>
    <w:rPr>
      <w:rFonts w:ascii="Times New Roman" w:hAnsi="Times New Roman" w:eastAsia="黑体" w:cs="Times New Roman"/>
      <w:b/>
      <w:bCs/>
      <w:color w:val="000000"/>
      <w:spacing w:val="15"/>
      <w:sz w:val="32"/>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spacing w:before="280" w:after="160" w:line="480" w:lineRule="exact"/>
      <w:ind w:firstLine="0"/>
      <w:contextualSpacing/>
    </w:pPr>
    <w:rPr>
      <w:rFonts w:ascii="Times New Roman" w:hAnsi="Times New Roman" w:eastAsia="黑体" w:cs="Times New Roman"/>
      <w:b/>
      <w:bCs/>
      <w:color w:val="000000"/>
      <w:spacing w:val="5"/>
      <w:kern w:val="28"/>
      <w:sz w:val="48"/>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ompetition TOC"/>
    <w:uiPriority w:val="0"/>
    <w:pPr>
      <w:spacing w:after="60" w:line="288" w:lineRule="auto"/>
      <w:ind w:firstLine="0"/>
    </w:pPr>
    <w:rPr>
      <w:rFonts w:ascii="Times New Roman" w:hAnsi="Times New Roman" w:eastAsia="宋体" w:cs="Times New Roman"/>
      <w:color w:val="000000"/>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11045</Words>
  <Characters>14596</Characters>
  <Lines>0</Lines>
  <Paragraphs>0</Paragraphs>
  <TotalTime>524</TotalTime>
  <ScaleCrop>false</ScaleCrop>
  <LinksUpToDate>false</LinksUpToDate>
  <CharactersWithSpaces>14807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fine</dc:creator>
  <dc:description>generated by python-docx</dc:description>
  <cp:lastModifiedBy>fine</cp:lastModifiedBy>
  <dcterms:modified xsi:type="dcterms:W3CDTF">2026-10-10T09:11:39Z</dcterms:modified>
  <dc:subject>2026年全国密码技术竞赛作品设计报告</dc:subject>
  <dc:title>面向后量子密码的协议检测与算法验证平台</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eyJoZGlkIjoiOTc3M2Y5NzIzMDFlZjAyY2Q4Njk5ODkyYjFjNzBiNTQiLCJ1c2VySWQiOiI0NTgwOTY5MjQifQ==</vt:lpwstr>
  </property>
  <property fmtid="{D5CDD505-2E9C-101B-9397-08002B2CF9AE}" pid="3" name="KSOProductBuildVer">
    <vt:lpwstr>2052-12.1.0.28505</vt:lpwstr>
  </property>
  <property fmtid="{D5CDD505-2E9C-101B-9397-08002B2CF9AE}" pid="4" name="ICV">
    <vt:lpwstr>2A9F3ED350B7422CACAB3CED88F0F901_12</vt:lpwstr>
  </property>
</Properties>
</file>