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بررسی-فرم-درخواست-آلبومین-انسانی-وریدی"/>
    <w:p>
      <w:pPr>
        <w:pStyle w:val="Heading1"/>
        <w:bidi/>
      </w:pPr>
      <w:r>
        <w:rPr>
          <w:rtl/>
        </w:rPr>
        <w:t xml:space="preserve">بررسی فرم درخواست آلبومین انسانی وریدی</w:t>
      </w:r>
    </w:p>
    <w:p>
      <w:pPr>
        <w:bidi/>
      </w:pPr>
      <w:r>
        <w:rPr>
          <w:rtl/>
          <w:bCs/>
          <w:b/>
        </w:rPr>
        <w:t xml:space="preserve">موضوع:</w:t>
      </w:r>
      <w:r>
        <w:rPr>
          <w:rtl/>
        </w:rPr>
        <w:t xml:space="preserve"> </w:t>
      </w:r>
      <w:r>
        <w:rPr>
          <w:rtl/>
        </w:rPr>
        <w:t xml:space="preserve">نکات پیشنهادی برای طرح در کمیته دارو و درمان پیش از تصویب نهایی</w:t>
      </w:r>
      <w:r>
        <w:rPr>
          <w:rtl/>
        </w:rPr>
        <w:t xml:space="preserve"> </w:t>
      </w:r>
      <w:r>
        <w:rPr>
          <w:rtl/>
          <w:bCs/>
          <w:b/>
        </w:rPr>
        <w:t xml:space="preserve">وضعیت:</w:t>
      </w:r>
      <w:r>
        <w:rPr>
          <w:rtl/>
        </w:rPr>
        <w:t xml:space="preserve"> </w:t>
      </w:r>
      <w:r>
        <w:rPr>
          <w:rtl/>
        </w:rPr>
        <w:t xml:space="preserve">پیش‌نویس ناظر دارویی. نکات بالینی باید با داروساز بالینی و متخصصان مربوط تأیید شوند.</w:t>
      </w:r>
    </w:p>
    <w:bookmarkStart w:id="20" w:name="ناسازگاریهای-داخلی-فرم"/>
    <w:p>
      <w:pPr>
        <w:pStyle w:val="Heading2"/>
        <w:bidi/>
      </w:pPr>
      <w:r>
        <w:rPr>
          <w:rtl/>
        </w:rPr>
        <w:t xml:space="preserve">۱. ناسازگاری‌های داخلی فرم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مورد</w:t>
            </w:r>
          </w:p>
        </w:tc>
        <w:tc>
          <w:tcPr/>
          <w:p>
            <w:pPr>
              <w:pStyle w:val="Compact"/>
              <w:bidi/>
              <w:jc w:val="left"/>
            </w:pPr>
            <w:r>
              <w:rPr>
                <w:rtl/>
              </w:rPr>
              <w:t xml:space="preserve">مشکل</w:t>
            </w:r>
          </w:p>
        </w:tc>
        <w:tc>
          <w:tcPr/>
          <w:p>
            <w:pPr>
              <w:pStyle w:val="Compact"/>
              <w:bidi/>
              <w:jc w:val="left"/>
            </w:pPr>
            <w:r>
              <w:rPr>
                <w:rtl/>
              </w:rPr>
              <w:t xml:space="preserve">پیشنهاد</w:t>
            </w:r>
          </w:p>
        </w:tc>
      </w:tr>
      <w:tr>
        <w:tc>
          <w:tcPr/>
          <w:p>
            <w:pPr>
              <w:pStyle w:val="Compact"/>
              <w:bidi/>
              <w:jc w:val="left"/>
            </w:pPr>
            <w:r>
              <w:rPr>
                <w:rtl/>
              </w:rPr>
              <w:t xml:space="preserve">1</w:t>
            </w:r>
          </w:p>
        </w:tc>
        <w:tc>
          <w:tcPr/>
          <w:p>
            <w:pPr>
              <w:pStyle w:val="Compact"/>
              <w:bidi/>
              <w:jc w:val="left"/>
            </w:pPr>
            <w:r>
              <w:rPr>
                <w:rtl/>
              </w:rPr>
              <w:t xml:space="preserve">قاعده ۳: اعتبار فرم ۴۸ ساعت</w:t>
            </w:r>
          </w:p>
        </w:tc>
        <w:tc>
          <w:tcPr/>
          <w:p>
            <w:pPr>
              <w:pStyle w:val="Compact"/>
              <w:bidi/>
              <w:jc w:val="left"/>
            </w:pPr>
            <w:r>
              <w:rPr>
                <w:rtl/>
              </w:rPr>
              <w:t xml:space="preserve">با رژیم‌های چندروزه همین فرم تناقض دارد: SBP (روز ۱ و ۳)، HRS (تا ۱۴ روز)، تکرار در سندرم نفروتیک</w:t>
            </w:r>
          </w:p>
        </w:tc>
        <w:tc>
          <w:tcPr/>
          <w:p>
            <w:pPr>
              <w:pStyle w:val="Compact"/>
              <w:bidi/>
              <w:jc w:val="left"/>
            </w:pPr>
            <w:r>
              <w:rPr>
                <w:rtl/>
              </w:rPr>
              <w:t xml:space="preserve">اعتبار فرم = دوره همان اندیکاسیون در جدول، با بازبینی روزانه داروساز؛ یا تصریح شود که برای روز ۳ SBP و ادامه HRS فرم پیگیری کوتاه کافی است</w:t>
            </w:r>
          </w:p>
        </w:tc>
      </w:tr>
      <w:tr>
        <w:tc>
          <w:tcPr/>
          <w:p>
            <w:pPr>
              <w:pStyle w:val="Compact"/>
              <w:bidi/>
              <w:jc w:val="left"/>
            </w:pPr>
            <w:r>
              <w:rPr>
                <w:rtl/>
              </w:rPr>
              <w:t xml:space="preserve">2</w:t>
            </w:r>
          </w:p>
        </w:tc>
        <w:tc>
          <w:tcPr/>
          <w:p>
            <w:pPr>
              <w:pStyle w:val="Compact"/>
              <w:bidi/>
              <w:jc w:val="left"/>
            </w:pPr>
            <w:r>
              <w:rPr>
                <w:rtl/>
              </w:rPr>
              <w:t xml:space="preserve">پلاسمافرز</w:t>
            </w:r>
          </w:p>
        </w:tc>
        <w:tc>
          <w:tcPr/>
          <w:p>
            <w:pPr>
              <w:pStyle w:val="Compact"/>
              <w:bidi/>
              <w:jc w:val="left"/>
            </w:pPr>
            <w:r>
              <w:rPr>
                <w:rtl/>
              </w:rPr>
              <w:t xml:space="preserve">«جایگزینی ۷۰ تا ۸۰٪ حجم با آلبومین ۵٪» با «۵ ویال برای هر ۲ لیتر» نمی‌خواند: ۷۵٪ × ۲ لیتر = ۱٫۵ لیتر آلبومین ۵٪ = ۷۵ گرم = ۷ تا ۸ ویال. ۵ ویال فقط ۵۰٪ حجم را جایگزین می‌کند</w:t>
            </w:r>
          </w:p>
        </w:tc>
        <w:tc>
          <w:tcPr/>
          <w:p>
            <w:pPr>
              <w:pStyle w:val="Compact"/>
              <w:bidi/>
              <w:jc w:val="left"/>
            </w:pPr>
            <w:r>
              <w:rPr>
                <w:rtl/>
              </w:rPr>
              <w:t xml:space="preserve">عدد با پروتکل آفرزیس بیمارستان و راهنمای ASFA تطبیق داده شود</w:t>
            </w:r>
          </w:p>
        </w:tc>
      </w:tr>
      <w:tr>
        <w:tc>
          <w:tcPr/>
          <w:p>
            <w:pPr>
              <w:pStyle w:val="Compact"/>
              <w:bidi/>
              <w:jc w:val="left"/>
            </w:pPr>
            <w:r>
              <w:rPr>
                <w:rtl/>
              </w:rPr>
              <w:t xml:space="preserve">3</w:t>
            </w:r>
          </w:p>
        </w:tc>
        <w:tc>
          <w:tcPr/>
          <w:p>
            <w:pPr>
              <w:pStyle w:val="Compact"/>
              <w:bidi/>
              <w:jc w:val="left"/>
            </w:pPr>
            <w:r>
              <w:rPr>
                <w:rtl/>
              </w:rPr>
              <w:t xml:space="preserve">SBP روز ۱</w:t>
            </w:r>
          </w:p>
        </w:tc>
        <w:tc>
          <w:tcPr/>
          <w:p>
            <w:pPr>
              <w:pStyle w:val="Compact"/>
              <w:bidi/>
              <w:jc w:val="left"/>
            </w:pPr>
            <w:r>
              <w:rPr>
                <w:rtl/>
              </w:rPr>
              <w:t xml:space="preserve">۱٫۵ g/kg برای بیمار بالای ۶۷ کیلوگرم از سقف ۱۰۰ گرم بیشتر می‌شود</w:t>
            </w:r>
          </w:p>
        </w:tc>
        <w:tc>
          <w:tcPr/>
          <w:p>
            <w:pPr>
              <w:pStyle w:val="Compact"/>
              <w:bidi/>
              <w:jc w:val="left"/>
            </w:pPr>
            <w:r>
              <w:rPr>
                <w:rtl/>
              </w:rPr>
              <w:t xml:space="preserve">صریح نوشته شود «۱٫۵ g/kg یا ۱۰۰ گرم، هر کدام کمتر است»</w:t>
            </w:r>
          </w:p>
        </w:tc>
      </w:tr>
      <w:tr>
        <w:tc>
          <w:tcPr/>
          <w:p>
            <w:pPr>
              <w:pStyle w:val="Compact"/>
              <w:bidi/>
              <w:jc w:val="left"/>
            </w:pPr>
            <w:r>
              <w:rPr>
                <w:rtl/>
              </w:rPr>
              <w:t xml:space="preserve">4</w:t>
            </w:r>
          </w:p>
        </w:tc>
        <w:tc>
          <w:tcPr/>
          <w:p>
            <w:pPr>
              <w:pStyle w:val="Compact"/>
              <w:bidi/>
              <w:jc w:val="left"/>
            </w:pPr>
            <w:r>
              <w:rPr>
                <w:rtl/>
              </w:rPr>
              <w:t xml:space="preserve">قاعده ۷: پرداخت‌نکردن بیمه</w:t>
            </w:r>
          </w:p>
        </w:tc>
        <w:tc>
          <w:tcPr/>
          <w:p>
            <w:pPr>
              <w:pStyle w:val="Compact"/>
              <w:bidi/>
              <w:jc w:val="left"/>
            </w:pPr>
            <w:r>
              <w:rPr>
                <w:rtl/>
              </w:rPr>
              <w:t xml:space="preserve">جمله کلی است و به مستند بیمه‌ای استناد ندارد</w:t>
            </w:r>
          </w:p>
        </w:tc>
        <w:tc>
          <w:tcPr/>
          <w:p>
            <w:pPr>
              <w:pStyle w:val="Compact"/>
              <w:bidi/>
              <w:jc w:val="left"/>
            </w:pPr>
            <w:r>
              <w:rPr>
                <w:rtl/>
              </w:rPr>
              <w:t xml:space="preserve">به ضوابط پوشش بیمه‌های طرف قرارداد (تامین اجتماعی، سلامت، نیروهای مسلح) ارجاع داده شود و ستون «مشمول پوشش بیمه» به جدول اندیکاسیون‌ها اضافه شود</w:t>
            </w:r>
          </w:p>
        </w:tc>
      </w:tr>
      <w:tr>
        <w:tc>
          <w:tcPr/>
          <w:p>
            <w:pPr>
              <w:pStyle w:val="Compact"/>
              <w:bidi/>
              <w:jc w:val="left"/>
            </w:pPr>
            <w:r>
              <w:rPr>
                <w:rtl/>
              </w:rPr>
              <w:t xml:space="preserve">5</w:t>
            </w:r>
          </w:p>
        </w:tc>
        <w:tc>
          <w:tcPr/>
          <w:p>
            <w:pPr>
              <w:pStyle w:val="Compact"/>
              <w:bidi/>
              <w:jc w:val="left"/>
            </w:pPr>
            <w:r>
              <w:rPr>
                <w:rtl/>
              </w:rPr>
              <w:t xml:space="preserve">سربرگ</w:t>
            </w:r>
          </w:p>
        </w:tc>
        <w:tc>
          <w:tcPr/>
          <w:p>
            <w:pPr>
              <w:pStyle w:val="Compact"/>
              <w:bidi/>
              <w:jc w:val="left"/>
            </w:pPr>
            <w:r>
              <w:rPr>
                <w:rtl/>
              </w:rPr>
              <w:t xml:space="preserve">نام بیمارستان خالی است</w:t>
            </w:r>
          </w:p>
        </w:tc>
        <w:tc>
          <w:tcPr/>
          <w:p>
            <w:pPr>
              <w:pStyle w:val="Compact"/>
              <w:bidi/>
              <w:jc w:val="left"/>
            </w:pPr>
            <w:r>
              <w:rPr>
                <w:rtl/>
              </w:rPr>
              <w:t xml:space="preserve">بیمارستان جم</w:t>
            </w:r>
          </w:p>
        </w:tc>
      </w:tr>
    </w:tbl>
    <w:bookmarkEnd w:id="20"/>
    <w:bookmarkStart w:id="21" w:name="X5daa9a9e92467319a28c4a811df9d42bc9d1a75"/>
    <w:p>
      <w:pPr>
        <w:pStyle w:val="Heading2"/>
        <w:bidi/>
      </w:pPr>
      <w:r>
        <w:rPr>
          <w:rtl/>
        </w:rPr>
        <w:t xml:space="preserve">۲. فیلدهای لازم برای ردیابی و دریافت هزینه از بیمه</w:t>
      </w:r>
    </w:p>
    <w:p>
      <w:pPr>
        <w:bidi/>
      </w:pPr>
      <w:r>
        <w:rPr>
          <w:rtl/>
        </w:rPr>
        <w:t xml:space="preserve">برای اینکه فرم به سیستم ردیابی (تحویل ← مصرف ← برگشت ← صورتحساب ← بیمه) وصل شود، این فیلدها پیشنهاد می‌شود:</w:t>
      </w:r>
    </w:p>
    <w:p>
      <w:pPr>
        <w:numPr>
          <w:ilvl w:val="0"/>
          <w:numId w:val="1001"/>
        </w:numPr>
        <w:pStyle w:val="Compact"/>
        <w:bidi/>
      </w:pPr>
      <w:r>
        <w:rPr>
          <w:rtl/>
        </w:rPr>
        <w:t xml:space="preserve">بیمه پایه و تکمیلی بیمار</w:t>
      </w:r>
    </w:p>
    <w:p>
      <w:pPr>
        <w:numPr>
          <w:ilvl w:val="0"/>
          <w:numId w:val="1001"/>
        </w:numPr>
        <w:pStyle w:val="Compact"/>
        <w:bidi/>
      </w:pPr>
      <w:r>
        <w:rPr>
          <w:rtl/>
        </w:rPr>
        <w:t xml:space="preserve">کد اندیکاسیون (الف۱، الف۲، …) که در HIS هم ثبت شود تا مصرف به تفکیک اندیکاسیون گزارش‌پذیر باشد</w:t>
      </w:r>
    </w:p>
    <w:p>
      <w:pPr>
        <w:numPr>
          <w:ilvl w:val="0"/>
          <w:numId w:val="1001"/>
        </w:numPr>
        <w:pStyle w:val="Compact"/>
        <w:bidi/>
      </w:pPr>
      <w:r>
        <w:rPr>
          <w:rtl/>
        </w:rPr>
        <w:t xml:space="preserve">تعداد ویال تحویلی، شماره سری ساخت، تعداد ویال برگشتی (قاعده ۶)</w:t>
      </w:r>
    </w:p>
    <w:p>
      <w:pPr>
        <w:numPr>
          <w:ilvl w:val="0"/>
          <w:numId w:val="1001"/>
        </w:numPr>
        <w:pStyle w:val="Compact"/>
        <w:bidi/>
      </w:pPr>
      <w:r>
        <w:rPr>
          <w:rtl/>
        </w:rPr>
        <w:t xml:space="preserve">تاریخ و ساعت تزریق هر ویال، مطابق ثبت پرستاری</w:t>
      </w:r>
    </w:p>
    <w:p>
      <w:pPr>
        <w:numPr>
          <w:ilvl w:val="0"/>
          <w:numId w:val="1001"/>
        </w:numPr>
        <w:pStyle w:val="Compact"/>
        <w:bidi/>
      </w:pPr>
      <w:r>
        <w:rPr>
          <w:rtl/>
        </w:rPr>
        <w:t xml:space="preserve">رسیدن یا نرسیدن به نقطه پایان درمان</w:t>
      </w:r>
    </w:p>
    <w:p>
      <w:pPr>
        <w:numPr>
          <w:ilvl w:val="0"/>
          <w:numId w:val="1001"/>
        </w:numPr>
        <w:pStyle w:val="Compact"/>
        <w:bidi/>
      </w:pPr>
      <w:r>
        <w:rPr>
          <w:rtl/>
        </w:rPr>
        <w:t xml:space="preserve">ضمیمه: نتایج آزمایش‌هایی که معیار اندیکاسیون را نشان می‌دهند (برای پرونده بیمه)</w:t>
      </w:r>
    </w:p>
    <w:bookmarkEnd w:id="21"/>
    <w:bookmarkStart w:id="22" w:name="چرا-این-فرم-از-نظر-مالی-هم-اولویت-دارد"/>
    <w:p>
      <w:pPr>
        <w:pStyle w:val="Heading2"/>
        <w:bidi/>
      </w:pPr>
      <w:r>
        <w:rPr>
          <w:rtl/>
        </w:rPr>
        <w:t xml:space="preserve">۳. چرا این فرم از نظر مالی هم اولویت دارد</w:t>
      </w:r>
    </w:p>
    <w:p>
      <w:pPr>
        <w:bidi/>
      </w:pPr>
      <w:r>
        <w:rPr>
          <w:rtl/>
        </w:rPr>
        <w:t xml:space="preserve">در گزارش HIS سال ۱۴۰۵ (احتمالاً فروردین تا شهریور؛ دوره فایل باید تأیید شود):</w:t>
      </w:r>
      <w:r>
        <w:rPr>
          <w:rtl/>
        </w:rPr>
        <w:t xml:space="preserve"> </w:t>
      </w:r>
      <w:r>
        <w:rPr>
          <w:rtl/>
        </w:rPr>
        <w:t xml:space="preserve">- ۴٬۳۷۳ ویال آلبومین با ارزش خرید حدود ۱۲۴٫۸ میلیارد ریال به بخش‌ها رفته است.</w:t>
      </w:r>
      <w:r>
        <w:rPr>
          <w:rtl/>
        </w:rPr>
        <w:t xml:space="preserve"> </w:t>
      </w:r>
      <w:r>
        <w:rPr>
          <w:rtl/>
        </w:rPr>
        <w:t xml:space="preserve">-</w:t>
      </w:r>
      <w:r>
        <w:rPr>
          <w:rtl/>
        </w:rPr>
        <w:t xml:space="preserve"> </w:t>
      </w:r>
      <w:r>
        <w:rPr>
          <w:rtl/>
          <w:bCs/>
          <w:b/>
        </w:rPr>
        <w:t xml:space="preserve">فقط ۱٫۹٪ مبلغ فروش سهم بیمه ثبت شده است</w:t>
      </w:r>
      <w:r>
        <w:rPr>
          <w:rtl/>
        </w:rPr>
        <w:t xml:space="preserve"> </w:t>
      </w:r>
      <w:r>
        <w:rPr>
          <w:rtl/>
        </w:rPr>
        <w:t xml:space="preserve">و بقیه سهم بیمار است. باید بررسی شود چه بخشی از این مبلغ به دلیل نبود مستند اندیکاسیون از پوشش بیمه خارج شده است.</w:t>
      </w:r>
      <w:r>
        <w:rPr>
          <w:rtl/>
        </w:rPr>
        <w:t xml:space="preserve"> </w:t>
      </w:r>
      <w:r>
        <w:rPr>
          <w:rtl/>
        </w:rPr>
        <w:t xml:space="preserve">- مصرف در بخش‌های عمومی (3A، 3B، 4A، 4B) حدود ۲۲ تا ۲۹ ویال در هر ۱۰۰ تخت‌روز است و در ICU حدود ۱۱۱ ویال. پیشنهاد می‌شود پیش از اجرای فرم، یک ممیزی نمونه از پرونده‌های بخش‌های عمومی انجام شود تا خط پایه «درصد مصرف مطابق اندیکاسیون» معلوم شود و بعداً اثر فرم اندازه‌گیری شود.</w:t>
      </w:r>
      <w:r>
        <w:rPr>
          <w:rtl/>
        </w:rPr>
        <w:t xml:space="preserve"> </w:t>
      </w:r>
      <w:r>
        <w:rPr>
          <w:rtl/>
        </w:rPr>
        <w:t xml:space="preserve">- کد ۱۲۸۶۰۹ (آلبومین ۲۰٪ کدریون) با قیمت خرید ۷۸٫۶ میلیون ریال برای هر ویال ثبت شده، در حالی که قیمت بقیه کدها حدود ۲۱ میلیون ریال است (۳٫۷ برابر). ۵۶۱ ویال از این کد مصرف شده که تقریباً همه در شهریور بوده است. حجم ویال، دلیل قیمت و امکان تأمین ارزان‌تر باید با داروخانه بررسی شود.</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dc:language>
  <cp:keywords/>
  <dcterms:created xsi:type="dcterms:W3CDTF">2026-10-20T12:14:15Z</dcterms:created>
  <dcterms:modified xsi:type="dcterms:W3CDTF">2026-10-20T12:14:15Z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