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rPr>
          <w:rtl/>
          <w:bCs/>
          <w:b/>
        </w:rPr>
        <w:t xml:space="preserve">شماره:</w:t>
      </w:r>
      <w:r>
        <w:rPr>
          <w:rtl/>
        </w:rPr>
        <w:t xml:space="preserve"> </w:t>
      </w:r>
      <w:r>
        <w:rPr>
          <w:rtl/>
        </w:rPr>
        <w:t xml:space="preserve">……………</w:t>
      </w:r>
      <w:r>
        <w:br/>
      </w:r>
      <w:r>
        <w:rPr>
          <w:rtl/>
          <w:bCs/>
          <w:b/>
        </w:rPr>
        <w:t xml:space="preserve">تاریخ:</w:t>
      </w:r>
      <w:r>
        <w:rPr>
          <w:rtl/>
        </w:rPr>
        <w:t xml:space="preserve"> </w:t>
      </w:r>
      <w:r>
        <w:rPr>
          <w:rtl/>
        </w:rPr>
        <w:t xml:space="preserve">……/……/۱۴۰۵</w:t>
      </w:r>
      <w:r>
        <w:br/>
      </w:r>
      <w:r>
        <w:rPr>
          <w:rtl/>
          <w:bCs/>
          <w:b/>
        </w:rPr>
        <w:t xml:space="preserve">پیوست:</w:t>
      </w:r>
      <w:r>
        <w:rPr>
          <w:rtl/>
        </w:rPr>
        <w:t xml:space="preserve"> </w:t>
      </w:r>
      <w:r>
        <w:rPr>
          <w:rtl/>
        </w:rPr>
        <w:t xml:space="preserve">ندارد</w:t>
      </w:r>
    </w:p>
    <w:p>
      <w:pPr>
        <w:bidi/>
      </w:pPr>
      <w:r>
        <w:rPr>
          <w:rtl/>
          <w:bCs/>
          <w:b/>
        </w:rPr>
        <w:t xml:space="preserve">کارشناس محترم کنترل عفونت بیمارستان جم</w:t>
      </w:r>
    </w:p>
    <w:p>
      <w:pPr>
        <w:bidi/>
      </w:pPr>
      <w:r>
        <w:rPr>
          <w:rtl/>
          <w:bCs/>
          <w:b/>
        </w:rPr>
        <w:t xml:space="preserve">موضوع:</w:t>
      </w:r>
      <w:r>
        <w:rPr>
          <w:rtl/>
        </w:rPr>
        <w:t xml:space="preserve"> </w:t>
      </w:r>
      <w:r>
        <w:rPr>
          <w:rtl/>
        </w:rPr>
        <w:t xml:space="preserve">بررسی مصرف محلول ضدعفونی سطح بالا (ویوساید) در اتاق عمل و آندوسکوپی</w:t>
      </w:r>
    </w:p>
    <w:p>
      <w:pPr>
        <w:bidi/>
      </w:pPr>
      <w:r>
        <w:rPr>
          <w:rtl/>
        </w:rPr>
        <w:t xml:space="preserve">با سلام و احترام،</w:t>
      </w:r>
    </w:p>
    <w:p>
      <w:pPr>
        <w:bidi/>
      </w:pPr>
      <w:r>
        <w:rPr>
          <w:rtl/>
        </w:rPr>
        <w:t xml:space="preserve">در بررسی گزارش‌های ماهانه استوک HIS (فروردین تا شهریور ۱۴۰۵)، محلول ویوساید (گلوتارآلدئید، ضدعفونی سطح بالا) با</w:t>
      </w:r>
      <w:r>
        <w:rPr>
          <w:rtl/>
        </w:rPr>
        <w:t xml:space="preserve"> </w:t>
      </w:r>
      <w:r>
        <w:rPr>
          <w:rtl/>
          <w:bCs/>
          <w:b/>
        </w:rPr>
        <w:t xml:space="preserve">۱۷٫۶ میلیارد ریال</w:t>
      </w:r>
      <w:r>
        <w:rPr>
          <w:rtl/>
        </w:rPr>
        <w:t xml:space="preserve"> </w:t>
      </w:r>
      <w:r>
        <w:rPr>
          <w:rtl/>
        </w:rPr>
        <w:t xml:space="preserve">سومین قلم پرهزینه استوک بخش‌ها بوده است. این مبلغ ۱۱٪ کل ارزش استوک است. قیمت خرید هر ظرف ۴ لیتری از ۵۸٫۵ میلیون ریال در اردیبهشت به ۱۳۸ میلیون ریال در خرداد رسیده است (۲٫۴ برابر)؛ یعنی هر لیتر ۳۴٫۵ میلیون ریال.</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bidi/>
              <w:jc w:val="left"/>
            </w:pPr>
            <w:r>
              <w:rPr>
                <w:rtl/>
              </w:rPr>
              <w:t xml:space="preserve">واحد</w:t>
            </w:r>
          </w:p>
        </w:tc>
        <w:tc>
          <w:tcPr/>
          <w:p>
            <w:pPr>
              <w:pStyle w:val="Compact"/>
              <w:bidi/>
              <w:jc w:val="left"/>
            </w:pPr>
            <w:r>
              <w:rPr>
                <w:rtl/>
              </w:rPr>
              <w:t xml:space="preserve">اردیبهشت</w:t>
            </w:r>
          </w:p>
        </w:tc>
        <w:tc>
          <w:tcPr/>
          <w:p>
            <w:pPr>
              <w:pStyle w:val="Compact"/>
              <w:bidi/>
              <w:jc w:val="left"/>
            </w:pPr>
            <w:r>
              <w:rPr>
                <w:rtl/>
              </w:rPr>
              <w:t xml:space="preserve">خرداد</w:t>
            </w:r>
          </w:p>
        </w:tc>
        <w:tc>
          <w:tcPr/>
          <w:p>
            <w:pPr>
              <w:pStyle w:val="Compact"/>
              <w:bidi/>
              <w:jc w:val="left"/>
            </w:pPr>
            <w:r>
              <w:rPr>
                <w:rtl/>
              </w:rPr>
              <w:t xml:space="preserve">تیر</w:t>
            </w:r>
          </w:p>
        </w:tc>
        <w:tc>
          <w:tcPr/>
          <w:p>
            <w:pPr>
              <w:pStyle w:val="Compact"/>
              <w:bidi/>
              <w:jc w:val="left"/>
            </w:pPr>
            <w:r>
              <w:rPr>
                <w:rtl/>
              </w:rPr>
              <w:t xml:space="preserve">مرداد</w:t>
            </w:r>
          </w:p>
        </w:tc>
        <w:tc>
          <w:tcPr/>
          <w:p>
            <w:pPr>
              <w:pStyle w:val="Compact"/>
              <w:bidi/>
              <w:jc w:val="left"/>
            </w:pPr>
            <w:r>
              <w:rPr>
                <w:rtl/>
              </w:rPr>
              <w:t xml:space="preserve">شهریور</w:t>
            </w:r>
          </w:p>
        </w:tc>
        <w:tc>
          <w:tcPr/>
          <w:p>
            <w:pPr>
              <w:pStyle w:val="Compact"/>
              <w:bidi/>
              <w:jc w:val="left"/>
            </w:pPr>
            <w:r>
              <w:rPr>
                <w:rtl/>
              </w:rPr>
              <w:t xml:space="preserve">جمع (ظرف ۴ لیتری)</w:t>
            </w:r>
          </w:p>
        </w:tc>
        <w:tc>
          <w:tcPr/>
          <w:p>
            <w:pPr>
              <w:pStyle w:val="Compact"/>
              <w:bidi/>
              <w:jc w:val="left"/>
            </w:pPr>
            <w:r>
              <w:rPr>
                <w:rtl/>
              </w:rPr>
              <w:t xml:space="preserve">لیتر</w:t>
            </w:r>
          </w:p>
        </w:tc>
        <w:tc>
          <w:tcPr/>
          <w:p>
            <w:pPr>
              <w:pStyle w:val="Compact"/>
              <w:bidi/>
              <w:jc w:val="left"/>
            </w:pPr>
            <w:r>
              <w:rPr>
                <w:rtl/>
              </w:rPr>
              <w:t xml:space="preserve">ارزش (میلیارد ریال)</w:t>
            </w:r>
          </w:p>
        </w:tc>
      </w:tr>
      <w:tr>
        <w:tc>
          <w:tcPr/>
          <w:p>
            <w:pPr>
              <w:pStyle w:val="Compact"/>
              <w:bidi/>
              <w:jc w:val="left"/>
            </w:pPr>
            <w:r>
              <w:rPr>
                <w:rtl/>
              </w:rPr>
              <w:t xml:space="preserve">اتاق عمل</w:t>
            </w:r>
          </w:p>
        </w:tc>
        <w:tc>
          <w:tcPr/>
          <w:p>
            <w:pPr>
              <w:pStyle w:val="Compact"/>
              <w:bidi/>
              <w:jc w:val="left"/>
            </w:pPr>
            <w:r>
              <w:rPr>
                <w:rtl/>
              </w:rPr>
              <w:t xml:space="preserve">—</w:t>
            </w:r>
          </w:p>
        </w:tc>
        <w:tc>
          <w:tcPr/>
          <w:p>
            <w:pPr>
              <w:pStyle w:val="Compact"/>
              <w:bidi/>
              <w:jc w:val="left"/>
            </w:pPr>
            <w:r>
              <w:rPr>
                <w:rtl/>
              </w:rPr>
              <w:t xml:space="preserve">۳۷</w:t>
            </w:r>
          </w:p>
        </w:tc>
        <w:tc>
          <w:tcPr/>
          <w:p>
            <w:pPr>
              <w:pStyle w:val="Compact"/>
              <w:bidi/>
              <w:jc w:val="left"/>
            </w:pPr>
            <w:r>
              <w:rPr>
                <w:rtl/>
              </w:rPr>
              <w:t xml:space="preserve">۲۵</w:t>
            </w:r>
          </w:p>
        </w:tc>
        <w:tc>
          <w:tcPr/>
          <w:p>
            <w:pPr>
              <w:pStyle w:val="Compact"/>
              <w:bidi/>
              <w:jc w:val="left"/>
            </w:pPr>
            <w:r>
              <w:rPr>
                <w:rtl/>
              </w:rPr>
              <w:t xml:space="preserve">—</w:t>
            </w:r>
          </w:p>
        </w:tc>
        <w:tc>
          <w:tcPr/>
          <w:p>
            <w:pPr>
              <w:pStyle w:val="Compact"/>
              <w:bidi/>
              <w:jc w:val="left"/>
            </w:pPr>
            <w:r>
              <w:rPr>
                <w:rtl/>
              </w:rPr>
              <w:t xml:space="preserve">۱۵</w:t>
            </w:r>
          </w:p>
        </w:tc>
        <w:tc>
          <w:tcPr/>
          <w:p>
            <w:pPr>
              <w:pStyle w:val="Compact"/>
              <w:bidi/>
              <w:jc w:val="left"/>
            </w:pPr>
            <w:r>
              <w:rPr>
                <w:rtl/>
              </w:rPr>
              <w:t xml:space="preserve">۷۷</w:t>
            </w:r>
          </w:p>
        </w:tc>
        <w:tc>
          <w:tcPr/>
          <w:p>
            <w:pPr>
              <w:pStyle w:val="Compact"/>
              <w:bidi/>
              <w:jc w:val="left"/>
            </w:pPr>
            <w:r>
              <w:rPr>
                <w:rtl/>
              </w:rPr>
              <w:t xml:space="preserve">۳۰۸</w:t>
            </w:r>
          </w:p>
        </w:tc>
        <w:tc>
          <w:tcPr/>
          <w:p>
            <w:pPr>
              <w:pStyle w:val="Compact"/>
              <w:bidi/>
              <w:jc w:val="left"/>
            </w:pPr>
            <w:r>
              <w:rPr>
                <w:rtl/>
              </w:rPr>
              <w:t xml:space="preserve">۱۰٫۶</w:t>
            </w:r>
          </w:p>
        </w:tc>
      </w:tr>
      <w:tr>
        <w:tc>
          <w:tcPr/>
          <w:p>
            <w:pPr>
              <w:pStyle w:val="Compact"/>
              <w:bidi/>
              <w:jc w:val="left"/>
            </w:pPr>
            <w:r>
              <w:rPr>
                <w:rtl/>
              </w:rPr>
              <w:t xml:space="preserve">آندوسکوپی</w:t>
            </w:r>
          </w:p>
        </w:tc>
        <w:tc>
          <w:tcPr/>
          <w:p>
            <w:pPr>
              <w:pStyle w:val="Compact"/>
              <w:bidi/>
              <w:jc w:val="left"/>
            </w:pPr>
            <w:r>
              <w:rPr>
                <w:rtl/>
              </w:rPr>
              <w:t xml:space="preserve">۱۵</w:t>
            </w:r>
          </w:p>
        </w:tc>
        <w:tc>
          <w:tcPr/>
          <w:p>
            <w:pPr>
              <w:pStyle w:val="Compact"/>
              <w:bidi/>
              <w:jc w:val="left"/>
            </w:pPr>
            <w:r>
              <w:rPr>
                <w:rtl/>
              </w:rPr>
              <w:t xml:space="preserve">۱۲</w:t>
            </w:r>
          </w:p>
        </w:tc>
        <w:tc>
          <w:tcPr/>
          <w:p>
            <w:pPr>
              <w:pStyle w:val="Compact"/>
              <w:bidi/>
              <w:jc w:val="left"/>
            </w:pPr>
            <w:r>
              <w:rPr>
                <w:rtl/>
              </w:rPr>
              <w:t xml:space="preserve">—</w:t>
            </w:r>
          </w:p>
        </w:tc>
        <w:tc>
          <w:tcPr/>
          <w:p>
            <w:pPr>
              <w:pStyle w:val="Compact"/>
              <w:bidi/>
              <w:jc w:val="left"/>
            </w:pPr>
            <w:r>
              <w:rPr>
                <w:rtl/>
              </w:rPr>
              <w:t xml:space="preserve">۱۵</w:t>
            </w:r>
          </w:p>
        </w:tc>
        <w:tc>
          <w:tcPr/>
          <w:p>
            <w:pPr>
              <w:pStyle w:val="Compact"/>
              <w:bidi/>
              <w:jc w:val="left"/>
            </w:pPr>
            <w:r>
              <w:rPr>
                <w:rtl/>
              </w:rPr>
              <w:t xml:space="preserve">۱۵</w:t>
            </w:r>
          </w:p>
        </w:tc>
        <w:tc>
          <w:tcPr/>
          <w:p>
            <w:pPr>
              <w:pStyle w:val="Compact"/>
              <w:bidi/>
              <w:jc w:val="left"/>
            </w:pPr>
            <w:r>
              <w:rPr>
                <w:rtl/>
              </w:rPr>
              <w:t xml:space="preserve">۵۷</w:t>
            </w:r>
          </w:p>
        </w:tc>
        <w:tc>
          <w:tcPr/>
          <w:p>
            <w:pPr>
              <w:pStyle w:val="Compact"/>
              <w:bidi/>
              <w:jc w:val="left"/>
            </w:pPr>
            <w:r>
              <w:rPr>
                <w:rtl/>
              </w:rPr>
              <w:t xml:space="preserve">۲۲۸</w:t>
            </w:r>
          </w:p>
        </w:tc>
        <w:tc>
          <w:tcPr/>
          <w:p>
            <w:pPr>
              <w:pStyle w:val="Compact"/>
              <w:bidi/>
              <w:jc w:val="left"/>
            </w:pPr>
            <w:r>
              <w:rPr>
                <w:rtl/>
              </w:rPr>
              <w:t xml:space="preserve">۶٫۷</w:t>
            </w:r>
          </w:p>
        </w:tc>
      </w:tr>
      <w:tr>
        <w:tc>
          <w:tcPr/>
          <w:p>
            <w:pPr>
              <w:pStyle w:val="Compact"/>
              <w:bidi/>
              <w:jc w:val="left"/>
            </w:pPr>
            <w:r>
              <w:rPr>
                <w:rtl/>
              </w:rPr>
              <w:t xml:space="preserve">کلینیک</w:t>
            </w:r>
          </w:p>
        </w:tc>
        <w:tc>
          <w:tcPr/>
          <w:p>
            <w:pPr>
              <w:pStyle w:val="Compact"/>
              <w:bidi/>
              <w:jc w:val="left"/>
            </w:pPr>
            <w:r>
              <w:rPr>
                <w:rtl/>
              </w:rPr>
              <w:t xml:space="preserve">۲</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۱</w:t>
            </w:r>
          </w:p>
        </w:tc>
        <w:tc>
          <w:tcPr/>
          <w:p>
            <w:pPr>
              <w:pStyle w:val="Compact"/>
              <w:bidi/>
              <w:jc w:val="left"/>
            </w:pPr>
            <w:r>
              <w:rPr>
                <w:rtl/>
              </w:rPr>
              <w:t xml:space="preserve">—</w:t>
            </w:r>
          </w:p>
        </w:tc>
        <w:tc>
          <w:tcPr/>
          <w:p>
            <w:pPr>
              <w:pStyle w:val="Compact"/>
              <w:bidi/>
              <w:jc w:val="left"/>
            </w:pPr>
            <w:r>
              <w:rPr>
                <w:rtl/>
              </w:rPr>
              <w:t xml:space="preserve">۳</w:t>
            </w:r>
          </w:p>
        </w:tc>
        <w:tc>
          <w:tcPr/>
          <w:p>
            <w:pPr>
              <w:pStyle w:val="Compact"/>
              <w:bidi/>
              <w:jc w:val="left"/>
            </w:pPr>
            <w:r>
              <w:rPr>
                <w:rtl/>
              </w:rPr>
              <w:t xml:space="preserve">۱۲</w:t>
            </w:r>
          </w:p>
        </w:tc>
        <w:tc>
          <w:tcPr/>
          <w:p>
            <w:pPr>
              <w:pStyle w:val="Compact"/>
              <w:bidi/>
              <w:jc w:val="left"/>
            </w:pPr>
            <w:r>
              <w:rPr>
                <w:rtl/>
              </w:rPr>
              <w:t xml:space="preserve">۰٫۳</w:t>
            </w:r>
          </w:p>
        </w:tc>
      </w:tr>
    </w:tbl>
    <w:p>
      <w:pPr>
        <w:bidi/>
      </w:pPr>
      <w:r>
        <w:rPr>
          <w:rtl/>
        </w:rPr>
        <w:t xml:space="preserve">این اعداد «حواله به واحد» است، نه مصرف شمارش‌شده. با این حال سه نکته نیاز به نظر کارشناسی آن واحد دارد:</w:t>
      </w:r>
    </w:p>
    <w:p>
      <w:pPr>
        <w:numPr>
          <w:ilvl w:val="0"/>
          <w:numId w:val="1001"/>
        </w:numPr>
        <w:pStyle w:val="Compact"/>
        <w:bidi/>
      </w:pPr>
      <w:r>
        <w:rPr>
          <w:rtl/>
          <w:bCs/>
          <w:b/>
        </w:rPr>
        <w:t xml:space="preserve">اتاق عمل بیش از آندوسکوپی محلول HLD گرفته است</w:t>
      </w:r>
      <w:r>
        <w:rPr>
          <w:rtl/>
        </w:rPr>
        <w:t xml:space="preserve">، در حالی که ضدعفونی سطح بالا معمولاً برای آندوسکوپ‌های انعطاف‌پذیر و ابزار حساس به حرارت به کار می‌رود. در خرداد به‌تنهایی ۳۷ ظرف (۱۴۸ لیتر) به اتاق عمل حواله شده است.</w:t>
      </w:r>
    </w:p>
    <w:p>
      <w:pPr>
        <w:numPr>
          <w:ilvl w:val="0"/>
          <w:numId w:val="1001"/>
        </w:numPr>
        <w:pStyle w:val="Compact"/>
        <w:bidi/>
      </w:pPr>
      <w:r>
        <w:rPr>
          <w:rtl/>
          <w:bCs/>
          <w:b/>
        </w:rPr>
        <w:t xml:space="preserve">در حواله‌های استوک این شش ماه، نوار تست حداقل غلظت مؤثر (MEC) گلوتارآلدئید دیده نشد.</w:t>
      </w:r>
      <w:r>
        <w:rPr>
          <w:rtl/>
        </w:rPr>
        <w:t xml:space="preserve"> </w:t>
      </w:r>
      <w:r>
        <w:rPr>
          <w:rtl/>
        </w:rPr>
        <w:t xml:space="preserve">ممکن است از مسیر دیگری تأمین شود.</w:t>
      </w:r>
    </w:p>
    <w:p>
      <w:pPr>
        <w:numPr>
          <w:ilvl w:val="0"/>
          <w:numId w:val="1001"/>
        </w:numPr>
        <w:pStyle w:val="Compact"/>
        <w:bidi/>
      </w:pPr>
      <w:r>
        <w:rPr>
          <w:rtl/>
          <w:bCs/>
          <w:b/>
        </w:rPr>
        <w:t xml:space="preserve">مصرف به تعداد و حجم ظرف غوطه‌وری و دوره تعویض محلول بستگی دارد.</w:t>
      </w:r>
      <w:r>
        <w:rPr>
          <w:rtl/>
        </w:rPr>
        <w:t xml:space="preserve"> </w:t>
      </w:r>
      <w:r>
        <w:rPr>
          <w:rtl/>
        </w:rPr>
        <w:t xml:space="preserve">آندوسکوپی ماهانه حدود ۶۰ لیتر گرفته است. اگر محلول طبق IFU تا ۳۰ روز استفاده شود، این حجم یعنی چند ظرف غوطه‌وری هم‌زمان یا تعویض زودتر از موعد؛ این اطلاعات در دسترس این واحد نیست.</w:t>
      </w:r>
    </w:p>
    <w:bookmarkStart w:id="20" w:name="درخواست"/>
    <w:p>
      <w:pPr>
        <w:pStyle w:val="Heading3"/>
        <w:bidi/>
      </w:pPr>
      <w:r>
        <w:rPr>
          <w:rtl/>
        </w:rPr>
        <w:t xml:space="preserve">درخواست</w:t>
      </w:r>
    </w:p>
    <w:p>
      <w:pPr>
        <w:bidi/>
      </w:pPr>
      <w:r>
        <w:rPr>
          <w:rtl/>
        </w:rPr>
        <w:t xml:space="preserve">خواهشمند است در صورت صلاحدید، موارد زیر بررسی و نظر آن واحد اعلام شود:</w:t>
      </w:r>
    </w:p>
    <w:p>
      <w:pPr>
        <w:numPr>
          <w:ilvl w:val="0"/>
          <w:numId w:val="1002"/>
        </w:numPr>
        <w:pStyle w:val="Compact"/>
        <w:bidi/>
      </w:pPr>
      <w:r>
        <w:rPr>
          <w:rtl/>
          <w:bCs/>
          <w:b/>
        </w:rPr>
        <w:t xml:space="preserve">فهرست ابزاری که در اتاق عمل با ویوساید ضدعفونی می‌شوند</w:t>
      </w:r>
      <w:r>
        <w:rPr>
          <w:rtl/>
        </w:rPr>
        <w:t xml:space="preserve">، و اینکه کدام‌یک مجاز است به جای آن در CSR با بخار یا پلاسما استریل شود (طبق دستورالعمل سازنده ابزار).</w:t>
      </w:r>
    </w:p>
    <w:p>
      <w:pPr>
        <w:numPr>
          <w:ilvl w:val="0"/>
          <w:numId w:val="1002"/>
        </w:numPr>
        <w:pStyle w:val="Compact"/>
        <w:bidi/>
      </w:pPr>
      <w:r>
        <w:rPr>
          <w:rtl/>
          <w:bCs/>
          <w:b/>
        </w:rPr>
        <w:t xml:space="preserve">تعداد و حجم ظرف‌های غوطه‌وری</w:t>
      </w:r>
      <w:r>
        <w:rPr>
          <w:rtl/>
        </w:rPr>
        <w:t xml:space="preserve"> </w:t>
      </w:r>
      <w:r>
        <w:rPr>
          <w:rtl/>
        </w:rPr>
        <w:t xml:space="preserve">در اتاق عمل و آندوسکوپی، تاریخ فعال‌سازی هر ظرف و دوره تعویض محلول.</w:t>
      </w:r>
    </w:p>
    <w:p>
      <w:pPr>
        <w:numPr>
          <w:ilvl w:val="0"/>
          <w:numId w:val="1002"/>
        </w:numPr>
        <w:pStyle w:val="Compact"/>
        <w:bidi/>
      </w:pPr>
      <w:r>
        <w:rPr>
          <w:rtl/>
          <w:bCs/>
          <w:b/>
        </w:rPr>
        <w:t xml:space="preserve">وجود و تکمیل لاگ روزانه آزمون MEC</w:t>
      </w:r>
      <w:r>
        <w:rPr>
          <w:rtl/>
        </w:rPr>
        <w:t xml:space="preserve"> </w:t>
      </w:r>
      <w:r>
        <w:rPr>
          <w:rtl/>
        </w:rPr>
        <w:t xml:space="preserve">با نوار تست، و منبع تأمین نوار تست.</w:t>
      </w:r>
    </w:p>
    <w:p>
      <w:pPr>
        <w:numPr>
          <w:ilvl w:val="0"/>
          <w:numId w:val="1002"/>
        </w:numPr>
        <w:pStyle w:val="Compact"/>
        <w:bidi/>
      </w:pPr>
      <w:r>
        <w:rPr>
          <w:rtl/>
          <w:bCs/>
          <w:b/>
        </w:rPr>
        <w:t xml:space="preserve">رعایت دوره استفاده مجدد مطابق IFU</w:t>
      </w:r>
      <w:r>
        <w:rPr>
          <w:rtl/>
        </w:rPr>
        <w:t xml:space="preserve"> </w:t>
      </w:r>
      <w:r>
        <w:rPr>
          <w:rtl/>
        </w:rPr>
        <w:t xml:space="preserve">(برای ویوساید-۰۱ تا ۳۰ روز، مشروط به قبول‌شدن آزمون MEC) و ثبت علت تعویض‌های زودتر از موعد.</w:t>
      </w:r>
    </w:p>
    <w:p>
      <w:pPr>
        <w:numPr>
          <w:ilvl w:val="0"/>
          <w:numId w:val="1002"/>
        </w:numPr>
        <w:pStyle w:val="Compact"/>
        <w:bidi/>
      </w:pPr>
      <w:r>
        <w:rPr>
          <w:rtl/>
          <w:bCs/>
          <w:b/>
        </w:rPr>
        <w:t xml:space="preserve">ایمنی کارکنان:</w:t>
      </w:r>
      <w:r>
        <w:rPr>
          <w:rtl/>
        </w:rPr>
        <w:t xml:space="preserve"> </w:t>
      </w:r>
      <w:r>
        <w:rPr>
          <w:rtl/>
        </w:rPr>
        <w:t xml:space="preserve">تهویه محل، ظرف دربسته و تجهیزات حفاظت فردی در محل استفاده از گلوتارآلدئید.</w:t>
      </w:r>
    </w:p>
    <w:p>
      <w:pPr>
        <w:numPr>
          <w:ilvl w:val="0"/>
          <w:numId w:val="1002"/>
        </w:numPr>
        <w:pStyle w:val="Compact"/>
        <w:bidi/>
      </w:pPr>
      <w:r>
        <w:rPr>
          <w:rtl/>
          <w:bCs/>
          <w:b/>
        </w:rPr>
        <w:t xml:space="preserve">جایگزین‌های تأییدشده:</w:t>
      </w:r>
      <w:r>
        <w:rPr>
          <w:rtl/>
        </w:rPr>
        <w:t xml:space="preserve"> </w:t>
      </w:r>
      <w:r>
        <w:rPr>
          <w:rtl/>
        </w:rPr>
        <w:t xml:space="preserve">نظر آن واحد درباره جایگزین‌های قابل استعلام (برای نمونه: محلول‌های گلوتارآلدئید داخلی دارای مجوز، OPA ۰٫۵۵٪ یا پراستیک اسید) بر اساس سازگاری با تجهیزات، زمان تماس، دوره استفاده مجدد و</w:t>
      </w:r>
      <w:r>
        <w:rPr>
          <w:rtl/>
        </w:rPr>
        <w:t xml:space="preserve"> </w:t>
      </w:r>
      <w:r>
        <w:rPr>
          <w:rtl/>
          <w:bCs/>
          <w:b/>
        </w:rPr>
        <w:t xml:space="preserve">هزینه هر حمام</w:t>
      </w:r>
      <w:r>
        <w:rPr>
          <w:rtl/>
        </w:rPr>
        <w:t xml:space="preserve">، نه فقط قیمت هر ظرف.</w:t>
      </w:r>
    </w:p>
    <w:bookmarkEnd w:id="20"/>
    <w:bookmarkStart w:id="21" w:name="هدف"/>
    <w:p>
      <w:pPr>
        <w:pStyle w:val="Heading3"/>
        <w:bidi/>
      </w:pPr>
      <w:r>
        <w:rPr>
          <w:rtl/>
        </w:rPr>
        <w:t xml:space="preserve">هدف</w:t>
      </w:r>
    </w:p>
    <w:p>
      <w:pPr>
        <w:bidi/>
      </w:pPr>
      <w:r>
        <w:rPr>
          <w:rtl/>
        </w:rPr>
        <w:t xml:space="preserve">این بررسی برای تطبیق مصرف با نیاز واقعی و انتخاب محلول مناسب با هزینه کمتر است. هر تغییری در روش ضدعفونی یا نوع محلول فقط با تأیید آن واحد و کمیته کنترل عفونت انجام می‌شود. ایمنی بیمار و کیفیت ضدعفونی اولویت اول است.</w:t>
      </w:r>
    </w:p>
    <w:p>
      <w:pPr>
        <w:bidi/>
      </w:pPr>
      <w:r>
        <w:rPr>
          <w:rtl/>
        </w:rPr>
        <w:t xml:space="preserve">نتیجه در گزارش دوشنبه نظارت دارویی منعکس خواهد شد.</w:t>
      </w:r>
    </w:p>
    <w:p>
      <w:pPr>
        <w:bidi/>
      </w:pPr>
      <w:r>
        <w:rPr>
          <w:rtl/>
        </w:rPr>
        <w:t xml:space="preserve">پیشاپیش از همکاری آن واحد سپاسگزارم.</w:t>
      </w:r>
    </w:p>
    <w:p>
      <w:pPr>
        <w:bidi/>
      </w:pPr>
      <w:r>
        <w:rPr>
          <w:rtl/>
        </w:rPr>
        <w:t xml:space="preserve">با احترام</w:t>
      </w:r>
      <w:r>
        <w:br/>
      </w:r>
      <w:r>
        <w:rPr>
          <w:rtl/>
        </w:rPr>
        <w:t xml:space="preserve">……………………</w:t>
      </w:r>
      <w:r>
        <w:br/>
      </w:r>
      <w:r>
        <w:rPr>
          <w:rtl/>
        </w:rPr>
        <w:t xml:space="preserve">ناظر دارویی بیمارستان جم</w:t>
      </w:r>
    </w:p>
    <w:p>
      <w:pPr>
        <w:bidi/>
      </w:pPr>
      <w:r>
        <w:rPr>
          <w:rtl/>
          <w:bCs/>
          <w:b/>
        </w:rPr>
        <w:t xml:space="preserve">رونوشت:</w:t>
      </w:r>
    </w:p>
    <w:p>
      <w:pPr>
        <w:numPr>
          <w:ilvl w:val="0"/>
          <w:numId w:val="1003"/>
        </w:numPr>
        <w:pStyle w:val="Compact"/>
        <w:bidi/>
      </w:pPr>
      <w:r>
        <w:rPr>
          <w:rtl/>
        </w:rPr>
        <w:t xml:space="preserve">مدیر محترم پرستاری، جهت استحضار</w:t>
      </w:r>
    </w:p>
    <w:p>
      <w:pPr>
        <w:numPr>
          <w:ilvl w:val="0"/>
          <w:numId w:val="1003"/>
        </w:numPr>
        <w:pStyle w:val="Compact"/>
        <w:bidi/>
      </w:pPr>
      <w:r>
        <w:rPr>
          <w:rtl/>
        </w:rPr>
        <w:t xml:space="preserve">سرپرستار محترم اتاق عمل، جهت هماهنگی</w:t>
      </w:r>
    </w:p>
    <w:p>
      <w:pPr>
        <w:numPr>
          <w:ilvl w:val="0"/>
          <w:numId w:val="1003"/>
        </w:numPr>
        <w:pStyle w:val="Compact"/>
        <w:bidi/>
      </w:pPr>
      <w:r>
        <w:rPr>
          <w:rtl/>
        </w:rPr>
        <w:t xml:space="preserve">مسئول محترم بخش آندوسکوپی، جهت هماهنگی</w:t>
      </w:r>
    </w:p>
    <w:p>
      <w:pPr>
        <w:numPr>
          <w:ilvl w:val="0"/>
          <w:numId w:val="1003"/>
        </w:numPr>
        <w:pStyle w:val="Compact"/>
        <w:bidi/>
      </w:pPr>
      <w:r>
        <w:rPr>
          <w:rtl/>
        </w:rPr>
        <w:t xml:space="preserve">مسئول محترم CSR، جهت بررسی امکان استریل ابزار</w:t>
      </w:r>
    </w:p>
    <w:p>
      <w:pPr>
        <w:numPr>
          <w:ilvl w:val="0"/>
          <w:numId w:val="1003"/>
        </w:numPr>
        <w:pStyle w:val="Compact"/>
        <w:bidi/>
      </w:pPr>
      <w:r>
        <w:rPr>
          <w:rtl/>
        </w:rPr>
        <w:t xml:space="preserve">مسئول محترم تدارکات، جهت استحضار</w:t>
      </w:r>
    </w:p>
    <w:p>
      <w:r>
        <w:pict>
          <v:rect style="width:0;height:1.5pt" o:hralign="center" o:hrstd="t" o:hr="t"/>
        </w:pict>
      </w:r>
    </w:p>
    <w:p>
      <w:pPr>
        <w:bidi/>
      </w:pPr>
      <w:r>
        <w:rPr>
          <w:rtl/>
        </w:rPr>
        <w:t xml:space="preserve">منبع: گزارش‌های ماهانه اقلام بخش‌ها (استوک)، فروردین تا شهریور ۱۴۰۵، سامانه HIS (طراح داده / پیشرو). هر ظرف ۴ لیتری است.</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dc:language>
  <cp:keywords/>
  <dcterms:created xsi:type="dcterms:W3CDTF">2026-10-18T13:56:37Z</dcterms:created>
  <dcterms:modified xsi:type="dcterms:W3CDTF">2026-10-18T13:56:37Z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