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9E2FCF">
        <w:rPr>
          <w:lang w:val="en-GB"/>
        </w:rPr>
        <w:t>4</w:t>
      </w:r>
    </w:p>
    <w:p w:rsidR="00864D5F" w:rsidRPr="00864D5F" w:rsidRDefault="00192BA1"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The Polyglot package supports Umbraco v 4.5.x and up with the new xml schema. For Umbraco v 4.7.x</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 It has been compi</w:t>
      </w:r>
      <w:r>
        <w:rPr>
          <w:rFonts w:ascii="Segoe UI" w:eastAsia="Times New Roman" w:hAnsi="Segoe UI" w:cs="Segoe UI"/>
          <w:color w:val="30332D"/>
          <w:sz w:val="20"/>
          <w:szCs w:val="20"/>
          <w:lang w:val="en-GB" w:eastAsia="fr-BE"/>
        </w:rPr>
        <w:t>led using the .NET 4 framework.</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If you are using Umbraco 4.7.1</w:t>
      </w:r>
      <w:r>
        <w:rPr>
          <w:rFonts w:ascii="Segoe UI" w:eastAsia="Times New Roman" w:hAnsi="Segoe UI" w:cs="Segoe UI"/>
          <w:b/>
          <w:i/>
          <w:color w:val="30332D"/>
          <w:sz w:val="20"/>
          <w:szCs w:val="20"/>
          <w:lang w:val="en-GB" w:eastAsia="fr-BE"/>
        </w:rPr>
        <w:t xml:space="preserve"> and up</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(RazorScriptPatchForUmbraco4.7.1.zip), which is </w:t>
      </w:r>
      <w:r w:rsidRPr="00975757">
        <w:rPr>
          <w:rFonts w:ascii="Segoe UI" w:eastAsia="Times New Roman" w:hAnsi="Segoe UI" w:cs="Segoe UI"/>
          <w:b/>
          <w:i/>
          <w:color w:val="30332D"/>
          <w:sz w:val="20"/>
          <w:szCs w:val="20"/>
          <w:lang w:val="en-GB" w:eastAsia="fr-BE"/>
        </w:rPr>
        <w:lastRenderedPageBreak/>
        <w:t>available for download. You just need to unzip it and copy the three files it contains to your macroScripts folder, overwriting the existing files.</w:t>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An alternative way to work, using 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Pr="00864D5F"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lastRenderedPageBreak/>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192BA1"/>
    <w:rsid w:val="00282E8E"/>
    <w:rsid w:val="002E34D8"/>
    <w:rsid w:val="002F778A"/>
    <w:rsid w:val="00300A8D"/>
    <w:rsid w:val="00355CAE"/>
    <w:rsid w:val="00380FE2"/>
    <w:rsid w:val="00464D5E"/>
    <w:rsid w:val="00475502"/>
    <w:rsid w:val="005078FA"/>
    <w:rsid w:val="00513A8D"/>
    <w:rsid w:val="0051467B"/>
    <w:rsid w:val="00534CC1"/>
    <w:rsid w:val="006021F7"/>
    <w:rsid w:val="00671A19"/>
    <w:rsid w:val="006F665E"/>
    <w:rsid w:val="0070477A"/>
    <w:rsid w:val="0071047B"/>
    <w:rsid w:val="00725AC5"/>
    <w:rsid w:val="007673FC"/>
    <w:rsid w:val="00785538"/>
    <w:rsid w:val="00864D5F"/>
    <w:rsid w:val="008955D8"/>
    <w:rsid w:val="00922530"/>
    <w:rsid w:val="00944008"/>
    <w:rsid w:val="00975757"/>
    <w:rsid w:val="009E2FCF"/>
    <w:rsid w:val="009F6A69"/>
    <w:rsid w:val="00A74636"/>
    <w:rsid w:val="00A95971"/>
    <w:rsid w:val="00AA0974"/>
    <w:rsid w:val="00AB3D4F"/>
    <w:rsid w:val="00BE4099"/>
    <w:rsid w:val="00C01D6E"/>
    <w:rsid w:val="00C07CD2"/>
    <w:rsid w:val="00C34504"/>
    <w:rsid w:val="00C6774F"/>
    <w:rsid w:val="00C72075"/>
    <w:rsid w:val="00CA1435"/>
    <w:rsid w:val="00CD582F"/>
    <w:rsid w:val="00D22454"/>
    <w:rsid w:val="00D6194C"/>
    <w:rsid w:val="00E87689"/>
    <w:rsid w:val="00EA409C"/>
    <w:rsid w:val="00ED4358"/>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imitros.net/polyglo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FCA91-D3CF-4E8A-93C3-62172478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2702</Words>
  <Characters>14867</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62</cp:revision>
  <cp:lastPrinted>2011-09-14T20:56:00Z</cp:lastPrinted>
  <dcterms:created xsi:type="dcterms:W3CDTF">2011-05-21T08:58:00Z</dcterms:created>
  <dcterms:modified xsi:type="dcterms:W3CDTF">2013-01-30T21:38:00Z</dcterms:modified>
</cp:coreProperties>
</file>