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6E6E6E"/>
          <w:sz w:val="28"/>
        </w:rPr>
        <w:t>CAPSTONE PROJECT REPORT</w:t>
      </w:r>
    </w:p>
    <w:p>
      <w:pPr>
        <w:spacing w:after="480"/>
        <w:jc w:val="center"/>
      </w:pPr>
      <w:r>
        <w:rPr>
          <w:b/>
          <w:color w:val="0F0C29"/>
          <w:sz w:val="56"/>
        </w:rPr>
        <w:t>Melbourne Minimum Daily</w:t>
        <w:br/>
        <w:t>Temperature Prediction</w:t>
      </w:r>
    </w:p>
    <w:p>
      <w:pPr>
        <w:spacing w:after="3600"/>
        <w:jc w:val="center"/>
      </w:pPr>
      <w:r>
        <w:rPr>
          <w:i/>
          <w:color w:val="2ECC71"/>
          <w:sz w:val="24"/>
        </w:rPr>
        <w:t>A Comparative Analysis of 18 Statistical, Machine Learning,</w:t>
        <w:br/>
        <w:t>and Deep Learning Time Series Models</w:t>
      </w:r>
    </w:p>
    <w:p>
      <w:pPr>
        <w:spacing w:line="312" w:lineRule="auto"/>
        <w:jc w:val="center"/>
      </w:pPr>
      <w:r>
        <w:rPr>
          <w:b/>
          <w:sz w:val="22"/>
        </w:rPr>
        <w:t>Prepared by: Purna Chandra Bisoi</w:t>
        <w:br/>
      </w:r>
      <w:r>
        <w:rPr>
          <w:color w:val="6E6E6E"/>
          <w:sz w:val="20"/>
        </w:rPr>
        <w:t>Date: June 2026</w:t>
        <w:br/>
      </w:r>
      <w:r>
        <w:rPr>
          <w:color w:val="6E6E6E"/>
          <w:sz w:val="20"/>
        </w:rPr>
        <w:t>Applied DS, ML and AI — Capstone Project 2</w:t>
      </w:r>
    </w:p>
    <w:p>
      <w:r>
        <w:br w:type="page"/>
      </w:r>
    </w:p>
    <w:p>
      <w:pPr>
        <w:keepNext/>
        <w:spacing w:before="240" w:after="120"/>
        <w:pBdr>
          <w:bottom w:val="single" w:sz="12" w:space="4" w:color="2ECC71"/>
        </w:pBdr>
      </w:pPr>
      <w:r>
        <w:rPr>
          <w:b/>
          <w:color w:val="0F0C29"/>
          <w:sz w:val="36"/>
        </w:rPr>
        <w:t>1. Executive Summary</w:t>
      </w:r>
    </w:p>
    <w:p>
      <w:pPr>
        <w:spacing w:after="160" w:line="276" w:lineRule="auto"/>
      </w:pPr>
      <w:r>
        <w:t>This project report evaluates and compares the forecasting performance of eighteen (18) distinct time series models applied to the minimum daily temperatures in Melbourne, Australia, spanning a ten-year period from 1981 to 1990. The primary goal is to build an end-to-end forecasting pipeline that accurately predicts temperature trends and seasonal variations over a multi-step test horizon, supporting weather forecasting, urban planning, and energy utility scheduling.</w:t>
      </w:r>
    </w:p>
    <w:p>
      <w:pPr>
        <w:spacing w:after="160" w:line="276" w:lineRule="auto"/>
      </w:pPr>
      <w:r>
        <w:t>The models evaluated fall into three main categories: Traditional Statistical (AR, MA, ARMA, ARIMA, SARIMA, Holt-Winters), Machine Learning (Linear Regression, SVR, Random Forest, XGBoost, LightGBM, Prophet), and Deep Learning (RNN, LSTM, GRU, N-BEATS, Transformer, Temporal Fusion Transformer - TFT). Preprocessing steps included handling missing values through interpolation, outlier winsorization, and temporal feature engineering (lags, rolling stats, Fourier terms). The dataset was split chronologically into an 80% training set (1981-1988) and a 20% validation/testing set (1989-1990).</w:t>
      </w:r>
    </w:p>
    <w:p>
      <w:pPr>
        <w:spacing w:after="240" w:line="276" w:lineRule="auto"/>
      </w:pPr>
      <w:r>
        <w:t>Key Findings:</w:t>
        <w:br/>
        <w:t>• Deep Learning models, specifically Recurrent Neural Networks (RNN) and Gated Recurrent Units (GRU), achieved the highest prediction accuracy on the test set, with Test R² scores of 0.7051 and 0.7020, respectively, and a Test MAE of ~1.75 °C.</w:t>
        <w:br/>
        <w:t>• Random Forest achieved the lowest Test MAE (1.7043 °C) but showed significant overfitting (Train R² of 0.9310 versus Test R² of 0.6858).</w:t>
        <w:br/>
        <w:t>• Linear Regression demonstrated remarkable stability, achieving a Test R² of 0.6828 and Test MAE of 1.7211 °C with no overfitting (Train R² of 0.6655).</w:t>
        <w:br/>
        <w:t>• Classical statistical models (ARIMA, SARIMA) performed poorly over the long 2-year testing window because they are not designed for recursive multi-step forecasting without feedback, while Holt-Winters diverged completely on the test set due to seasonal drift accumulation.</w:t>
      </w:r>
    </w:p>
    <w:p>
      <w:pPr>
        <w:keepNext/>
        <w:spacing w:before="240" w:after="120"/>
        <w:pBdr>
          <w:bottom w:val="single" w:sz="12" w:space="4" w:color="2ECC71"/>
        </w:pBdr>
      </w:pPr>
      <w:r>
        <w:rPr>
          <w:b/>
          <w:color w:val="0F0C29"/>
          <w:sz w:val="36"/>
        </w:rPr>
        <w:t>2. Dataset and Exploratory Data Analysis</w:t>
      </w:r>
    </w:p>
    <w:p>
      <w:pPr>
        <w:spacing w:after="160"/>
      </w:pPr>
      <w:r>
        <w:t>The analysis is based on the Melbourne Daily Minimum Temperatures dataset, which records the daily minimum temperature in degrees Celsius for Melbourne, Victoria, Australia, from January 1, 1981, to December 31, 1990. The dataset contains 3,650 daily observations.</w:t>
      </w:r>
    </w:p>
    <w:p>
      <w:pPr>
        <w:keepNext/>
        <w:spacing w:before="240" w:after="120"/>
      </w:pPr>
      <w:r>
        <w:rPr>
          <w:b/>
          <w:color w:val="302B63"/>
          <w:sz w:val="28"/>
        </w:rPr>
        <w:t>2.1 Data Characteristics and Cleaning</w:t>
      </w:r>
    </w:p>
    <w:p>
      <w:pPr>
        <w:spacing w:after="160"/>
      </w:pPr>
      <w:r>
        <w:t>A rigorous cleaning and quality assurance protocol was applied to the raw data:</w:t>
        <w:br/>
        <w:t>1. Reindexing &amp; Fill: The date range was reindexed to account for leap years and ensure a continuous daily frequency (no missing days).</w:t>
        <w:br/>
        <w:t>2. Missing Values: Gaps or missing observations were resolved using time-based linear interpolation.</w:t>
        <w:br/>
        <w:t>3. Outlier Handling: Outliers (extremely low or high temperatures) were winsorized (clipped) using the Interquartile Range (IQR) method. Temperatures below Q1 - 1.5 * IQR or above Q3 + 1.5 * IQR were clipped to the respective thresholds to prevent noise from distorting model training.</w:t>
      </w:r>
    </w:p>
    <w:p>
      <w:pPr>
        <w:keepNext/>
        <w:spacing w:before="240" w:after="120"/>
      </w:pPr>
      <w:r>
        <w:rPr>
          <w:b/>
          <w:color w:val="302B63"/>
          <w:sz w:val="28"/>
        </w:rPr>
        <w:t>2.2 Visual and Statistical Insights</w:t>
      </w:r>
    </w:p>
    <w:p>
      <w:pPr>
        <w:spacing w:after="240"/>
      </w:pPr>
      <w:r>
        <w:t>Exploratory Data Analysis revealed several prominent features of the temperature series:</w:t>
        <w:br/>
        <w:t>• Strong Annual Seasonality: As expected for Melbourne (Southern Hemisphere), temperatures peak around January and February (Southern Summer, averaging 14-16°C) and bottom out around July and August (Southern Winter, averaging 6-8°C).</w:t>
        <w:br/>
        <w:t>• Distribution: The distribution of minimum daily temperatures is approximately normal, centered around a mean of 11.18°C, with a standard deviation of 4.07°C.</w:t>
        <w:br/>
        <w:t>• Autocorrelation Structure: The Autocorrelation Function (ACF) plot demonstrates extremely strong short-term lags (lags 1-3 have correlation &gt; 0.75), which rapidly decay, and a clear, highly significant seasonal peak at lag 365. This confirms that the current day's temperature is heavily influenced by the preceding few days as well as the temperature exactly one year prior.</w:t>
      </w:r>
    </w:p>
    <w:p>
      <w:pPr>
        <w:keepNext/>
        <w:spacing w:before="240" w:after="120"/>
        <w:pBdr>
          <w:bottom w:val="single" w:sz="12" w:space="4" w:color="2ECC71"/>
        </w:pBdr>
      </w:pPr>
      <w:r>
        <w:rPr>
          <w:b/>
          <w:color w:val="0F0C29"/>
          <w:sz w:val="36"/>
        </w:rPr>
        <w:t>3. Preprocessing and Feature Engineering</w:t>
      </w:r>
    </w:p>
    <w:p>
      <w:pPr>
        <w:spacing w:after="160"/>
      </w:pPr>
      <w:r>
        <w:t>To enable Machine Learning and Deep Learning models to effectively capture temporal patterns, the univariate time series was transformed into a structured supervised learning dataset through comprehensive feature engineering.</w:t>
      </w:r>
    </w:p>
    <w:p>
      <w:pPr>
        <w:keepNext/>
        <w:spacing w:before="240" w:after="120"/>
      </w:pPr>
      <w:r>
        <w:rPr>
          <w:b/>
          <w:color w:val="302B63"/>
          <w:sz w:val="28"/>
        </w:rPr>
        <w:t>3.1 Feature Engineering Details</w:t>
      </w:r>
    </w:p>
    <w:p>
      <w:pPr>
        <w:spacing w:after="160"/>
      </w:pPr>
      <w:r>
        <w:t>Four categories of features were generated:</w:t>
        <w:br/>
        <w:t>1. Calendar Features: Extracted year, month, quarter, day of the week, and day of the year from the index to help models capture cyclic variations.</w:t>
        <w:br/>
        <w:t>2. Fourier Terms: To model the smooth annual sinusoidal wave, sine and cosine terms of the day of the year (harmonics k=1, 2, 3) were added: sin(2 * pi * k * d / 365.25) and cos(2 * pi * k * d / 365.25). This provides a continuous mathematical representation of the annual season.</w:t>
        <w:br/>
        <w:t>3. Lag Features: Historical values at lags [1, 2, 3, 7, 14, 21, 28, 30, 60, 90, 180, 365] were added. These represent the historical state of the system.</w:t>
        <w:br/>
        <w:t>4. Rolling Statistics: A rolling average, standard deviation, minimum, and maximum were computed over window lengths of 7, 14, 30, 60, and 90 days. To prevent data leakage, the rolling windows were computed on shifted series (i.e., using t-1 as the end of the window).</w:t>
        <w:br/>
        <w:t>5. Exponentially Weighted Moving Averages (EWM): EWMs with spans of 7 and 30 days were added to capture short and medium-term momentum.</w:t>
      </w:r>
    </w:p>
    <w:p>
      <w:pPr>
        <w:keepNext/>
        <w:spacing w:before="240" w:after="120"/>
      </w:pPr>
      <w:r>
        <w:rPr>
          <w:b/>
          <w:color w:val="302B63"/>
          <w:sz w:val="28"/>
        </w:rPr>
        <w:t>3.2 Scaling and Train-Test Split</w:t>
      </w:r>
    </w:p>
    <w:p>
      <w:pPr>
        <w:spacing w:after="240"/>
      </w:pPr>
      <w:r>
        <w:t>• Train-Test Split: The first 80% of the daily sequence (January 1, 1981, to December 31, 1988; 2,920 records) was used for model training. The remaining 20% (January 1, 1989, to December 31, 1990; 730 records) was reserved for testing and model validation. Shuffling was strictly avoided to maintain chronological sequencing.</w:t>
        <w:br/>
        <w:t>• Feature Scaling: For neural networks (RNN, LSTM, GRU, Transformer, N-BEATS, TFT), inputs were scaled using the MinMaxScaler to range between [0, 1]. For standard Machine Learning models (LR, SVR, etc.), features were standardized to zero mean and unit variance using the StandardScaler. Scalers were fitted strictly on the training set and applied to the test set to avoid leakage.</w:t>
      </w:r>
    </w:p>
    <w:p>
      <w:pPr>
        <w:keepNext/>
        <w:spacing w:before="240" w:after="120"/>
        <w:pBdr>
          <w:bottom w:val="single" w:sz="12" w:space="4" w:color="2ECC71"/>
        </w:pBdr>
      </w:pPr>
      <w:r>
        <w:rPr>
          <w:b/>
          <w:color w:val="0F0C29"/>
          <w:sz w:val="36"/>
        </w:rPr>
        <w:t>4. Models Implemented</w:t>
      </w:r>
    </w:p>
    <w:p>
      <w:pPr>
        <w:spacing w:after="160"/>
      </w:pPr>
      <w:r>
        <w:t>The 18 models implemented represent a wide spectrum of forecasting techniques, categorized below:</w:t>
      </w:r>
    </w:p>
    <w:p>
      <w:pPr>
        <w:spacing w:after="240"/>
      </w:pPr>
      <w:r>
        <w:t>4.1 Traditional Statistical Models:</w:t>
        <w:br/>
        <w:t>• Autoregressive (AR): Models the next step as a linear combination of its own past values.</w:t>
        <w:br/>
        <w:t>• Moving Average (MA): Models the next step based on past white noise forecast errors.</w:t>
        <w:br/>
        <w:t>• ARMA &amp; ARIMA: Combines autoregressive and moving average terms with differencing (d) to ensure stationarity.</w:t>
        <w:br/>
        <w:t>• SARIMA: Extends ARIMA to model seasonal patterns (using a seasonal period of s=365 days).</w:t>
        <w:br/>
        <w:t>• Holt-Winters (Exponential Smoothing): Captures level, trend, and seasonal components directly using exponentially decaying weights.</w:t>
        <w:br/>
        <w:br/>
        <w:t>4.2 Machine Learning Models:</w:t>
        <w:br/>
        <w:t>• Linear Regression: Predicts the target as a linear combination of lag and calendar features.</w:t>
        <w:br/>
        <w:t>• Support Vector Regression (SVR): Fits a non-linear margin in a high-dimensional feature space using the radial basis function (RBF) kernel.</w:t>
        <w:br/>
        <w:t>• Random Forest: A bagging ensemble of decision trees that reduces variance and captures complex feature interactions.</w:t>
        <w:br/>
        <w:t>• XGBoost &amp; LightGBM: Gradient boosting frameworks that build trees sequentially to minimize the residual loss.</w:t>
        <w:br/>
        <w:t>• Prophet: Developed by Meta, this additive regression model decomposes time series into trend, seasonality, and holiday components.</w:t>
        <w:br/>
        <w:br/>
        <w:t>4.3 Deep Learning Models:</w:t>
        <w:br/>
        <w:t>• Recurrent Neural Networks (RNN): Models sequential dependency using feedback loops.</w:t>
        <w:br/>
        <w:t>• Long Short-Term Memory (LSTM): Utilizes gates to prevent vanishing gradients and capture long-term dependencies.</w:t>
        <w:br/>
        <w:t>• Gated Recurrent Unit (GRU): A streamlined LSTM variant with reset and update gates that achieves comparable accuracy with fewer parameters.</w:t>
        <w:br/>
        <w:t>• Transformer: Uses self-attention mechanisms to model dependencies in parallel across the sequence, bypassing recurrence.</w:t>
        <w:br/>
        <w:t>• Temporal Fusion Transformer (TFT) &amp; N-BEATS: Advanced architectures specifically optimized for time series, providing multi-horizon forecasting and high interpretability.</w:t>
      </w:r>
    </w:p>
    <w:p>
      <w:pPr>
        <w:keepNext/>
        <w:spacing w:before="240" w:after="120"/>
        <w:pBdr>
          <w:bottom w:val="single" w:sz="12" w:space="4" w:color="2ECC71"/>
        </w:pBdr>
      </w:pPr>
      <w:r>
        <w:rPr>
          <w:b/>
          <w:color w:val="0F0C29"/>
          <w:sz w:val="36"/>
        </w:rPr>
        <w:t>5. Performance Evaluation &amp; Comparison</w:t>
      </w:r>
    </w:p>
    <w:p>
      <w:pPr>
        <w:spacing w:after="160"/>
      </w:pPr>
      <w:r>
        <w:t>Models were evaluated on the test set using Mean Absolute Error (MAE), Root Mean Squared Error (RMSE), Mean Absolute Percentage Error (MAPE), and Coefficient of Determination (R²). The complete comparison table, sorted by Test MAE, is presented below:</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c>
          <w:tcPr>
            <w:tcW w:type="dxa" w:w="1040"/>
          </w:tcPr>
          <w:p/>
        </w:tc>
      </w:tr>
    </w:tbl>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592"/>
            <w:shd w:fill="0F0C29"/>
            <w:tcMar>
              <w:top w:w="120" w:type="dxa"/>
              <w:bottom w:w="120" w:type="dxa"/>
              <w:left w:w="100" w:type="dxa"/>
              <w:right w:w="100" w:type="dxa"/>
            </w:tcMar>
          </w:tcPr>
          <w:p>
            <w:pPr>
              <w:jc w:val="center"/>
            </w:pPr>
            <w:r>
              <w:rPr>
                <w:b/>
                <w:color w:val="FFFFFF"/>
                <w:sz w:val="19"/>
              </w:rPr>
              <w:t>Model</w:t>
            </w:r>
          </w:p>
        </w:tc>
        <w:tc>
          <w:tcPr>
            <w:tcW w:type="dxa" w:w="1008"/>
            <w:shd w:fill="0F0C29"/>
            <w:tcMar>
              <w:top w:w="120" w:type="dxa"/>
              <w:bottom w:w="120" w:type="dxa"/>
              <w:left w:w="100" w:type="dxa"/>
              <w:right w:w="100" w:type="dxa"/>
            </w:tcMar>
          </w:tcPr>
          <w:p>
            <w:pPr>
              <w:jc w:val="center"/>
            </w:pPr>
            <w:r>
              <w:rPr>
                <w:b/>
                <w:color w:val="FFFFFF"/>
                <w:sz w:val="19"/>
              </w:rPr>
              <w:t>Train MAE</w:t>
            </w:r>
          </w:p>
        </w:tc>
        <w:tc>
          <w:tcPr>
            <w:tcW w:type="dxa" w:w="1008"/>
            <w:shd w:fill="0F0C29"/>
            <w:tcMar>
              <w:top w:w="120" w:type="dxa"/>
              <w:bottom w:w="120" w:type="dxa"/>
              <w:left w:w="100" w:type="dxa"/>
              <w:right w:w="100" w:type="dxa"/>
            </w:tcMar>
          </w:tcPr>
          <w:p>
            <w:pPr>
              <w:jc w:val="center"/>
            </w:pPr>
            <w:r>
              <w:rPr>
                <w:b/>
                <w:color w:val="FFFFFF"/>
                <w:sz w:val="19"/>
              </w:rPr>
              <w:t>Train R²</w:t>
            </w:r>
          </w:p>
        </w:tc>
        <w:tc>
          <w:tcPr>
            <w:tcW w:type="dxa" w:w="1008"/>
            <w:shd w:fill="0F0C29"/>
            <w:tcMar>
              <w:top w:w="120" w:type="dxa"/>
              <w:bottom w:w="120" w:type="dxa"/>
              <w:left w:w="100" w:type="dxa"/>
              <w:right w:w="100" w:type="dxa"/>
            </w:tcMar>
          </w:tcPr>
          <w:p>
            <w:pPr>
              <w:jc w:val="center"/>
            </w:pPr>
            <w:r>
              <w:rPr>
                <w:b/>
                <w:color w:val="FFFFFF"/>
                <w:sz w:val="19"/>
              </w:rPr>
              <w:t>Test MAE</w:t>
            </w:r>
          </w:p>
        </w:tc>
        <w:tc>
          <w:tcPr>
            <w:tcW w:type="dxa" w:w="1152"/>
            <w:shd w:fill="0F0C29"/>
            <w:tcMar>
              <w:top w:w="120" w:type="dxa"/>
              <w:bottom w:w="120" w:type="dxa"/>
              <w:left w:w="100" w:type="dxa"/>
              <w:right w:w="100" w:type="dxa"/>
            </w:tcMar>
          </w:tcPr>
          <w:p>
            <w:pPr>
              <w:jc w:val="center"/>
            </w:pPr>
            <w:r>
              <w:rPr>
                <w:b/>
                <w:color w:val="FFFFFF"/>
                <w:sz w:val="19"/>
              </w:rPr>
              <w:t>Test RMSE</w:t>
            </w:r>
          </w:p>
        </w:tc>
        <w:tc>
          <w:tcPr>
            <w:tcW w:type="dxa" w:w="864"/>
            <w:shd w:fill="0F0C29"/>
            <w:tcMar>
              <w:top w:w="120" w:type="dxa"/>
              <w:bottom w:w="120" w:type="dxa"/>
              <w:left w:w="100" w:type="dxa"/>
              <w:right w:w="100" w:type="dxa"/>
            </w:tcMar>
          </w:tcPr>
          <w:p>
            <w:pPr>
              <w:jc w:val="center"/>
            </w:pPr>
            <w:r>
              <w:rPr>
                <w:b/>
                <w:color w:val="FFFFFF"/>
                <w:sz w:val="19"/>
              </w:rPr>
              <w:t>Test R²</w:t>
            </w:r>
          </w:p>
        </w:tc>
        <w:tc>
          <w:tcPr>
            <w:tcW w:type="dxa" w:w="1152"/>
            <w:shd w:fill="0F0C29"/>
            <w:tcMar>
              <w:top w:w="120" w:type="dxa"/>
              <w:bottom w:w="120" w:type="dxa"/>
              <w:left w:w="100" w:type="dxa"/>
              <w:right w:w="100" w:type="dxa"/>
            </w:tcMar>
          </w:tcPr>
          <w:p>
            <w:pPr>
              <w:jc w:val="center"/>
            </w:pPr>
            <w:r>
              <w:rPr>
                <w:b/>
                <w:color w:val="FFFFFF"/>
                <w:sz w:val="19"/>
              </w:rPr>
              <w:t>Test MAPE</w:t>
            </w:r>
          </w:p>
        </w:tc>
        <w:tc>
          <w:tcPr>
            <w:tcW w:type="dxa" w:w="1008"/>
            <w:shd w:fill="0F0C29"/>
            <w:tcMar>
              <w:top w:w="120" w:type="dxa"/>
              <w:bottom w:w="120" w:type="dxa"/>
              <w:left w:w="100" w:type="dxa"/>
              <w:right w:w="100" w:type="dxa"/>
            </w:tcMar>
          </w:tcPr>
          <w:p>
            <w:pPr>
              <w:jc w:val="center"/>
            </w:pPr>
            <w:r>
              <w:rPr>
                <w:b/>
                <w:color w:val="FFFFFF"/>
                <w:sz w:val="19"/>
              </w:rPr>
              <w:t>Overfit?</w:t>
            </w:r>
          </w:p>
        </w:tc>
      </w:tr>
      <w:tr>
        <w:tc>
          <w:tcPr>
            <w:tcW w:type="dxa" w:w="2592"/>
            <w:tcMar>
              <w:top w:w="80" w:type="dxa"/>
              <w:bottom w:w="80" w:type="dxa"/>
              <w:left w:w="100" w:type="dxa"/>
              <w:right w:w="100" w:type="dxa"/>
            </w:tcMar>
          </w:tcPr>
          <w:p>
            <w:pPr>
              <w:jc w:val="left"/>
            </w:pPr>
            <w:r>
              <w:rPr>
                <w:b/>
                <w:sz w:val="18"/>
              </w:rPr>
              <w:t>Random Forest</w:t>
            </w:r>
          </w:p>
        </w:tc>
        <w:tc>
          <w:tcPr>
            <w:tcW w:type="dxa" w:w="1008"/>
            <w:tcMar>
              <w:top w:w="80" w:type="dxa"/>
              <w:bottom w:w="80" w:type="dxa"/>
              <w:left w:w="100" w:type="dxa"/>
              <w:right w:w="100" w:type="dxa"/>
            </w:tcMar>
          </w:tcPr>
          <w:p>
            <w:pPr>
              <w:jc w:val="center"/>
            </w:pPr>
            <w:r>
              <w:rPr>
                <w:sz w:val="18"/>
              </w:rPr>
              <w:t>0.8367</w:t>
            </w:r>
          </w:p>
        </w:tc>
        <w:tc>
          <w:tcPr>
            <w:tcW w:type="dxa" w:w="1008"/>
            <w:tcMar>
              <w:top w:w="80" w:type="dxa"/>
              <w:bottom w:w="80" w:type="dxa"/>
              <w:left w:w="100" w:type="dxa"/>
              <w:right w:w="100" w:type="dxa"/>
            </w:tcMar>
          </w:tcPr>
          <w:p>
            <w:pPr>
              <w:jc w:val="center"/>
            </w:pPr>
            <w:r>
              <w:rPr>
                <w:sz w:val="18"/>
              </w:rPr>
              <w:t>0.9310</w:t>
            </w:r>
          </w:p>
        </w:tc>
        <w:tc>
          <w:tcPr>
            <w:tcW w:type="dxa" w:w="1008"/>
            <w:tcMar>
              <w:top w:w="80" w:type="dxa"/>
              <w:bottom w:w="80" w:type="dxa"/>
              <w:left w:w="100" w:type="dxa"/>
              <w:right w:w="100" w:type="dxa"/>
            </w:tcMar>
          </w:tcPr>
          <w:p>
            <w:pPr>
              <w:jc w:val="center"/>
            </w:pPr>
            <w:r>
              <w:rPr>
                <w:sz w:val="18"/>
              </w:rPr>
              <w:t>1.7043</w:t>
            </w:r>
          </w:p>
        </w:tc>
        <w:tc>
          <w:tcPr>
            <w:tcW w:type="dxa" w:w="1152"/>
            <w:tcMar>
              <w:top w:w="80" w:type="dxa"/>
              <w:bottom w:w="80" w:type="dxa"/>
              <w:left w:w="100" w:type="dxa"/>
              <w:right w:w="100" w:type="dxa"/>
            </w:tcMar>
          </w:tcPr>
          <w:p>
            <w:pPr>
              <w:jc w:val="center"/>
            </w:pPr>
            <w:r>
              <w:rPr>
                <w:sz w:val="18"/>
              </w:rPr>
              <w:t>2.1720</w:t>
            </w:r>
          </w:p>
        </w:tc>
        <w:tc>
          <w:tcPr>
            <w:tcW w:type="dxa" w:w="864"/>
            <w:tcMar>
              <w:top w:w="80" w:type="dxa"/>
              <w:bottom w:w="80" w:type="dxa"/>
              <w:left w:w="100" w:type="dxa"/>
              <w:right w:w="100" w:type="dxa"/>
            </w:tcMar>
          </w:tcPr>
          <w:p>
            <w:pPr>
              <w:jc w:val="center"/>
            </w:pPr>
            <w:r>
              <w:rPr>
                <w:sz w:val="18"/>
              </w:rPr>
              <w:t>0.6858</w:t>
            </w:r>
          </w:p>
        </w:tc>
        <w:tc>
          <w:tcPr>
            <w:tcW w:type="dxa" w:w="1152"/>
            <w:tcMar>
              <w:top w:w="80" w:type="dxa"/>
              <w:bottom w:w="80" w:type="dxa"/>
              <w:left w:w="100" w:type="dxa"/>
              <w:right w:w="100" w:type="dxa"/>
            </w:tcMar>
          </w:tcPr>
          <w:p>
            <w:pPr>
              <w:jc w:val="center"/>
            </w:pPr>
            <w:r>
              <w:rPr>
                <w:sz w:val="18"/>
              </w:rPr>
              <w:t>21.2637%</w:t>
            </w:r>
          </w:p>
        </w:tc>
        <w:tc>
          <w:tcPr>
            <w:tcW w:type="dxa" w:w="1008"/>
            <w:tcMar>
              <w:top w:w="80" w:type="dxa"/>
              <w:bottom w:w="80" w:type="dxa"/>
              <w:left w:w="100" w:type="dxa"/>
              <w:right w:w="100" w:type="dxa"/>
            </w:tcMar>
            <w:shd w:fill="FDEDEC"/>
          </w:tcPr>
          <w:p>
            <w:pPr>
              <w:jc w:val="center"/>
            </w:pPr>
            <w:r>
              <w:rPr>
                <w:b/>
                <w:color w:val="CB4335"/>
                <w:sz w:val="18"/>
              </w:rPr>
              <w:t>Yes</w:t>
            </w:r>
          </w:p>
        </w:tc>
      </w:tr>
      <w:tr>
        <w:tc>
          <w:tcPr>
            <w:tcW w:type="dxa" w:w="2592"/>
            <w:tcMar>
              <w:top w:w="80" w:type="dxa"/>
              <w:bottom w:w="80" w:type="dxa"/>
              <w:left w:w="100" w:type="dxa"/>
              <w:right w:w="100" w:type="dxa"/>
            </w:tcMar>
          </w:tcPr>
          <w:p>
            <w:pPr>
              <w:jc w:val="left"/>
            </w:pPr>
            <w:r>
              <w:rPr>
                <w:b/>
                <w:sz w:val="18"/>
              </w:rPr>
              <w:t>Linear Regression</w:t>
            </w:r>
          </w:p>
        </w:tc>
        <w:tc>
          <w:tcPr>
            <w:tcW w:type="dxa" w:w="1008"/>
            <w:tcMar>
              <w:top w:w="80" w:type="dxa"/>
              <w:bottom w:w="80" w:type="dxa"/>
              <w:left w:w="100" w:type="dxa"/>
              <w:right w:w="100" w:type="dxa"/>
            </w:tcMar>
          </w:tcPr>
          <w:p>
            <w:pPr>
              <w:jc w:val="center"/>
            </w:pPr>
            <w:r>
              <w:rPr>
                <w:sz w:val="18"/>
              </w:rPr>
              <w:t>1.8624</w:t>
            </w:r>
          </w:p>
        </w:tc>
        <w:tc>
          <w:tcPr>
            <w:tcW w:type="dxa" w:w="1008"/>
            <w:tcMar>
              <w:top w:w="80" w:type="dxa"/>
              <w:bottom w:w="80" w:type="dxa"/>
              <w:left w:w="100" w:type="dxa"/>
              <w:right w:w="100" w:type="dxa"/>
            </w:tcMar>
          </w:tcPr>
          <w:p>
            <w:pPr>
              <w:jc w:val="center"/>
            </w:pPr>
            <w:r>
              <w:rPr>
                <w:sz w:val="18"/>
              </w:rPr>
              <w:t>0.6655</w:t>
            </w:r>
          </w:p>
        </w:tc>
        <w:tc>
          <w:tcPr>
            <w:tcW w:type="dxa" w:w="1008"/>
            <w:tcMar>
              <w:top w:w="80" w:type="dxa"/>
              <w:bottom w:w="80" w:type="dxa"/>
              <w:left w:w="100" w:type="dxa"/>
              <w:right w:w="100" w:type="dxa"/>
            </w:tcMar>
          </w:tcPr>
          <w:p>
            <w:pPr>
              <w:jc w:val="center"/>
            </w:pPr>
            <w:r>
              <w:rPr>
                <w:sz w:val="18"/>
              </w:rPr>
              <w:t>1.7211</w:t>
            </w:r>
          </w:p>
        </w:tc>
        <w:tc>
          <w:tcPr>
            <w:tcW w:type="dxa" w:w="1152"/>
            <w:tcMar>
              <w:top w:w="80" w:type="dxa"/>
              <w:bottom w:w="80" w:type="dxa"/>
              <w:left w:w="100" w:type="dxa"/>
              <w:right w:w="100" w:type="dxa"/>
            </w:tcMar>
          </w:tcPr>
          <w:p>
            <w:pPr>
              <w:jc w:val="center"/>
            </w:pPr>
            <w:r>
              <w:rPr>
                <w:sz w:val="18"/>
              </w:rPr>
              <w:t>2.1822</w:t>
            </w:r>
          </w:p>
        </w:tc>
        <w:tc>
          <w:tcPr>
            <w:tcW w:type="dxa" w:w="864"/>
            <w:tcMar>
              <w:top w:w="80" w:type="dxa"/>
              <w:bottom w:w="80" w:type="dxa"/>
              <w:left w:w="100" w:type="dxa"/>
              <w:right w:w="100" w:type="dxa"/>
            </w:tcMar>
          </w:tcPr>
          <w:p>
            <w:pPr>
              <w:jc w:val="center"/>
            </w:pPr>
            <w:r>
              <w:rPr>
                <w:sz w:val="18"/>
              </w:rPr>
              <w:t>0.6828</w:t>
            </w:r>
          </w:p>
        </w:tc>
        <w:tc>
          <w:tcPr>
            <w:tcW w:type="dxa" w:w="1152"/>
            <w:tcMar>
              <w:top w:w="80" w:type="dxa"/>
              <w:bottom w:w="80" w:type="dxa"/>
              <w:left w:w="100" w:type="dxa"/>
              <w:right w:w="100" w:type="dxa"/>
            </w:tcMar>
          </w:tcPr>
          <w:p>
            <w:pPr>
              <w:jc w:val="center"/>
            </w:pPr>
            <w:r>
              <w:rPr>
                <w:sz w:val="18"/>
              </w:rPr>
              <w:t>21.9511%</w:t>
            </w:r>
          </w:p>
        </w:tc>
        <w:tc>
          <w:tcPr>
            <w:tcW w:type="dxa" w:w="1008"/>
            <w:tcMar>
              <w:top w:w="80" w:type="dxa"/>
              <w:bottom w:w="80" w:type="dxa"/>
              <w:left w:w="100" w:type="dxa"/>
              <w:right w:w="100" w:type="dxa"/>
            </w:tcMar>
            <w:shd w:fill="E8F8F5"/>
          </w:tcPr>
          <w:p>
            <w:pPr>
              <w:jc w:val="center"/>
            </w:pPr>
            <w:r>
              <w:rPr>
                <w:b/>
                <w:color w:val="16A085"/>
                <w:sz w:val="18"/>
              </w:rPr>
              <w:t>No</w:t>
            </w:r>
          </w:p>
        </w:tc>
      </w:tr>
      <w:tr>
        <w:tc>
          <w:tcPr>
            <w:tcW w:type="dxa" w:w="2592"/>
            <w:tcMar>
              <w:top w:w="80" w:type="dxa"/>
              <w:bottom w:w="80" w:type="dxa"/>
              <w:left w:w="100" w:type="dxa"/>
              <w:right w:w="100" w:type="dxa"/>
            </w:tcMar>
          </w:tcPr>
          <w:p>
            <w:pPr>
              <w:jc w:val="left"/>
            </w:pPr>
            <w:r>
              <w:rPr>
                <w:b/>
                <w:sz w:val="18"/>
              </w:rPr>
              <w:t>RNN</w:t>
            </w:r>
          </w:p>
        </w:tc>
        <w:tc>
          <w:tcPr>
            <w:tcW w:type="dxa" w:w="1008"/>
            <w:tcMar>
              <w:top w:w="80" w:type="dxa"/>
              <w:bottom w:w="80" w:type="dxa"/>
              <w:left w:w="100" w:type="dxa"/>
              <w:right w:w="100" w:type="dxa"/>
            </w:tcMar>
          </w:tcPr>
          <w:p>
            <w:pPr>
              <w:jc w:val="center"/>
            </w:pPr>
            <w:r>
              <w:rPr>
                <w:sz w:val="18"/>
              </w:rPr>
              <w:t>1.9148</w:t>
            </w:r>
          </w:p>
        </w:tc>
        <w:tc>
          <w:tcPr>
            <w:tcW w:type="dxa" w:w="1008"/>
            <w:tcMar>
              <w:top w:w="80" w:type="dxa"/>
              <w:bottom w:w="80" w:type="dxa"/>
              <w:left w:w="100" w:type="dxa"/>
              <w:right w:w="100" w:type="dxa"/>
            </w:tcMar>
          </w:tcPr>
          <w:p>
            <w:pPr>
              <w:jc w:val="center"/>
            </w:pPr>
            <w:r>
              <w:rPr>
                <w:sz w:val="18"/>
              </w:rPr>
              <w:t>0.6303</w:t>
            </w:r>
          </w:p>
        </w:tc>
        <w:tc>
          <w:tcPr>
            <w:tcW w:type="dxa" w:w="1008"/>
            <w:tcMar>
              <w:top w:w="80" w:type="dxa"/>
              <w:bottom w:w="80" w:type="dxa"/>
              <w:left w:w="100" w:type="dxa"/>
              <w:right w:w="100" w:type="dxa"/>
            </w:tcMar>
          </w:tcPr>
          <w:p>
            <w:pPr>
              <w:jc w:val="center"/>
            </w:pPr>
            <w:r>
              <w:rPr>
                <w:sz w:val="18"/>
              </w:rPr>
              <w:t>1.7507</w:t>
            </w:r>
          </w:p>
        </w:tc>
        <w:tc>
          <w:tcPr>
            <w:tcW w:type="dxa" w:w="1152"/>
            <w:tcMar>
              <w:top w:w="80" w:type="dxa"/>
              <w:bottom w:w="80" w:type="dxa"/>
              <w:left w:w="100" w:type="dxa"/>
              <w:right w:w="100" w:type="dxa"/>
            </w:tcMar>
          </w:tcPr>
          <w:p>
            <w:pPr>
              <w:jc w:val="center"/>
            </w:pPr>
            <w:r>
              <w:rPr>
                <w:sz w:val="18"/>
              </w:rPr>
              <w:t>2.2251</w:t>
            </w:r>
          </w:p>
        </w:tc>
        <w:tc>
          <w:tcPr>
            <w:tcW w:type="dxa" w:w="864"/>
            <w:tcMar>
              <w:top w:w="80" w:type="dxa"/>
              <w:bottom w:w="80" w:type="dxa"/>
              <w:left w:w="100" w:type="dxa"/>
              <w:right w:w="100" w:type="dxa"/>
            </w:tcMar>
          </w:tcPr>
          <w:p>
            <w:pPr>
              <w:jc w:val="center"/>
            </w:pPr>
            <w:r>
              <w:rPr>
                <w:sz w:val="18"/>
              </w:rPr>
              <w:t>0.7051</w:t>
            </w:r>
          </w:p>
        </w:tc>
        <w:tc>
          <w:tcPr>
            <w:tcW w:type="dxa" w:w="1152"/>
            <w:tcMar>
              <w:top w:w="80" w:type="dxa"/>
              <w:bottom w:w="80" w:type="dxa"/>
              <w:left w:w="100" w:type="dxa"/>
              <w:right w:w="100" w:type="dxa"/>
            </w:tcMar>
          </w:tcPr>
          <w:p>
            <w:pPr>
              <w:jc w:val="center"/>
            </w:pPr>
            <w:r>
              <w:rPr>
                <w:sz w:val="18"/>
              </w:rPr>
              <w:t>20.7080%</w:t>
            </w:r>
          </w:p>
        </w:tc>
        <w:tc>
          <w:tcPr>
            <w:tcW w:type="dxa" w:w="1008"/>
            <w:tcMar>
              <w:top w:w="80" w:type="dxa"/>
              <w:bottom w:w="80" w:type="dxa"/>
              <w:left w:w="100" w:type="dxa"/>
              <w:right w:w="100" w:type="dxa"/>
            </w:tcMar>
            <w:shd w:fill="E8F8F5"/>
          </w:tcPr>
          <w:p>
            <w:pPr>
              <w:jc w:val="center"/>
            </w:pPr>
            <w:r>
              <w:rPr>
                <w:b/>
                <w:color w:val="16A085"/>
                <w:sz w:val="18"/>
              </w:rPr>
              <w:t>No</w:t>
            </w:r>
          </w:p>
        </w:tc>
      </w:tr>
      <w:tr>
        <w:tc>
          <w:tcPr>
            <w:tcW w:type="dxa" w:w="2592"/>
            <w:tcMar>
              <w:top w:w="80" w:type="dxa"/>
              <w:bottom w:w="80" w:type="dxa"/>
              <w:left w:w="100" w:type="dxa"/>
              <w:right w:w="100" w:type="dxa"/>
            </w:tcMar>
          </w:tcPr>
          <w:p>
            <w:pPr>
              <w:jc w:val="left"/>
            </w:pPr>
            <w:r>
              <w:rPr>
                <w:b/>
                <w:sz w:val="18"/>
              </w:rPr>
              <w:t>GRU</w:t>
            </w:r>
          </w:p>
        </w:tc>
        <w:tc>
          <w:tcPr>
            <w:tcW w:type="dxa" w:w="1008"/>
            <w:tcMar>
              <w:top w:w="80" w:type="dxa"/>
              <w:bottom w:w="80" w:type="dxa"/>
              <w:left w:w="100" w:type="dxa"/>
              <w:right w:w="100" w:type="dxa"/>
            </w:tcMar>
          </w:tcPr>
          <w:p>
            <w:pPr>
              <w:jc w:val="center"/>
            </w:pPr>
            <w:r>
              <w:rPr>
                <w:sz w:val="18"/>
              </w:rPr>
              <w:t>1.9245</w:t>
            </w:r>
          </w:p>
        </w:tc>
        <w:tc>
          <w:tcPr>
            <w:tcW w:type="dxa" w:w="1008"/>
            <w:tcMar>
              <w:top w:w="80" w:type="dxa"/>
              <w:bottom w:w="80" w:type="dxa"/>
              <w:left w:w="100" w:type="dxa"/>
              <w:right w:w="100" w:type="dxa"/>
            </w:tcMar>
          </w:tcPr>
          <w:p>
            <w:pPr>
              <w:jc w:val="center"/>
            </w:pPr>
            <w:r>
              <w:rPr>
                <w:sz w:val="18"/>
              </w:rPr>
              <w:t>0.6236</w:t>
            </w:r>
          </w:p>
        </w:tc>
        <w:tc>
          <w:tcPr>
            <w:tcW w:type="dxa" w:w="1008"/>
            <w:tcMar>
              <w:top w:w="80" w:type="dxa"/>
              <w:bottom w:w="80" w:type="dxa"/>
              <w:left w:w="100" w:type="dxa"/>
              <w:right w:w="100" w:type="dxa"/>
            </w:tcMar>
          </w:tcPr>
          <w:p>
            <w:pPr>
              <w:jc w:val="center"/>
            </w:pPr>
            <w:r>
              <w:rPr>
                <w:sz w:val="18"/>
              </w:rPr>
              <w:t>1.7528</w:t>
            </w:r>
          </w:p>
        </w:tc>
        <w:tc>
          <w:tcPr>
            <w:tcW w:type="dxa" w:w="1152"/>
            <w:tcMar>
              <w:top w:w="80" w:type="dxa"/>
              <w:bottom w:w="80" w:type="dxa"/>
              <w:left w:w="100" w:type="dxa"/>
              <w:right w:w="100" w:type="dxa"/>
            </w:tcMar>
          </w:tcPr>
          <w:p>
            <w:pPr>
              <w:jc w:val="center"/>
            </w:pPr>
            <w:r>
              <w:rPr>
                <w:sz w:val="18"/>
              </w:rPr>
              <w:t>2.2369</w:t>
            </w:r>
          </w:p>
        </w:tc>
        <w:tc>
          <w:tcPr>
            <w:tcW w:type="dxa" w:w="864"/>
            <w:tcMar>
              <w:top w:w="80" w:type="dxa"/>
              <w:bottom w:w="80" w:type="dxa"/>
              <w:left w:w="100" w:type="dxa"/>
              <w:right w:w="100" w:type="dxa"/>
            </w:tcMar>
          </w:tcPr>
          <w:p>
            <w:pPr>
              <w:jc w:val="center"/>
            </w:pPr>
            <w:r>
              <w:rPr>
                <w:sz w:val="18"/>
              </w:rPr>
              <w:t>0.7020</w:t>
            </w:r>
          </w:p>
        </w:tc>
        <w:tc>
          <w:tcPr>
            <w:tcW w:type="dxa" w:w="1152"/>
            <w:tcMar>
              <w:top w:w="80" w:type="dxa"/>
              <w:bottom w:w="80" w:type="dxa"/>
              <w:left w:w="100" w:type="dxa"/>
              <w:right w:w="100" w:type="dxa"/>
            </w:tcMar>
          </w:tcPr>
          <w:p>
            <w:pPr>
              <w:jc w:val="center"/>
            </w:pPr>
            <w:r>
              <w:rPr>
                <w:sz w:val="18"/>
              </w:rPr>
              <w:t>21.5109%</w:t>
            </w:r>
          </w:p>
        </w:tc>
        <w:tc>
          <w:tcPr>
            <w:tcW w:type="dxa" w:w="1008"/>
            <w:tcMar>
              <w:top w:w="80" w:type="dxa"/>
              <w:bottom w:w="80" w:type="dxa"/>
              <w:left w:w="100" w:type="dxa"/>
              <w:right w:w="100" w:type="dxa"/>
            </w:tcMar>
            <w:shd w:fill="E8F8F5"/>
          </w:tcPr>
          <w:p>
            <w:pPr>
              <w:jc w:val="center"/>
            </w:pPr>
            <w:r>
              <w:rPr>
                <w:b/>
                <w:color w:val="16A085"/>
                <w:sz w:val="18"/>
              </w:rPr>
              <w:t>No</w:t>
            </w:r>
          </w:p>
        </w:tc>
      </w:tr>
      <w:tr>
        <w:tc>
          <w:tcPr>
            <w:tcW w:type="dxa" w:w="2592"/>
            <w:tcMar>
              <w:top w:w="80" w:type="dxa"/>
              <w:bottom w:w="80" w:type="dxa"/>
              <w:left w:w="100" w:type="dxa"/>
              <w:right w:w="100" w:type="dxa"/>
            </w:tcMar>
          </w:tcPr>
          <w:p>
            <w:pPr>
              <w:jc w:val="left"/>
            </w:pPr>
            <w:r>
              <w:rPr>
                <w:b/>
                <w:sz w:val="18"/>
              </w:rPr>
              <w:t>XGBoost</w:t>
            </w:r>
          </w:p>
        </w:tc>
        <w:tc>
          <w:tcPr>
            <w:tcW w:type="dxa" w:w="1008"/>
            <w:tcMar>
              <w:top w:w="80" w:type="dxa"/>
              <w:bottom w:w="80" w:type="dxa"/>
              <w:left w:w="100" w:type="dxa"/>
              <w:right w:w="100" w:type="dxa"/>
            </w:tcMar>
          </w:tcPr>
          <w:p>
            <w:pPr>
              <w:jc w:val="center"/>
            </w:pPr>
            <w:r>
              <w:rPr>
                <w:sz w:val="18"/>
              </w:rPr>
              <w:t>0.3473</w:t>
            </w:r>
          </w:p>
        </w:tc>
        <w:tc>
          <w:tcPr>
            <w:tcW w:type="dxa" w:w="1008"/>
            <w:tcMar>
              <w:top w:w="80" w:type="dxa"/>
              <w:bottom w:w="80" w:type="dxa"/>
              <w:left w:w="100" w:type="dxa"/>
              <w:right w:w="100" w:type="dxa"/>
            </w:tcMar>
          </w:tcPr>
          <w:p>
            <w:pPr>
              <w:jc w:val="center"/>
            </w:pPr>
            <w:r>
              <w:rPr>
                <w:sz w:val="18"/>
              </w:rPr>
              <w:t>0.9879</w:t>
            </w:r>
          </w:p>
        </w:tc>
        <w:tc>
          <w:tcPr>
            <w:tcW w:type="dxa" w:w="1008"/>
            <w:tcMar>
              <w:top w:w="80" w:type="dxa"/>
              <w:bottom w:w="80" w:type="dxa"/>
              <w:left w:w="100" w:type="dxa"/>
              <w:right w:w="100" w:type="dxa"/>
            </w:tcMar>
          </w:tcPr>
          <w:p>
            <w:pPr>
              <w:jc w:val="center"/>
            </w:pPr>
            <w:r>
              <w:rPr>
                <w:sz w:val="18"/>
              </w:rPr>
              <w:t>1.7816</w:t>
            </w:r>
          </w:p>
        </w:tc>
        <w:tc>
          <w:tcPr>
            <w:tcW w:type="dxa" w:w="1152"/>
            <w:tcMar>
              <w:top w:w="80" w:type="dxa"/>
              <w:bottom w:w="80" w:type="dxa"/>
              <w:left w:w="100" w:type="dxa"/>
              <w:right w:w="100" w:type="dxa"/>
            </w:tcMar>
          </w:tcPr>
          <w:p>
            <w:pPr>
              <w:jc w:val="center"/>
            </w:pPr>
            <w:r>
              <w:rPr>
                <w:sz w:val="18"/>
              </w:rPr>
              <w:t>2.2605</w:t>
            </w:r>
          </w:p>
        </w:tc>
        <w:tc>
          <w:tcPr>
            <w:tcW w:type="dxa" w:w="864"/>
            <w:tcMar>
              <w:top w:w="80" w:type="dxa"/>
              <w:bottom w:w="80" w:type="dxa"/>
              <w:left w:w="100" w:type="dxa"/>
              <w:right w:w="100" w:type="dxa"/>
            </w:tcMar>
          </w:tcPr>
          <w:p>
            <w:pPr>
              <w:jc w:val="center"/>
            </w:pPr>
            <w:r>
              <w:rPr>
                <w:sz w:val="18"/>
              </w:rPr>
              <w:t>0.6597</w:t>
            </w:r>
          </w:p>
        </w:tc>
        <w:tc>
          <w:tcPr>
            <w:tcW w:type="dxa" w:w="1152"/>
            <w:tcMar>
              <w:top w:w="80" w:type="dxa"/>
              <w:bottom w:w="80" w:type="dxa"/>
              <w:left w:w="100" w:type="dxa"/>
              <w:right w:w="100" w:type="dxa"/>
            </w:tcMar>
          </w:tcPr>
          <w:p>
            <w:pPr>
              <w:jc w:val="center"/>
            </w:pPr>
            <w:r>
              <w:rPr>
                <w:sz w:val="18"/>
              </w:rPr>
              <w:t>22.4298%</w:t>
            </w:r>
          </w:p>
        </w:tc>
        <w:tc>
          <w:tcPr>
            <w:tcW w:type="dxa" w:w="1008"/>
            <w:tcMar>
              <w:top w:w="80" w:type="dxa"/>
              <w:bottom w:w="80" w:type="dxa"/>
              <w:left w:w="100" w:type="dxa"/>
              <w:right w:w="100" w:type="dxa"/>
            </w:tcMar>
            <w:shd w:fill="FDEDEC"/>
          </w:tcPr>
          <w:p>
            <w:pPr>
              <w:jc w:val="center"/>
            </w:pPr>
            <w:r>
              <w:rPr>
                <w:b/>
                <w:color w:val="CB4335"/>
                <w:sz w:val="18"/>
              </w:rPr>
              <w:t>Yes</w:t>
            </w:r>
          </w:p>
        </w:tc>
      </w:tr>
      <w:tr>
        <w:tc>
          <w:tcPr>
            <w:tcW w:type="dxa" w:w="2592"/>
            <w:tcMar>
              <w:top w:w="80" w:type="dxa"/>
              <w:bottom w:w="80" w:type="dxa"/>
              <w:left w:w="100" w:type="dxa"/>
              <w:right w:w="100" w:type="dxa"/>
            </w:tcMar>
          </w:tcPr>
          <w:p>
            <w:pPr>
              <w:jc w:val="left"/>
            </w:pPr>
            <w:r>
              <w:rPr>
                <w:b/>
                <w:sz w:val="18"/>
              </w:rPr>
              <w:t>LightGBM</w:t>
            </w:r>
          </w:p>
        </w:tc>
        <w:tc>
          <w:tcPr>
            <w:tcW w:type="dxa" w:w="1008"/>
            <w:tcMar>
              <w:top w:w="80" w:type="dxa"/>
              <w:bottom w:w="80" w:type="dxa"/>
              <w:left w:w="100" w:type="dxa"/>
              <w:right w:w="100" w:type="dxa"/>
            </w:tcMar>
          </w:tcPr>
          <w:p>
            <w:pPr>
              <w:jc w:val="center"/>
            </w:pPr>
            <w:r>
              <w:rPr>
                <w:sz w:val="18"/>
              </w:rPr>
              <w:t>0.6074</w:t>
            </w:r>
          </w:p>
        </w:tc>
        <w:tc>
          <w:tcPr>
            <w:tcW w:type="dxa" w:w="1008"/>
            <w:tcMar>
              <w:top w:w="80" w:type="dxa"/>
              <w:bottom w:w="80" w:type="dxa"/>
              <w:left w:w="100" w:type="dxa"/>
              <w:right w:w="100" w:type="dxa"/>
            </w:tcMar>
          </w:tcPr>
          <w:p>
            <w:pPr>
              <w:jc w:val="center"/>
            </w:pPr>
            <w:r>
              <w:rPr>
                <w:sz w:val="18"/>
              </w:rPr>
              <w:t>0.9636</w:t>
            </w:r>
          </w:p>
        </w:tc>
        <w:tc>
          <w:tcPr>
            <w:tcW w:type="dxa" w:w="1008"/>
            <w:tcMar>
              <w:top w:w="80" w:type="dxa"/>
              <w:bottom w:w="80" w:type="dxa"/>
              <w:left w:w="100" w:type="dxa"/>
              <w:right w:w="100" w:type="dxa"/>
            </w:tcMar>
          </w:tcPr>
          <w:p>
            <w:pPr>
              <w:jc w:val="center"/>
            </w:pPr>
            <w:r>
              <w:rPr>
                <w:sz w:val="18"/>
              </w:rPr>
              <w:t>1.7948</w:t>
            </w:r>
          </w:p>
        </w:tc>
        <w:tc>
          <w:tcPr>
            <w:tcW w:type="dxa" w:w="1152"/>
            <w:tcMar>
              <w:top w:w="80" w:type="dxa"/>
              <w:bottom w:w="80" w:type="dxa"/>
              <w:left w:w="100" w:type="dxa"/>
              <w:right w:w="100" w:type="dxa"/>
            </w:tcMar>
          </w:tcPr>
          <w:p>
            <w:pPr>
              <w:jc w:val="center"/>
            </w:pPr>
            <w:r>
              <w:rPr>
                <w:sz w:val="18"/>
              </w:rPr>
              <w:t>2.2741</w:t>
            </w:r>
          </w:p>
        </w:tc>
        <w:tc>
          <w:tcPr>
            <w:tcW w:type="dxa" w:w="864"/>
            <w:tcMar>
              <w:top w:w="80" w:type="dxa"/>
              <w:bottom w:w="80" w:type="dxa"/>
              <w:left w:w="100" w:type="dxa"/>
              <w:right w:w="100" w:type="dxa"/>
            </w:tcMar>
          </w:tcPr>
          <w:p>
            <w:pPr>
              <w:jc w:val="center"/>
            </w:pPr>
            <w:r>
              <w:rPr>
                <w:sz w:val="18"/>
              </w:rPr>
              <w:t>0.6555</w:t>
            </w:r>
          </w:p>
        </w:tc>
        <w:tc>
          <w:tcPr>
            <w:tcW w:type="dxa" w:w="1152"/>
            <w:tcMar>
              <w:top w:w="80" w:type="dxa"/>
              <w:bottom w:w="80" w:type="dxa"/>
              <w:left w:w="100" w:type="dxa"/>
              <w:right w:w="100" w:type="dxa"/>
            </w:tcMar>
          </w:tcPr>
          <w:p>
            <w:pPr>
              <w:jc w:val="center"/>
            </w:pPr>
            <w:r>
              <w:rPr>
                <w:sz w:val="18"/>
              </w:rPr>
              <w:t>22.4109%</w:t>
            </w:r>
          </w:p>
        </w:tc>
        <w:tc>
          <w:tcPr>
            <w:tcW w:type="dxa" w:w="1008"/>
            <w:tcMar>
              <w:top w:w="80" w:type="dxa"/>
              <w:bottom w:w="80" w:type="dxa"/>
              <w:left w:w="100" w:type="dxa"/>
              <w:right w:w="100" w:type="dxa"/>
            </w:tcMar>
            <w:shd w:fill="FDEDEC"/>
          </w:tcPr>
          <w:p>
            <w:pPr>
              <w:jc w:val="center"/>
            </w:pPr>
            <w:r>
              <w:rPr>
                <w:b/>
                <w:color w:val="CB4335"/>
                <w:sz w:val="18"/>
              </w:rPr>
              <w:t>Yes</w:t>
            </w:r>
          </w:p>
        </w:tc>
      </w:tr>
      <w:tr>
        <w:tc>
          <w:tcPr>
            <w:tcW w:type="dxa" w:w="2592"/>
            <w:tcMar>
              <w:top w:w="80" w:type="dxa"/>
              <w:bottom w:w="80" w:type="dxa"/>
              <w:left w:w="100" w:type="dxa"/>
              <w:right w:w="100" w:type="dxa"/>
            </w:tcMar>
          </w:tcPr>
          <w:p>
            <w:pPr>
              <w:jc w:val="left"/>
            </w:pPr>
            <w:r>
              <w:rPr>
                <w:b/>
                <w:sz w:val="18"/>
              </w:rPr>
              <w:t>N-BEATS (v1)</w:t>
            </w:r>
          </w:p>
        </w:tc>
        <w:tc>
          <w:tcPr>
            <w:tcW w:type="dxa" w:w="1008"/>
            <w:tcMar>
              <w:top w:w="80" w:type="dxa"/>
              <w:bottom w:w="80" w:type="dxa"/>
              <w:left w:w="100" w:type="dxa"/>
              <w:right w:w="100" w:type="dxa"/>
            </w:tcMar>
          </w:tcPr>
          <w:p>
            <w:pPr>
              <w:jc w:val="center"/>
            </w:pPr>
            <w:r>
              <w:rPr>
                <w:sz w:val="18"/>
              </w:rPr>
              <w:t>1.9265</w:t>
            </w:r>
          </w:p>
        </w:tc>
        <w:tc>
          <w:tcPr>
            <w:tcW w:type="dxa" w:w="1008"/>
            <w:tcMar>
              <w:top w:w="80" w:type="dxa"/>
              <w:bottom w:w="80" w:type="dxa"/>
              <w:left w:w="100" w:type="dxa"/>
              <w:right w:w="100" w:type="dxa"/>
            </w:tcMar>
          </w:tcPr>
          <w:p>
            <w:pPr>
              <w:jc w:val="center"/>
            </w:pPr>
            <w:r>
              <w:rPr>
                <w:sz w:val="18"/>
              </w:rPr>
              <w:t>0.6259</w:t>
            </w:r>
          </w:p>
        </w:tc>
        <w:tc>
          <w:tcPr>
            <w:tcW w:type="dxa" w:w="1008"/>
            <w:tcMar>
              <w:top w:w="80" w:type="dxa"/>
              <w:bottom w:w="80" w:type="dxa"/>
              <w:left w:w="100" w:type="dxa"/>
              <w:right w:w="100" w:type="dxa"/>
            </w:tcMar>
          </w:tcPr>
          <w:p>
            <w:pPr>
              <w:jc w:val="center"/>
            </w:pPr>
            <w:r>
              <w:rPr>
                <w:sz w:val="18"/>
              </w:rPr>
              <w:t>1.8790</w:t>
            </w:r>
          </w:p>
        </w:tc>
        <w:tc>
          <w:tcPr>
            <w:tcW w:type="dxa" w:w="1152"/>
            <w:tcMar>
              <w:top w:w="80" w:type="dxa"/>
              <w:bottom w:w="80" w:type="dxa"/>
              <w:left w:w="100" w:type="dxa"/>
              <w:right w:w="100" w:type="dxa"/>
            </w:tcMar>
          </w:tcPr>
          <w:p>
            <w:pPr>
              <w:jc w:val="center"/>
            </w:pPr>
            <w:r>
              <w:rPr>
                <w:sz w:val="18"/>
              </w:rPr>
              <w:t>2.3656</w:t>
            </w:r>
          </w:p>
        </w:tc>
        <w:tc>
          <w:tcPr>
            <w:tcW w:type="dxa" w:w="864"/>
            <w:tcMar>
              <w:top w:w="80" w:type="dxa"/>
              <w:bottom w:w="80" w:type="dxa"/>
              <w:left w:w="100" w:type="dxa"/>
              <w:right w:w="100" w:type="dxa"/>
            </w:tcMar>
          </w:tcPr>
          <w:p>
            <w:pPr>
              <w:jc w:val="center"/>
            </w:pPr>
            <w:r>
              <w:rPr>
                <w:sz w:val="18"/>
              </w:rPr>
              <w:t>0.6667</w:t>
            </w:r>
          </w:p>
        </w:tc>
        <w:tc>
          <w:tcPr>
            <w:tcW w:type="dxa" w:w="1152"/>
            <w:tcMar>
              <w:top w:w="80" w:type="dxa"/>
              <w:bottom w:w="80" w:type="dxa"/>
              <w:left w:w="100" w:type="dxa"/>
              <w:right w:w="100" w:type="dxa"/>
            </w:tcMar>
          </w:tcPr>
          <w:p>
            <w:pPr>
              <w:jc w:val="center"/>
            </w:pPr>
            <w:r>
              <w:rPr>
                <w:sz w:val="18"/>
              </w:rPr>
              <w:t>20.6677%</w:t>
            </w:r>
          </w:p>
        </w:tc>
        <w:tc>
          <w:tcPr>
            <w:tcW w:type="dxa" w:w="1008"/>
            <w:tcMar>
              <w:top w:w="80" w:type="dxa"/>
              <w:bottom w:w="80" w:type="dxa"/>
              <w:left w:w="100" w:type="dxa"/>
              <w:right w:w="100" w:type="dxa"/>
            </w:tcMar>
            <w:shd w:fill="E8F8F5"/>
          </w:tcPr>
          <w:p>
            <w:pPr>
              <w:jc w:val="center"/>
            </w:pPr>
            <w:r>
              <w:rPr>
                <w:b/>
                <w:color w:val="16A085"/>
                <w:sz w:val="18"/>
              </w:rPr>
              <w:t>No</w:t>
            </w:r>
          </w:p>
        </w:tc>
      </w:tr>
      <w:tr>
        <w:tc>
          <w:tcPr>
            <w:tcW w:type="dxa" w:w="2592"/>
            <w:tcMar>
              <w:top w:w="80" w:type="dxa"/>
              <w:bottom w:w="80" w:type="dxa"/>
              <w:left w:w="100" w:type="dxa"/>
              <w:right w:w="100" w:type="dxa"/>
            </w:tcMar>
          </w:tcPr>
          <w:p>
            <w:pPr>
              <w:jc w:val="left"/>
            </w:pPr>
            <w:r>
              <w:rPr>
                <w:b/>
                <w:sz w:val="18"/>
              </w:rPr>
              <w:t>N-BEATS (v2)</w:t>
            </w:r>
          </w:p>
        </w:tc>
        <w:tc>
          <w:tcPr>
            <w:tcW w:type="dxa" w:w="1008"/>
            <w:tcMar>
              <w:top w:w="80" w:type="dxa"/>
              <w:bottom w:w="80" w:type="dxa"/>
              <w:left w:w="100" w:type="dxa"/>
              <w:right w:w="100" w:type="dxa"/>
            </w:tcMar>
          </w:tcPr>
          <w:p>
            <w:pPr>
              <w:jc w:val="center"/>
            </w:pPr>
            <w:r>
              <w:rPr>
                <w:sz w:val="18"/>
              </w:rPr>
              <w:t>2.0157</w:t>
            </w:r>
          </w:p>
        </w:tc>
        <w:tc>
          <w:tcPr>
            <w:tcW w:type="dxa" w:w="1008"/>
            <w:tcMar>
              <w:top w:w="80" w:type="dxa"/>
              <w:bottom w:w="80" w:type="dxa"/>
              <w:left w:w="100" w:type="dxa"/>
              <w:right w:w="100" w:type="dxa"/>
            </w:tcMar>
          </w:tcPr>
          <w:p>
            <w:pPr>
              <w:jc w:val="center"/>
            </w:pPr>
            <w:r>
              <w:rPr>
                <w:sz w:val="18"/>
              </w:rPr>
              <w:t>0.5924</w:t>
            </w:r>
          </w:p>
        </w:tc>
        <w:tc>
          <w:tcPr>
            <w:tcW w:type="dxa" w:w="1008"/>
            <w:tcMar>
              <w:top w:w="80" w:type="dxa"/>
              <w:bottom w:w="80" w:type="dxa"/>
              <w:left w:w="100" w:type="dxa"/>
              <w:right w:w="100" w:type="dxa"/>
            </w:tcMar>
          </w:tcPr>
          <w:p>
            <w:pPr>
              <w:jc w:val="center"/>
            </w:pPr>
            <w:r>
              <w:rPr>
                <w:sz w:val="18"/>
              </w:rPr>
              <w:t>1.9630</w:t>
            </w:r>
          </w:p>
        </w:tc>
        <w:tc>
          <w:tcPr>
            <w:tcW w:type="dxa" w:w="1152"/>
            <w:tcMar>
              <w:top w:w="80" w:type="dxa"/>
              <w:bottom w:w="80" w:type="dxa"/>
              <w:left w:w="100" w:type="dxa"/>
              <w:right w:w="100" w:type="dxa"/>
            </w:tcMar>
          </w:tcPr>
          <w:p>
            <w:pPr>
              <w:jc w:val="center"/>
            </w:pPr>
            <w:r>
              <w:rPr>
                <w:sz w:val="18"/>
              </w:rPr>
              <w:t>2.4733</w:t>
            </w:r>
          </w:p>
        </w:tc>
        <w:tc>
          <w:tcPr>
            <w:tcW w:type="dxa" w:w="864"/>
            <w:tcMar>
              <w:top w:w="80" w:type="dxa"/>
              <w:bottom w:w="80" w:type="dxa"/>
              <w:left w:w="100" w:type="dxa"/>
              <w:right w:w="100" w:type="dxa"/>
            </w:tcMar>
          </w:tcPr>
          <w:p>
            <w:pPr>
              <w:jc w:val="center"/>
            </w:pPr>
            <w:r>
              <w:rPr>
                <w:sz w:val="18"/>
              </w:rPr>
              <w:t>0.6357</w:t>
            </w:r>
          </w:p>
        </w:tc>
        <w:tc>
          <w:tcPr>
            <w:tcW w:type="dxa" w:w="1152"/>
            <w:tcMar>
              <w:top w:w="80" w:type="dxa"/>
              <w:bottom w:w="80" w:type="dxa"/>
              <w:left w:w="100" w:type="dxa"/>
              <w:right w:w="100" w:type="dxa"/>
            </w:tcMar>
          </w:tcPr>
          <w:p>
            <w:pPr>
              <w:jc w:val="center"/>
            </w:pPr>
            <w:r>
              <w:rPr>
                <w:sz w:val="18"/>
              </w:rPr>
              <w:t>21.0250%</w:t>
            </w:r>
          </w:p>
        </w:tc>
        <w:tc>
          <w:tcPr>
            <w:tcW w:type="dxa" w:w="1008"/>
            <w:tcMar>
              <w:top w:w="80" w:type="dxa"/>
              <w:bottom w:w="80" w:type="dxa"/>
              <w:left w:w="100" w:type="dxa"/>
              <w:right w:w="100" w:type="dxa"/>
            </w:tcMar>
            <w:shd w:fill="E8F8F5"/>
          </w:tcPr>
          <w:p>
            <w:pPr>
              <w:jc w:val="center"/>
            </w:pPr>
            <w:r>
              <w:rPr>
                <w:b/>
                <w:color w:val="16A085"/>
                <w:sz w:val="18"/>
              </w:rPr>
              <w:t>No</w:t>
            </w:r>
          </w:p>
        </w:tc>
      </w:tr>
      <w:tr>
        <w:tc>
          <w:tcPr>
            <w:tcW w:type="dxa" w:w="2592"/>
            <w:tcMar>
              <w:top w:w="80" w:type="dxa"/>
              <w:bottom w:w="80" w:type="dxa"/>
              <w:left w:w="100" w:type="dxa"/>
              <w:right w:w="100" w:type="dxa"/>
            </w:tcMar>
          </w:tcPr>
          <w:p>
            <w:pPr>
              <w:jc w:val="left"/>
            </w:pPr>
            <w:r>
              <w:rPr>
                <w:b/>
                <w:sz w:val="18"/>
              </w:rPr>
              <w:t>SVR</w:t>
            </w:r>
          </w:p>
        </w:tc>
        <w:tc>
          <w:tcPr>
            <w:tcW w:type="dxa" w:w="1008"/>
            <w:tcMar>
              <w:top w:w="80" w:type="dxa"/>
              <w:bottom w:w="80" w:type="dxa"/>
              <w:left w:w="100" w:type="dxa"/>
              <w:right w:w="100" w:type="dxa"/>
            </w:tcMar>
          </w:tcPr>
          <w:p>
            <w:pPr>
              <w:jc w:val="center"/>
            </w:pPr>
            <w:r>
              <w:rPr>
                <w:sz w:val="18"/>
              </w:rPr>
              <w:t>1.2817</w:t>
            </w:r>
          </w:p>
        </w:tc>
        <w:tc>
          <w:tcPr>
            <w:tcW w:type="dxa" w:w="1008"/>
            <w:tcMar>
              <w:top w:w="80" w:type="dxa"/>
              <w:bottom w:w="80" w:type="dxa"/>
              <w:left w:w="100" w:type="dxa"/>
              <w:right w:w="100" w:type="dxa"/>
            </w:tcMar>
          </w:tcPr>
          <w:p>
            <w:pPr>
              <w:jc w:val="center"/>
            </w:pPr>
            <w:r>
              <w:rPr>
                <w:sz w:val="18"/>
              </w:rPr>
              <w:t>0.7832</w:t>
            </w:r>
          </w:p>
        </w:tc>
        <w:tc>
          <w:tcPr>
            <w:tcW w:type="dxa" w:w="1008"/>
            <w:tcMar>
              <w:top w:w="80" w:type="dxa"/>
              <w:bottom w:w="80" w:type="dxa"/>
              <w:left w:w="100" w:type="dxa"/>
              <w:right w:w="100" w:type="dxa"/>
            </w:tcMar>
          </w:tcPr>
          <w:p>
            <w:pPr>
              <w:jc w:val="center"/>
            </w:pPr>
            <w:r>
              <w:rPr>
                <w:sz w:val="18"/>
              </w:rPr>
              <w:t>1.9737</w:t>
            </w:r>
          </w:p>
        </w:tc>
        <w:tc>
          <w:tcPr>
            <w:tcW w:type="dxa" w:w="1152"/>
            <w:tcMar>
              <w:top w:w="80" w:type="dxa"/>
              <w:bottom w:w="80" w:type="dxa"/>
              <w:left w:w="100" w:type="dxa"/>
              <w:right w:w="100" w:type="dxa"/>
            </w:tcMar>
          </w:tcPr>
          <w:p>
            <w:pPr>
              <w:jc w:val="center"/>
            </w:pPr>
            <w:r>
              <w:rPr>
                <w:sz w:val="18"/>
              </w:rPr>
              <w:t>2.5206</w:t>
            </w:r>
          </w:p>
        </w:tc>
        <w:tc>
          <w:tcPr>
            <w:tcW w:type="dxa" w:w="864"/>
            <w:tcMar>
              <w:top w:w="80" w:type="dxa"/>
              <w:bottom w:w="80" w:type="dxa"/>
              <w:left w:w="100" w:type="dxa"/>
              <w:right w:w="100" w:type="dxa"/>
            </w:tcMar>
          </w:tcPr>
          <w:p>
            <w:pPr>
              <w:jc w:val="center"/>
            </w:pPr>
            <w:r>
              <w:rPr>
                <w:sz w:val="18"/>
              </w:rPr>
              <w:t>0.5768</w:t>
            </w:r>
          </w:p>
        </w:tc>
        <w:tc>
          <w:tcPr>
            <w:tcW w:type="dxa" w:w="1152"/>
            <w:tcMar>
              <w:top w:w="80" w:type="dxa"/>
              <w:bottom w:w="80" w:type="dxa"/>
              <w:left w:w="100" w:type="dxa"/>
              <w:right w:w="100" w:type="dxa"/>
            </w:tcMar>
          </w:tcPr>
          <w:p>
            <w:pPr>
              <w:jc w:val="center"/>
            </w:pPr>
            <w:r>
              <w:rPr>
                <w:sz w:val="18"/>
              </w:rPr>
              <w:t>26.6065%</w:t>
            </w:r>
          </w:p>
        </w:tc>
        <w:tc>
          <w:tcPr>
            <w:tcW w:type="dxa" w:w="1008"/>
            <w:tcMar>
              <w:top w:w="80" w:type="dxa"/>
              <w:bottom w:w="80" w:type="dxa"/>
              <w:left w:w="100" w:type="dxa"/>
              <w:right w:w="100" w:type="dxa"/>
            </w:tcMar>
            <w:shd w:fill="FDEDEC"/>
          </w:tcPr>
          <w:p>
            <w:pPr>
              <w:jc w:val="center"/>
            </w:pPr>
            <w:r>
              <w:rPr>
                <w:b/>
                <w:color w:val="CB4335"/>
                <w:sz w:val="18"/>
              </w:rPr>
              <w:t>Yes</w:t>
            </w:r>
          </w:p>
        </w:tc>
      </w:tr>
      <w:tr>
        <w:tc>
          <w:tcPr>
            <w:tcW w:type="dxa" w:w="2592"/>
            <w:tcMar>
              <w:top w:w="80" w:type="dxa"/>
              <w:bottom w:w="80" w:type="dxa"/>
              <w:left w:w="100" w:type="dxa"/>
              <w:right w:w="100" w:type="dxa"/>
            </w:tcMar>
          </w:tcPr>
          <w:p>
            <w:pPr>
              <w:jc w:val="left"/>
            </w:pPr>
            <w:r>
              <w:rPr>
                <w:b/>
                <w:sz w:val="18"/>
              </w:rPr>
              <w:t>LSTM</w:t>
            </w:r>
          </w:p>
        </w:tc>
        <w:tc>
          <w:tcPr>
            <w:tcW w:type="dxa" w:w="1008"/>
            <w:tcMar>
              <w:top w:w="80" w:type="dxa"/>
              <w:bottom w:w="80" w:type="dxa"/>
              <w:left w:w="100" w:type="dxa"/>
              <w:right w:w="100" w:type="dxa"/>
            </w:tcMar>
          </w:tcPr>
          <w:p>
            <w:pPr>
              <w:jc w:val="center"/>
            </w:pPr>
            <w:r>
              <w:rPr>
                <w:sz w:val="18"/>
              </w:rPr>
              <w:t>2.3000</w:t>
            </w:r>
          </w:p>
        </w:tc>
        <w:tc>
          <w:tcPr>
            <w:tcW w:type="dxa" w:w="1008"/>
            <w:tcMar>
              <w:top w:w="80" w:type="dxa"/>
              <w:bottom w:w="80" w:type="dxa"/>
              <w:left w:w="100" w:type="dxa"/>
              <w:right w:w="100" w:type="dxa"/>
            </w:tcMar>
          </w:tcPr>
          <w:p>
            <w:pPr>
              <w:jc w:val="center"/>
            </w:pPr>
            <w:r>
              <w:rPr>
                <w:sz w:val="18"/>
              </w:rPr>
              <w:t>0.4691</w:t>
            </w:r>
          </w:p>
        </w:tc>
        <w:tc>
          <w:tcPr>
            <w:tcW w:type="dxa" w:w="1008"/>
            <w:tcMar>
              <w:top w:w="80" w:type="dxa"/>
              <w:bottom w:w="80" w:type="dxa"/>
              <w:left w:w="100" w:type="dxa"/>
              <w:right w:w="100" w:type="dxa"/>
            </w:tcMar>
          </w:tcPr>
          <w:p>
            <w:pPr>
              <w:jc w:val="center"/>
            </w:pPr>
            <w:r>
              <w:rPr>
                <w:sz w:val="18"/>
              </w:rPr>
              <w:t>2.0858</w:t>
            </w:r>
          </w:p>
        </w:tc>
        <w:tc>
          <w:tcPr>
            <w:tcW w:type="dxa" w:w="1152"/>
            <w:tcMar>
              <w:top w:w="80" w:type="dxa"/>
              <w:bottom w:w="80" w:type="dxa"/>
              <w:left w:w="100" w:type="dxa"/>
              <w:right w:w="100" w:type="dxa"/>
            </w:tcMar>
          </w:tcPr>
          <w:p>
            <w:pPr>
              <w:jc w:val="center"/>
            </w:pPr>
            <w:r>
              <w:rPr>
                <w:sz w:val="18"/>
              </w:rPr>
              <w:t>2.7069</w:t>
            </w:r>
          </w:p>
        </w:tc>
        <w:tc>
          <w:tcPr>
            <w:tcW w:type="dxa" w:w="864"/>
            <w:tcMar>
              <w:top w:w="80" w:type="dxa"/>
              <w:bottom w:w="80" w:type="dxa"/>
              <w:left w:w="100" w:type="dxa"/>
              <w:right w:w="100" w:type="dxa"/>
            </w:tcMar>
          </w:tcPr>
          <w:p>
            <w:pPr>
              <w:jc w:val="center"/>
            </w:pPr>
            <w:r>
              <w:rPr>
                <w:sz w:val="18"/>
              </w:rPr>
              <w:t>0.5636</w:t>
            </w:r>
          </w:p>
        </w:tc>
        <w:tc>
          <w:tcPr>
            <w:tcW w:type="dxa" w:w="1152"/>
            <w:tcMar>
              <w:top w:w="80" w:type="dxa"/>
              <w:bottom w:w="80" w:type="dxa"/>
              <w:left w:w="100" w:type="dxa"/>
              <w:right w:w="100" w:type="dxa"/>
            </w:tcMar>
          </w:tcPr>
          <w:p>
            <w:pPr>
              <w:jc w:val="center"/>
            </w:pPr>
            <w:r>
              <w:rPr>
                <w:sz w:val="18"/>
              </w:rPr>
              <w:t>27.7821%</w:t>
            </w:r>
          </w:p>
        </w:tc>
        <w:tc>
          <w:tcPr>
            <w:tcW w:type="dxa" w:w="1008"/>
            <w:tcMar>
              <w:top w:w="80" w:type="dxa"/>
              <w:bottom w:w="80" w:type="dxa"/>
              <w:left w:w="100" w:type="dxa"/>
              <w:right w:w="100" w:type="dxa"/>
            </w:tcMar>
            <w:shd w:fill="E8F8F5"/>
          </w:tcPr>
          <w:p>
            <w:pPr>
              <w:jc w:val="center"/>
            </w:pPr>
            <w:r>
              <w:rPr>
                <w:b/>
                <w:color w:val="16A085"/>
                <w:sz w:val="18"/>
              </w:rPr>
              <w:t>No</w:t>
            </w:r>
          </w:p>
        </w:tc>
      </w:tr>
      <w:tr>
        <w:tc>
          <w:tcPr>
            <w:tcW w:type="dxa" w:w="2592"/>
            <w:tcMar>
              <w:top w:w="80" w:type="dxa"/>
              <w:bottom w:w="80" w:type="dxa"/>
              <w:left w:w="100" w:type="dxa"/>
              <w:right w:w="100" w:type="dxa"/>
            </w:tcMar>
          </w:tcPr>
          <w:p>
            <w:pPr>
              <w:jc w:val="left"/>
            </w:pPr>
            <w:r>
              <w:rPr>
                <w:b/>
                <w:sz w:val="18"/>
              </w:rPr>
              <w:t>Transformer</w:t>
            </w:r>
          </w:p>
        </w:tc>
        <w:tc>
          <w:tcPr>
            <w:tcW w:type="dxa" w:w="1008"/>
            <w:tcMar>
              <w:top w:w="80" w:type="dxa"/>
              <w:bottom w:w="80" w:type="dxa"/>
              <w:left w:w="100" w:type="dxa"/>
              <w:right w:w="100" w:type="dxa"/>
            </w:tcMar>
          </w:tcPr>
          <w:p>
            <w:pPr>
              <w:jc w:val="center"/>
            </w:pPr>
            <w:r>
              <w:rPr>
                <w:sz w:val="18"/>
              </w:rPr>
              <w:t>2.3057</w:t>
            </w:r>
          </w:p>
        </w:tc>
        <w:tc>
          <w:tcPr>
            <w:tcW w:type="dxa" w:w="1008"/>
            <w:tcMar>
              <w:top w:w="80" w:type="dxa"/>
              <w:bottom w:w="80" w:type="dxa"/>
              <w:left w:w="100" w:type="dxa"/>
              <w:right w:w="100" w:type="dxa"/>
            </w:tcMar>
          </w:tcPr>
          <w:p>
            <w:pPr>
              <w:jc w:val="center"/>
            </w:pPr>
            <w:r>
              <w:rPr>
                <w:sz w:val="18"/>
              </w:rPr>
              <w:t>0.4553</w:t>
            </w:r>
          </w:p>
        </w:tc>
        <w:tc>
          <w:tcPr>
            <w:tcW w:type="dxa" w:w="1008"/>
            <w:tcMar>
              <w:top w:w="80" w:type="dxa"/>
              <w:bottom w:w="80" w:type="dxa"/>
              <w:left w:w="100" w:type="dxa"/>
              <w:right w:w="100" w:type="dxa"/>
            </w:tcMar>
          </w:tcPr>
          <w:p>
            <w:pPr>
              <w:jc w:val="center"/>
            </w:pPr>
            <w:r>
              <w:rPr>
                <w:sz w:val="18"/>
              </w:rPr>
              <w:t>2.1795</w:t>
            </w:r>
          </w:p>
        </w:tc>
        <w:tc>
          <w:tcPr>
            <w:tcW w:type="dxa" w:w="1152"/>
            <w:tcMar>
              <w:top w:w="80" w:type="dxa"/>
              <w:bottom w:w="80" w:type="dxa"/>
              <w:left w:w="100" w:type="dxa"/>
              <w:right w:w="100" w:type="dxa"/>
            </w:tcMar>
          </w:tcPr>
          <w:p>
            <w:pPr>
              <w:jc w:val="center"/>
            </w:pPr>
            <w:r>
              <w:rPr>
                <w:sz w:val="18"/>
              </w:rPr>
              <w:t>2.8165</w:t>
            </w:r>
          </w:p>
        </w:tc>
        <w:tc>
          <w:tcPr>
            <w:tcW w:type="dxa" w:w="864"/>
            <w:tcMar>
              <w:top w:w="80" w:type="dxa"/>
              <w:bottom w:w="80" w:type="dxa"/>
              <w:left w:w="100" w:type="dxa"/>
              <w:right w:w="100" w:type="dxa"/>
            </w:tcMar>
          </w:tcPr>
          <w:p>
            <w:pPr>
              <w:jc w:val="center"/>
            </w:pPr>
            <w:r>
              <w:rPr>
                <w:sz w:val="18"/>
              </w:rPr>
              <w:t>0.5275</w:t>
            </w:r>
          </w:p>
        </w:tc>
        <w:tc>
          <w:tcPr>
            <w:tcW w:type="dxa" w:w="1152"/>
            <w:tcMar>
              <w:top w:w="80" w:type="dxa"/>
              <w:bottom w:w="80" w:type="dxa"/>
              <w:left w:w="100" w:type="dxa"/>
              <w:right w:w="100" w:type="dxa"/>
            </w:tcMar>
          </w:tcPr>
          <w:p>
            <w:pPr>
              <w:jc w:val="center"/>
            </w:pPr>
            <w:r>
              <w:rPr>
                <w:sz w:val="18"/>
              </w:rPr>
              <w:t>28.7039%</w:t>
            </w:r>
          </w:p>
        </w:tc>
        <w:tc>
          <w:tcPr>
            <w:tcW w:type="dxa" w:w="1008"/>
            <w:tcMar>
              <w:top w:w="80" w:type="dxa"/>
              <w:bottom w:w="80" w:type="dxa"/>
              <w:left w:w="100" w:type="dxa"/>
              <w:right w:w="100" w:type="dxa"/>
            </w:tcMar>
            <w:shd w:fill="E8F8F5"/>
          </w:tcPr>
          <w:p>
            <w:pPr>
              <w:jc w:val="center"/>
            </w:pPr>
            <w:r>
              <w:rPr>
                <w:b/>
                <w:color w:val="16A085"/>
                <w:sz w:val="18"/>
              </w:rPr>
              <w:t>No</w:t>
            </w:r>
          </w:p>
        </w:tc>
      </w:tr>
      <w:tr>
        <w:tc>
          <w:tcPr>
            <w:tcW w:type="dxa" w:w="2592"/>
            <w:tcMar>
              <w:top w:w="80" w:type="dxa"/>
              <w:bottom w:w="80" w:type="dxa"/>
              <w:left w:w="100" w:type="dxa"/>
              <w:right w:w="100" w:type="dxa"/>
            </w:tcMar>
          </w:tcPr>
          <w:p>
            <w:pPr>
              <w:jc w:val="left"/>
            </w:pPr>
            <w:r>
              <w:rPr>
                <w:b/>
                <w:sz w:val="18"/>
              </w:rPr>
              <w:t>Prophet</w:t>
            </w:r>
          </w:p>
        </w:tc>
        <w:tc>
          <w:tcPr>
            <w:tcW w:type="dxa" w:w="1008"/>
            <w:tcMar>
              <w:top w:w="80" w:type="dxa"/>
              <w:bottom w:w="80" w:type="dxa"/>
              <w:left w:w="100" w:type="dxa"/>
              <w:right w:w="100" w:type="dxa"/>
            </w:tcMar>
          </w:tcPr>
          <w:p>
            <w:pPr>
              <w:jc w:val="center"/>
            </w:pPr>
            <w:r>
              <w:rPr>
                <w:sz w:val="18"/>
              </w:rPr>
              <w:t>2.1600</w:t>
            </w:r>
          </w:p>
        </w:tc>
        <w:tc>
          <w:tcPr>
            <w:tcW w:type="dxa" w:w="1008"/>
            <w:tcMar>
              <w:top w:w="80" w:type="dxa"/>
              <w:bottom w:w="80" w:type="dxa"/>
              <w:left w:w="100" w:type="dxa"/>
              <w:right w:w="100" w:type="dxa"/>
            </w:tcMar>
          </w:tcPr>
          <w:p>
            <w:pPr>
              <w:jc w:val="center"/>
            </w:pPr>
            <w:r>
              <w:rPr>
                <w:sz w:val="18"/>
              </w:rPr>
              <w:t>0.5462</w:t>
            </w:r>
          </w:p>
        </w:tc>
        <w:tc>
          <w:tcPr>
            <w:tcW w:type="dxa" w:w="1008"/>
            <w:tcMar>
              <w:top w:w="80" w:type="dxa"/>
              <w:bottom w:w="80" w:type="dxa"/>
              <w:left w:w="100" w:type="dxa"/>
              <w:right w:w="100" w:type="dxa"/>
            </w:tcMar>
          </w:tcPr>
          <w:p>
            <w:pPr>
              <w:jc w:val="center"/>
            </w:pPr>
            <w:r>
              <w:rPr>
                <w:sz w:val="18"/>
              </w:rPr>
              <w:t>2.4822</w:t>
            </w:r>
          </w:p>
        </w:tc>
        <w:tc>
          <w:tcPr>
            <w:tcW w:type="dxa" w:w="1152"/>
            <w:tcMar>
              <w:top w:w="80" w:type="dxa"/>
              <w:bottom w:w="80" w:type="dxa"/>
              <w:left w:w="100" w:type="dxa"/>
              <w:right w:w="100" w:type="dxa"/>
            </w:tcMar>
          </w:tcPr>
          <w:p>
            <w:pPr>
              <w:jc w:val="center"/>
            </w:pPr>
            <w:r>
              <w:rPr>
                <w:sz w:val="18"/>
              </w:rPr>
              <w:t>3.0376</w:t>
            </w:r>
          </w:p>
        </w:tc>
        <w:tc>
          <w:tcPr>
            <w:tcW w:type="dxa" w:w="864"/>
            <w:tcMar>
              <w:top w:w="80" w:type="dxa"/>
              <w:bottom w:w="80" w:type="dxa"/>
              <w:left w:w="100" w:type="dxa"/>
              <w:right w:w="100" w:type="dxa"/>
            </w:tcMar>
          </w:tcPr>
          <w:p>
            <w:pPr>
              <w:jc w:val="center"/>
            </w:pPr>
            <w:r>
              <w:rPr>
                <w:sz w:val="18"/>
              </w:rPr>
              <w:t>0.4517</w:t>
            </w:r>
          </w:p>
        </w:tc>
        <w:tc>
          <w:tcPr>
            <w:tcW w:type="dxa" w:w="1152"/>
            <w:tcMar>
              <w:top w:w="80" w:type="dxa"/>
              <w:bottom w:w="80" w:type="dxa"/>
              <w:left w:w="100" w:type="dxa"/>
              <w:right w:w="100" w:type="dxa"/>
            </w:tcMar>
          </w:tcPr>
          <w:p>
            <w:pPr>
              <w:jc w:val="center"/>
            </w:pPr>
            <w:r>
              <w:rPr>
                <w:sz w:val="18"/>
              </w:rPr>
              <w:t>33.8419%</w:t>
            </w:r>
          </w:p>
        </w:tc>
        <w:tc>
          <w:tcPr>
            <w:tcW w:type="dxa" w:w="1008"/>
            <w:tcMar>
              <w:top w:w="80" w:type="dxa"/>
              <w:bottom w:w="80" w:type="dxa"/>
              <w:left w:w="100" w:type="dxa"/>
              <w:right w:w="100" w:type="dxa"/>
            </w:tcMar>
            <w:shd w:fill="E8F8F5"/>
          </w:tcPr>
          <w:p>
            <w:pPr>
              <w:jc w:val="center"/>
            </w:pPr>
            <w:r>
              <w:rPr>
                <w:b/>
                <w:color w:val="16A085"/>
                <w:sz w:val="18"/>
              </w:rPr>
              <w:t>No</w:t>
            </w:r>
          </w:p>
        </w:tc>
      </w:tr>
      <w:tr>
        <w:tc>
          <w:tcPr>
            <w:tcW w:type="dxa" w:w="2592"/>
            <w:tcMar>
              <w:top w:w="80" w:type="dxa"/>
              <w:bottom w:w="80" w:type="dxa"/>
              <w:left w:w="100" w:type="dxa"/>
              <w:right w:w="100" w:type="dxa"/>
            </w:tcMar>
          </w:tcPr>
          <w:p>
            <w:pPr>
              <w:jc w:val="left"/>
            </w:pPr>
            <w:r>
              <w:rPr>
                <w:b/>
                <w:sz w:val="18"/>
              </w:rPr>
              <w:t>AR</w:t>
            </w:r>
          </w:p>
        </w:tc>
        <w:tc>
          <w:tcPr>
            <w:tcW w:type="dxa" w:w="1008"/>
            <w:tcMar>
              <w:top w:w="80" w:type="dxa"/>
              <w:bottom w:w="80" w:type="dxa"/>
              <w:left w:w="100" w:type="dxa"/>
              <w:right w:w="100" w:type="dxa"/>
            </w:tcMar>
          </w:tcPr>
          <w:p>
            <w:pPr>
              <w:jc w:val="center"/>
            </w:pPr>
            <w:r>
              <w:rPr>
                <w:sz w:val="18"/>
              </w:rPr>
              <w:t>1.9054</w:t>
            </w:r>
          </w:p>
        </w:tc>
        <w:tc>
          <w:tcPr>
            <w:tcW w:type="dxa" w:w="1008"/>
            <w:tcMar>
              <w:top w:w="80" w:type="dxa"/>
              <w:bottom w:w="80" w:type="dxa"/>
              <w:left w:w="100" w:type="dxa"/>
              <w:right w:w="100" w:type="dxa"/>
            </w:tcMar>
          </w:tcPr>
          <w:p>
            <w:pPr>
              <w:jc w:val="center"/>
            </w:pPr>
            <w:r>
              <w:rPr>
                <w:sz w:val="18"/>
              </w:rPr>
              <w:t>0.6327</w:t>
            </w:r>
          </w:p>
        </w:tc>
        <w:tc>
          <w:tcPr>
            <w:tcW w:type="dxa" w:w="1008"/>
            <w:tcMar>
              <w:top w:w="80" w:type="dxa"/>
              <w:bottom w:w="80" w:type="dxa"/>
              <w:left w:w="100" w:type="dxa"/>
              <w:right w:w="100" w:type="dxa"/>
            </w:tcMar>
          </w:tcPr>
          <w:p>
            <w:pPr>
              <w:jc w:val="center"/>
            </w:pPr>
            <w:r>
              <w:rPr>
                <w:sz w:val="18"/>
              </w:rPr>
              <w:t>3.2447</w:t>
            </w:r>
          </w:p>
        </w:tc>
        <w:tc>
          <w:tcPr>
            <w:tcW w:type="dxa" w:w="1152"/>
            <w:tcMar>
              <w:top w:w="80" w:type="dxa"/>
              <w:bottom w:w="80" w:type="dxa"/>
              <w:left w:w="100" w:type="dxa"/>
              <w:right w:w="100" w:type="dxa"/>
            </w:tcMar>
          </w:tcPr>
          <w:p>
            <w:pPr>
              <w:jc w:val="center"/>
            </w:pPr>
            <w:r>
              <w:rPr>
                <w:sz w:val="18"/>
              </w:rPr>
              <w:t>3.9552</w:t>
            </w:r>
          </w:p>
        </w:tc>
        <w:tc>
          <w:tcPr>
            <w:tcW w:type="dxa" w:w="864"/>
            <w:tcMar>
              <w:top w:w="80" w:type="dxa"/>
              <w:bottom w:w="80" w:type="dxa"/>
              <w:left w:w="100" w:type="dxa"/>
              <w:right w:w="100" w:type="dxa"/>
            </w:tcMar>
          </w:tcPr>
          <w:p>
            <w:pPr>
              <w:jc w:val="center"/>
            </w:pPr>
            <w:r>
              <w:rPr>
                <w:sz w:val="18"/>
              </w:rPr>
              <w:t>0.0704</w:t>
            </w:r>
          </w:p>
        </w:tc>
        <w:tc>
          <w:tcPr>
            <w:tcW w:type="dxa" w:w="1152"/>
            <w:tcMar>
              <w:top w:w="80" w:type="dxa"/>
              <w:bottom w:w="80" w:type="dxa"/>
              <w:left w:w="100" w:type="dxa"/>
              <w:right w:w="100" w:type="dxa"/>
            </w:tcMar>
          </w:tcPr>
          <w:p>
            <w:pPr>
              <w:jc w:val="center"/>
            </w:pPr>
            <w:r>
              <w:rPr>
                <w:sz w:val="18"/>
              </w:rPr>
              <w:t>42.8271%</w:t>
            </w:r>
          </w:p>
        </w:tc>
        <w:tc>
          <w:tcPr>
            <w:tcW w:type="dxa" w:w="1008"/>
            <w:tcMar>
              <w:top w:w="80" w:type="dxa"/>
              <w:bottom w:w="80" w:type="dxa"/>
              <w:left w:w="100" w:type="dxa"/>
              <w:right w:w="100" w:type="dxa"/>
            </w:tcMar>
            <w:shd w:fill="FDEDEC"/>
          </w:tcPr>
          <w:p>
            <w:pPr>
              <w:jc w:val="center"/>
            </w:pPr>
            <w:r>
              <w:rPr>
                <w:b/>
                <w:color w:val="CB4335"/>
                <w:sz w:val="18"/>
              </w:rPr>
              <w:t>Yes</w:t>
            </w:r>
          </w:p>
        </w:tc>
      </w:tr>
      <w:tr>
        <w:tc>
          <w:tcPr>
            <w:tcW w:type="dxa" w:w="2592"/>
            <w:tcMar>
              <w:top w:w="80" w:type="dxa"/>
              <w:bottom w:w="80" w:type="dxa"/>
              <w:left w:w="100" w:type="dxa"/>
              <w:right w:w="100" w:type="dxa"/>
            </w:tcMar>
          </w:tcPr>
          <w:p>
            <w:pPr>
              <w:jc w:val="left"/>
            </w:pPr>
            <w:r>
              <w:rPr>
                <w:b/>
                <w:sz w:val="18"/>
              </w:rPr>
              <w:t>TFT</w:t>
            </w:r>
          </w:p>
        </w:tc>
        <w:tc>
          <w:tcPr>
            <w:tcW w:type="dxa" w:w="1008"/>
            <w:tcMar>
              <w:top w:w="80" w:type="dxa"/>
              <w:bottom w:w="80" w:type="dxa"/>
              <w:left w:w="100" w:type="dxa"/>
              <w:right w:w="100" w:type="dxa"/>
            </w:tcMar>
          </w:tcPr>
          <w:p>
            <w:pPr>
              <w:jc w:val="center"/>
            </w:pPr>
            <w:r>
              <w:rPr>
                <w:sz w:val="18"/>
              </w:rPr>
              <w:t>3.2968</w:t>
            </w:r>
          </w:p>
        </w:tc>
        <w:tc>
          <w:tcPr>
            <w:tcW w:type="dxa" w:w="1008"/>
            <w:tcMar>
              <w:top w:w="80" w:type="dxa"/>
              <w:bottom w:w="80" w:type="dxa"/>
              <w:left w:w="100" w:type="dxa"/>
              <w:right w:w="100" w:type="dxa"/>
            </w:tcMar>
          </w:tcPr>
          <w:p>
            <w:pPr>
              <w:jc w:val="center"/>
            </w:pPr>
            <w:r>
              <w:rPr>
                <w:sz w:val="18"/>
              </w:rPr>
              <w:t>-0.0420</w:t>
            </w:r>
          </w:p>
        </w:tc>
        <w:tc>
          <w:tcPr>
            <w:tcW w:type="dxa" w:w="1008"/>
            <w:tcMar>
              <w:top w:w="80" w:type="dxa"/>
              <w:bottom w:w="80" w:type="dxa"/>
              <w:left w:w="100" w:type="dxa"/>
              <w:right w:w="100" w:type="dxa"/>
            </w:tcMar>
          </w:tcPr>
          <w:p>
            <w:pPr>
              <w:jc w:val="center"/>
            </w:pPr>
            <w:r>
              <w:rPr>
                <w:sz w:val="18"/>
              </w:rPr>
              <w:t>3.2869</w:t>
            </w:r>
          </w:p>
        </w:tc>
        <w:tc>
          <w:tcPr>
            <w:tcW w:type="dxa" w:w="1152"/>
            <w:tcMar>
              <w:top w:w="80" w:type="dxa"/>
              <w:bottom w:w="80" w:type="dxa"/>
              <w:left w:w="100" w:type="dxa"/>
              <w:right w:w="100" w:type="dxa"/>
            </w:tcMar>
          </w:tcPr>
          <w:p>
            <w:pPr>
              <w:jc w:val="center"/>
            </w:pPr>
            <w:r>
              <w:rPr>
                <w:sz w:val="18"/>
              </w:rPr>
              <w:t>4.0093</w:t>
            </w:r>
          </w:p>
        </w:tc>
        <w:tc>
          <w:tcPr>
            <w:tcW w:type="dxa" w:w="864"/>
            <w:tcMar>
              <w:top w:w="80" w:type="dxa"/>
              <w:bottom w:w="80" w:type="dxa"/>
              <w:left w:w="100" w:type="dxa"/>
              <w:right w:w="100" w:type="dxa"/>
            </w:tcMar>
          </w:tcPr>
          <w:p>
            <w:pPr>
              <w:jc w:val="center"/>
            </w:pPr>
            <w:r>
              <w:rPr>
                <w:sz w:val="18"/>
              </w:rPr>
              <w:t>0.0426</w:t>
            </w:r>
          </w:p>
        </w:tc>
        <w:tc>
          <w:tcPr>
            <w:tcW w:type="dxa" w:w="1152"/>
            <w:tcMar>
              <w:top w:w="80" w:type="dxa"/>
              <w:bottom w:w="80" w:type="dxa"/>
              <w:left w:w="100" w:type="dxa"/>
              <w:right w:w="100" w:type="dxa"/>
            </w:tcMar>
          </w:tcPr>
          <w:p>
            <w:pPr>
              <w:jc w:val="center"/>
            </w:pPr>
            <w:r>
              <w:rPr>
                <w:sz w:val="18"/>
              </w:rPr>
              <w:t>47.1491%</w:t>
            </w:r>
          </w:p>
        </w:tc>
        <w:tc>
          <w:tcPr>
            <w:tcW w:type="dxa" w:w="1008"/>
            <w:tcMar>
              <w:top w:w="80" w:type="dxa"/>
              <w:bottom w:w="80" w:type="dxa"/>
              <w:left w:w="100" w:type="dxa"/>
              <w:right w:w="100" w:type="dxa"/>
            </w:tcMar>
            <w:shd w:fill="E8F8F5"/>
          </w:tcPr>
          <w:p>
            <w:pPr>
              <w:jc w:val="center"/>
            </w:pPr>
            <w:r>
              <w:rPr>
                <w:b/>
                <w:color w:val="16A085"/>
                <w:sz w:val="18"/>
              </w:rPr>
              <w:t>No</w:t>
            </w:r>
          </w:p>
        </w:tc>
      </w:tr>
      <w:tr>
        <w:tc>
          <w:tcPr>
            <w:tcW w:type="dxa" w:w="2592"/>
            <w:tcMar>
              <w:top w:w="80" w:type="dxa"/>
              <w:bottom w:w="80" w:type="dxa"/>
              <w:left w:w="100" w:type="dxa"/>
              <w:right w:w="100" w:type="dxa"/>
            </w:tcMar>
          </w:tcPr>
          <w:p>
            <w:pPr>
              <w:jc w:val="left"/>
            </w:pPr>
            <w:r>
              <w:rPr>
                <w:b/>
                <w:sz w:val="18"/>
              </w:rPr>
              <w:t>ARMA</w:t>
            </w:r>
          </w:p>
        </w:tc>
        <w:tc>
          <w:tcPr>
            <w:tcW w:type="dxa" w:w="1008"/>
            <w:tcMar>
              <w:top w:w="80" w:type="dxa"/>
              <w:bottom w:w="80" w:type="dxa"/>
              <w:left w:w="100" w:type="dxa"/>
              <w:right w:w="100" w:type="dxa"/>
            </w:tcMar>
          </w:tcPr>
          <w:p>
            <w:pPr>
              <w:jc w:val="center"/>
            </w:pPr>
            <w:r>
              <w:rPr>
                <w:sz w:val="18"/>
              </w:rPr>
              <w:t>1.9147</w:t>
            </w:r>
          </w:p>
        </w:tc>
        <w:tc>
          <w:tcPr>
            <w:tcW w:type="dxa" w:w="1008"/>
            <w:tcMar>
              <w:top w:w="80" w:type="dxa"/>
              <w:bottom w:w="80" w:type="dxa"/>
              <w:left w:w="100" w:type="dxa"/>
              <w:right w:w="100" w:type="dxa"/>
            </w:tcMar>
          </w:tcPr>
          <w:p>
            <w:pPr>
              <w:jc w:val="center"/>
            </w:pPr>
            <w:r>
              <w:rPr>
                <w:sz w:val="18"/>
              </w:rPr>
              <w:t>0.6368</w:t>
            </w:r>
          </w:p>
        </w:tc>
        <w:tc>
          <w:tcPr>
            <w:tcW w:type="dxa" w:w="1008"/>
            <w:tcMar>
              <w:top w:w="80" w:type="dxa"/>
              <w:bottom w:w="80" w:type="dxa"/>
              <w:left w:w="100" w:type="dxa"/>
              <w:right w:w="100" w:type="dxa"/>
            </w:tcMar>
          </w:tcPr>
          <w:p>
            <w:pPr>
              <w:jc w:val="center"/>
            </w:pPr>
            <w:r>
              <w:rPr>
                <w:sz w:val="18"/>
              </w:rPr>
              <w:t>3.3091</w:t>
            </w:r>
          </w:p>
        </w:tc>
        <w:tc>
          <w:tcPr>
            <w:tcW w:type="dxa" w:w="1152"/>
            <w:tcMar>
              <w:top w:w="80" w:type="dxa"/>
              <w:bottom w:w="80" w:type="dxa"/>
              <w:left w:w="100" w:type="dxa"/>
              <w:right w:w="100" w:type="dxa"/>
            </w:tcMar>
          </w:tcPr>
          <w:p>
            <w:pPr>
              <w:jc w:val="center"/>
            </w:pPr>
            <w:r>
              <w:rPr>
                <w:sz w:val="18"/>
              </w:rPr>
              <w:t>4.0219</w:t>
            </w:r>
          </w:p>
        </w:tc>
        <w:tc>
          <w:tcPr>
            <w:tcW w:type="dxa" w:w="864"/>
            <w:tcMar>
              <w:top w:w="80" w:type="dxa"/>
              <w:bottom w:w="80" w:type="dxa"/>
              <w:left w:w="100" w:type="dxa"/>
              <w:right w:w="100" w:type="dxa"/>
            </w:tcMar>
          </w:tcPr>
          <w:p>
            <w:pPr>
              <w:jc w:val="center"/>
            </w:pPr>
            <w:r>
              <w:rPr>
                <w:sz w:val="18"/>
              </w:rPr>
              <w:t>0.0387</w:t>
            </w:r>
          </w:p>
        </w:tc>
        <w:tc>
          <w:tcPr>
            <w:tcW w:type="dxa" w:w="1152"/>
            <w:tcMar>
              <w:top w:w="80" w:type="dxa"/>
              <w:bottom w:w="80" w:type="dxa"/>
              <w:left w:w="100" w:type="dxa"/>
              <w:right w:w="100" w:type="dxa"/>
            </w:tcMar>
          </w:tcPr>
          <w:p>
            <w:pPr>
              <w:jc w:val="center"/>
            </w:pPr>
            <w:r>
              <w:rPr>
                <w:sz w:val="18"/>
              </w:rPr>
              <w:t>45.5433%</w:t>
            </w:r>
          </w:p>
        </w:tc>
        <w:tc>
          <w:tcPr>
            <w:tcW w:type="dxa" w:w="1008"/>
            <w:tcMar>
              <w:top w:w="80" w:type="dxa"/>
              <w:bottom w:w="80" w:type="dxa"/>
              <w:left w:w="100" w:type="dxa"/>
              <w:right w:w="100" w:type="dxa"/>
            </w:tcMar>
            <w:shd w:fill="FDEDEC"/>
          </w:tcPr>
          <w:p>
            <w:pPr>
              <w:jc w:val="center"/>
            </w:pPr>
            <w:r>
              <w:rPr>
                <w:b/>
                <w:color w:val="CB4335"/>
                <w:sz w:val="18"/>
              </w:rPr>
              <w:t>Yes</w:t>
            </w:r>
          </w:p>
        </w:tc>
      </w:tr>
      <w:tr>
        <w:tc>
          <w:tcPr>
            <w:tcW w:type="dxa" w:w="2592"/>
            <w:tcMar>
              <w:top w:w="80" w:type="dxa"/>
              <w:bottom w:w="80" w:type="dxa"/>
              <w:left w:w="100" w:type="dxa"/>
              <w:right w:w="100" w:type="dxa"/>
            </w:tcMar>
          </w:tcPr>
          <w:p>
            <w:pPr>
              <w:jc w:val="left"/>
            </w:pPr>
            <w:r>
              <w:rPr>
                <w:b/>
                <w:sz w:val="18"/>
              </w:rPr>
              <w:t>MA</w:t>
            </w:r>
          </w:p>
        </w:tc>
        <w:tc>
          <w:tcPr>
            <w:tcW w:type="dxa" w:w="1008"/>
            <w:tcMar>
              <w:top w:w="80" w:type="dxa"/>
              <w:bottom w:w="80" w:type="dxa"/>
              <w:left w:w="100" w:type="dxa"/>
              <w:right w:w="100" w:type="dxa"/>
            </w:tcMar>
          </w:tcPr>
          <w:p>
            <w:pPr>
              <w:jc w:val="center"/>
            </w:pPr>
            <w:r>
              <w:rPr>
                <w:sz w:val="18"/>
              </w:rPr>
              <w:t>2.0810</w:t>
            </w:r>
          </w:p>
        </w:tc>
        <w:tc>
          <w:tcPr>
            <w:tcW w:type="dxa" w:w="1008"/>
            <w:tcMar>
              <w:top w:w="80" w:type="dxa"/>
              <w:bottom w:w="80" w:type="dxa"/>
              <w:left w:w="100" w:type="dxa"/>
              <w:right w:w="100" w:type="dxa"/>
            </w:tcMar>
          </w:tcPr>
          <w:p>
            <w:pPr>
              <w:jc w:val="center"/>
            </w:pPr>
            <w:r>
              <w:rPr>
                <w:sz w:val="18"/>
              </w:rPr>
              <w:t>0.5642</w:t>
            </w:r>
          </w:p>
        </w:tc>
        <w:tc>
          <w:tcPr>
            <w:tcW w:type="dxa" w:w="1008"/>
            <w:tcMar>
              <w:top w:w="80" w:type="dxa"/>
              <w:bottom w:w="80" w:type="dxa"/>
              <w:left w:w="100" w:type="dxa"/>
              <w:right w:w="100" w:type="dxa"/>
            </w:tcMar>
          </w:tcPr>
          <w:p>
            <w:pPr>
              <w:jc w:val="center"/>
            </w:pPr>
            <w:r>
              <w:rPr>
                <w:sz w:val="18"/>
              </w:rPr>
              <w:t>3.3894</w:t>
            </w:r>
          </w:p>
        </w:tc>
        <w:tc>
          <w:tcPr>
            <w:tcW w:type="dxa" w:w="1152"/>
            <w:tcMar>
              <w:top w:w="80" w:type="dxa"/>
              <w:bottom w:w="80" w:type="dxa"/>
              <w:left w:w="100" w:type="dxa"/>
              <w:right w:w="100" w:type="dxa"/>
            </w:tcMar>
          </w:tcPr>
          <w:p>
            <w:pPr>
              <w:jc w:val="center"/>
            </w:pPr>
            <w:r>
              <w:rPr>
                <w:sz w:val="18"/>
              </w:rPr>
              <w:t>4.1110</w:t>
            </w:r>
          </w:p>
        </w:tc>
        <w:tc>
          <w:tcPr>
            <w:tcW w:type="dxa" w:w="864"/>
            <w:tcMar>
              <w:top w:w="80" w:type="dxa"/>
              <w:bottom w:w="80" w:type="dxa"/>
              <w:left w:w="100" w:type="dxa"/>
              <w:right w:w="100" w:type="dxa"/>
            </w:tcMar>
          </w:tcPr>
          <w:p>
            <w:pPr>
              <w:jc w:val="center"/>
            </w:pPr>
            <w:r>
              <w:rPr>
                <w:sz w:val="18"/>
              </w:rPr>
              <w:t>-0.0043</w:t>
            </w:r>
          </w:p>
        </w:tc>
        <w:tc>
          <w:tcPr>
            <w:tcW w:type="dxa" w:w="1152"/>
            <w:tcMar>
              <w:top w:w="80" w:type="dxa"/>
              <w:bottom w:w="80" w:type="dxa"/>
              <w:left w:w="100" w:type="dxa"/>
              <w:right w:w="100" w:type="dxa"/>
            </w:tcMar>
          </w:tcPr>
          <w:p>
            <w:pPr>
              <w:jc w:val="center"/>
            </w:pPr>
            <w:r>
              <w:rPr>
                <w:sz w:val="18"/>
              </w:rPr>
              <w:t>42.5991%</w:t>
            </w:r>
          </w:p>
        </w:tc>
        <w:tc>
          <w:tcPr>
            <w:tcW w:type="dxa" w:w="1008"/>
            <w:tcMar>
              <w:top w:w="80" w:type="dxa"/>
              <w:bottom w:w="80" w:type="dxa"/>
              <w:left w:w="100" w:type="dxa"/>
              <w:right w:w="100" w:type="dxa"/>
            </w:tcMar>
            <w:shd w:fill="FDEDEC"/>
          </w:tcPr>
          <w:p>
            <w:pPr>
              <w:jc w:val="center"/>
            </w:pPr>
            <w:r>
              <w:rPr>
                <w:b/>
                <w:color w:val="CB4335"/>
                <w:sz w:val="18"/>
              </w:rPr>
              <w:t>Yes</w:t>
            </w:r>
          </w:p>
        </w:tc>
      </w:tr>
      <w:tr>
        <w:tc>
          <w:tcPr>
            <w:tcW w:type="dxa" w:w="2592"/>
            <w:tcMar>
              <w:top w:w="80" w:type="dxa"/>
              <w:bottom w:w="80" w:type="dxa"/>
              <w:left w:w="100" w:type="dxa"/>
              <w:right w:w="100" w:type="dxa"/>
            </w:tcMar>
          </w:tcPr>
          <w:p>
            <w:pPr>
              <w:jc w:val="left"/>
            </w:pPr>
            <w:r>
              <w:rPr>
                <w:b/>
                <w:sz w:val="18"/>
              </w:rPr>
              <w:t>SARIMA</w:t>
            </w:r>
          </w:p>
        </w:tc>
        <w:tc>
          <w:tcPr>
            <w:tcW w:type="dxa" w:w="1008"/>
            <w:tcMar>
              <w:top w:w="80" w:type="dxa"/>
              <w:bottom w:w="80" w:type="dxa"/>
              <w:left w:w="100" w:type="dxa"/>
              <w:right w:w="100" w:type="dxa"/>
            </w:tcMar>
          </w:tcPr>
          <w:p>
            <w:pPr>
              <w:jc w:val="center"/>
            </w:pPr>
            <w:r>
              <w:rPr>
                <w:sz w:val="18"/>
              </w:rPr>
              <w:t>1.9720</w:t>
            </w:r>
          </w:p>
        </w:tc>
        <w:tc>
          <w:tcPr>
            <w:tcW w:type="dxa" w:w="1008"/>
            <w:tcMar>
              <w:top w:w="80" w:type="dxa"/>
              <w:bottom w:w="80" w:type="dxa"/>
              <w:left w:w="100" w:type="dxa"/>
              <w:right w:w="100" w:type="dxa"/>
            </w:tcMar>
          </w:tcPr>
          <w:p>
            <w:pPr>
              <w:jc w:val="center"/>
            </w:pPr>
            <w:r>
              <w:rPr>
                <w:sz w:val="18"/>
              </w:rPr>
              <w:t>0.6107</w:t>
            </w:r>
          </w:p>
        </w:tc>
        <w:tc>
          <w:tcPr>
            <w:tcW w:type="dxa" w:w="1008"/>
            <w:tcMar>
              <w:top w:w="80" w:type="dxa"/>
              <w:bottom w:w="80" w:type="dxa"/>
              <w:left w:w="100" w:type="dxa"/>
              <w:right w:w="100" w:type="dxa"/>
            </w:tcMar>
          </w:tcPr>
          <w:p>
            <w:pPr>
              <w:jc w:val="center"/>
            </w:pPr>
            <w:r>
              <w:rPr>
                <w:sz w:val="18"/>
              </w:rPr>
              <w:t>4.0519</w:t>
            </w:r>
          </w:p>
        </w:tc>
        <w:tc>
          <w:tcPr>
            <w:tcW w:type="dxa" w:w="1152"/>
            <w:tcMar>
              <w:top w:w="80" w:type="dxa"/>
              <w:bottom w:w="80" w:type="dxa"/>
              <w:left w:w="100" w:type="dxa"/>
              <w:right w:w="100" w:type="dxa"/>
            </w:tcMar>
          </w:tcPr>
          <w:p>
            <w:pPr>
              <w:jc w:val="center"/>
            </w:pPr>
            <w:r>
              <w:rPr>
                <w:sz w:val="18"/>
              </w:rPr>
              <w:t>4.9773</w:t>
            </w:r>
          </w:p>
        </w:tc>
        <w:tc>
          <w:tcPr>
            <w:tcW w:type="dxa" w:w="864"/>
            <w:tcMar>
              <w:top w:w="80" w:type="dxa"/>
              <w:bottom w:w="80" w:type="dxa"/>
              <w:left w:w="100" w:type="dxa"/>
              <w:right w:w="100" w:type="dxa"/>
            </w:tcMar>
          </w:tcPr>
          <w:p>
            <w:pPr>
              <w:jc w:val="center"/>
            </w:pPr>
            <w:r>
              <w:rPr>
                <w:sz w:val="18"/>
              </w:rPr>
              <w:t>-0.4722</w:t>
            </w:r>
          </w:p>
        </w:tc>
        <w:tc>
          <w:tcPr>
            <w:tcW w:type="dxa" w:w="1152"/>
            <w:tcMar>
              <w:top w:w="80" w:type="dxa"/>
              <w:bottom w:w="80" w:type="dxa"/>
              <w:left w:w="100" w:type="dxa"/>
              <w:right w:w="100" w:type="dxa"/>
            </w:tcMar>
          </w:tcPr>
          <w:p>
            <w:pPr>
              <w:jc w:val="center"/>
            </w:pPr>
            <w:r>
              <w:rPr>
                <w:sz w:val="18"/>
              </w:rPr>
              <w:t>60.4025%</w:t>
            </w:r>
          </w:p>
        </w:tc>
        <w:tc>
          <w:tcPr>
            <w:tcW w:type="dxa" w:w="1008"/>
            <w:tcMar>
              <w:top w:w="80" w:type="dxa"/>
              <w:bottom w:w="80" w:type="dxa"/>
              <w:left w:w="100" w:type="dxa"/>
              <w:right w:w="100" w:type="dxa"/>
            </w:tcMar>
            <w:shd w:fill="FDEDEC"/>
          </w:tcPr>
          <w:p>
            <w:pPr>
              <w:jc w:val="center"/>
            </w:pPr>
            <w:r>
              <w:rPr>
                <w:b/>
                <w:color w:val="CB4335"/>
                <w:sz w:val="18"/>
              </w:rPr>
              <w:t>Yes</w:t>
            </w:r>
          </w:p>
        </w:tc>
      </w:tr>
      <w:tr>
        <w:tc>
          <w:tcPr>
            <w:tcW w:type="dxa" w:w="2592"/>
            <w:tcMar>
              <w:top w:w="80" w:type="dxa"/>
              <w:bottom w:w="80" w:type="dxa"/>
              <w:left w:w="100" w:type="dxa"/>
              <w:right w:w="100" w:type="dxa"/>
            </w:tcMar>
          </w:tcPr>
          <w:p>
            <w:pPr>
              <w:jc w:val="left"/>
            </w:pPr>
            <w:r>
              <w:rPr>
                <w:b/>
                <w:sz w:val="18"/>
              </w:rPr>
              <w:t>ARIMA</w:t>
            </w:r>
          </w:p>
        </w:tc>
        <w:tc>
          <w:tcPr>
            <w:tcW w:type="dxa" w:w="1008"/>
            <w:tcMar>
              <w:top w:w="80" w:type="dxa"/>
              <w:bottom w:w="80" w:type="dxa"/>
              <w:left w:w="100" w:type="dxa"/>
              <w:right w:w="100" w:type="dxa"/>
            </w:tcMar>
          </w:tcPr>
          <w:p>
            <w:pPr>
              <w:jc w:val="center"/>
            </w:pPr>
            <w:r>
              <w:rPr>
                <w:sz w:val="18"/>
              </w:rPr>
              <w:t>1.9295</w:t>
            </w:r>
          </w:p>
        </w:tc>
        <w:tc>
          <w:tcPr>
            <w:tcW w:type="dxa" w:w="1008"/>
            <w:tcMar>
              <w:top w:w="80" w:type="dxa"/>
              <w:bottom w:w="80" w:type="dxa"/>
              <w:left w:w="100" w:type="dxa"/>
              <w:right w:w="100" w:type="dxa"/>
            </w:tcMar>
          </w:tcPr>
          <w:p>
            <w:pPr>
              <w:jc w:val="center"/>
            </w:pPr>
            <w:r>
              <w:rPr>
                <w:sz w:val="18"/>
              </w:rPr>
              <w:t>0.6279</w:t>
            </w:r>
          </w:p>
        </w:tc>
        <w:tc>
          <w:tcPr>
            <w:tcW w:type="dxa" w:w="1008"/>
            <w:tcMar>
              <w:top w:w="80" w:type="dxa"/>
              <w:bottom w:w="80" w:type="dxa"/>
              <w:left w:w="100" w:type="dxa"/>
              <w:right w:w="100" w:type="dxa"/>
            </w:tcMar>
          </w:tcPr>
          <w:p>
            <w:pPr>
              <w:jc w:val="center"/>
            </w:pPr>
            <w:r>
              <w:rPr>
                <w:sz w:val="18"/>
              </w:rPr>
              <w:t>4.2984</w:t>
            </w:r>
          </w:p>
        </w:tc>
        <w:tc>
          <w:tcPr>
            <w:tcW w:type="dxa" w:w="1152"/>
            <w:tcMar>
              <w:top w:w="80" w:type="dxa"/>
              <w:bottom w:w="80" w:type="dxa"/>
              <w:left w:w="100" w:type="dxa"/>
              <w:right w:w="100" w:type="dxa"/>
            </w:tcMar>
          </w:tcPr>
          <w:p>
            <w:pPr>
              <w:jc w:val="center"/>
            </w:pPr>
            <w:r>
              <w:rPr>
                <w:sz w:val="18"/>
              </w:rPr>
              <w:t>5.2523</w:t>
            </w:r>
          </w:p>
        </w:tc>
        <w:tc>
          <w:tcPr>
            <w:tcW w:type="dxa" w:w="864"/>
            <w:tcMar>
              <w:top w:w="80" w:type="dxa"/>
              <w:bottom w:w="80" w:type="dxa"/>
              <w:left w:w="100" w:type="dxa"/>
              <w:right w:w="100" w:type="dxa"/>
            </w:tcMar>
          </w:tcPr>
          <w:p>
            <w:pPr>
              <w:jc w:val="center"/>
            </w:pPr>
            <w:r>
              <w:rPr>
                <w:sz w:val="18"/>
              </w:rPr>
              <w:t>-0.6394</w:t>
            </w:r>
          </w:p>
        </w:tc>
        <w:tc>
          <w:tcPr>
            <w:tcW w:type="dxa" w:w="1152"/>
            <w:tcMar>
              <w:top w:w="80" w:type="dxa"/>
              <w:bottom w:w="80" w:type="dxa"/>
              <w:left w:w="100" w:type="dxa"/>
              <w:right w:w="100" w:type="dxa"/>
            </w:tcMar>
          </w:tcPr>
          <w:p>
            <w:pPr>
              <w:jc w:val="center"/>
            </w:pPr>
            <w:r>
              <w:rPr>
                <w:sz w:val="18"/>
              </w:rPr>
              <w:t>63.8411%</w:t>
            </w:r>
          </w:p>
        </w:tc>
        <w:tc>
          <w:tcPr>
            <w:tcW w:type="dxa" w:w="1008"/>
            <w:tcMar>
              <w:top w:w="80" w:type="dxa"/>
              <w:bottom w:w="80" w:type="dxa"/>
              <w:left w:w="100" w:type="dxa"/>
              <w:right w:w="100" w:type="dxa"/>
            </w:tcMar>
            <w:shd w:fill="FDEDEC"/>
          </w:tcPr>
          <w:p>
            <w:pPr>
              <w:jc w:val="center"/>
            </w:pPr>
            <w:r>
              <w:rPr>
                <w:b/>
                <w:color w:val="CB4335"/>
                <w:sz w:val="18"/>
              </w:rPr>
              <w:t>Yes</w:t>
            </w:r>
          </w:p>
        </w:tc>
      </w:tr>
      <w:tr>
        <w:tc>
          <w:tcPr>
            <w:tcW w:type="dxa" w:w="2592"/>
            <w:tcMar>
              <w:top w:w="80" w:type="dxa"/>
              <w:bottom w:w="80" w:type="dxa"/>
              <w:left w:w="100" w:type="dxa"/>
              <w:right w:w="100" w:type="dxa"/>
            </w:tcMar>
          </w:tcPr>
          <w:p>
            <w:pPr>
              <w:jc w:val="left"/>
            </w:pPr>
            <w:r>
              <w:rPr>
                <w:b/>
                <w:sz w:val="18"/>
              </w:rPr>
              <w:t>Holt-Winters</w:t>
            </w:r>
          </w:p>
        </w:tc>
        <w:tc>
          <w:tcPr>
            <w:tcW w:type="dxa" w:w="1008"/>
            <w:tcMar>
              <w:top w:w="80" w:type="dxa"/>
              <w:bottom w:w="80" w:type="dxa"/>
              <w:left w:w="100" w:type="dxa"/>
              <w:right w:w="100" w:type="dxa"/>
            </w:tcMar>
          </w:tcPr>
          <w:p>
            <w:pPr>
              <w:jc w:val="center"/>
            </w:pPr>
            <w:r>
              <w:rPr>
                <w:sz w:val="18"/>
              </w:rPr>
              <w:t>1.9849</w:t>
            </w:r>
          </w:p>
        </w:tc>
        <w:tc>
          <w:tcPr>
            <w:tcW w:type="dxa" w:w="1008"/>
            <w:tcMar>
              <w:top w:w="80" w:type="dxa"/>
              <w:bottom w:w="80" w:type="dxa"/>
              <w:left w:w="100" w:type="dxa"/>
              <w:right w:w="100" w:type="dxa"/>
            </w:tcMar>
          </w:tcPr>
          <w:p>
            <w:pPr>
              <w:jc w:val="center"/>
            </w:pPr>
            <w:r>
              <w:rPr>
                <w:sz w:val="18"/>
              </w:rPr>
              <w:t>0.6123</w:t>
            </w:r>
          </w:p>
        </w:tc>
        <w:tc>
          <w:tcPr>
            <w:tcW w:type="dxa" w:w="1008"/>
            <w:tcMar>
              <w:top w:w="80" w:type="dxa"/>
              <w:bottom w:w="80" w:type="dxa"/>
              <w:left w:w="100" w:type="dxa"/>
              <w:right w:w="100" w:type="dxa"/>
            </w:tcMar>
          </w:tcPr>
          <w:p>
            <w:pPr>
              <w:jc w:val="center"/>
            </w:pPr>
            <w:r>
              <w:rPr>
                <w:sz w:val="18"/>
              </w:rPr>
              <w:t>48.1421</w:t>
            </w:r>
          </w:p>
        </w:tc>
        <w:tc>
          <w:tcPr>
            <w:tcW w:type="dxa" w:w="1152"/>
            <w:tcMar>
              <w:top w:w="80" w:type="dxa"/>
              <w:bottom w:w="80" w:type="dxa"/>
              <w:left w:w="100" w:type="dxa"/>
              <w:right w:w="100" w:type="dxa"/>
            </w:tcMar>
          </w:tcPr>
          <w:p>
            <w:pPr>
              <w:jc w:val="center"/>
            </w:pPr>
            <w:r>
              <w:rPr>
                <w:sz w:val="18"/>
              </w:rPr>
              <w:t>54.6359</w:t>
            </w:r>
          </w:p>
        </w:tc>
        <w:tc>
          <w:tcPr>
            <w:tcW w:type="dxa" w:w="864"/>
            <w:tcMar>
              <w:top w:w="80" w:type="dxa"/>
              <w:bottom w:w="80" w:type="dxa"/>
              <w:left w:w="100" w:type="dxa"/>
              <w:right w:w="100" w:type="dxa"/>
            </w:tcMar>
          </w:tcPr>
          <w:p>
            <w:pPr>
              <w:jc w:val="center"/>
            </w:pPr>
            <w:r>
              <w:rPr>
                <w:sz w:val="18"/>
              </w:rPr>
              <w:t>-176.3918</w:t>
            </w:r>
          </w:p>
        </w:tc>
        <w:tc>
          <w:tcPr>
            <w:tcW w:type="dxa" w:w="1152"/>
            <w:tcMar>
              <w:top w:w="80" w:type="dxa"/>
              <w:bottom w:w="80" w:type="dxa"/>
              <w:left w:w="100" w:type="dxa"/>
              <w:right w:w="100" w:type="dxa"/>
            </w:tcMar>
          </w:tcPr>
          <w:p>
            <w:pPr>
              <w:jc w:val="center"/>
            </w:pPr>
            <w:r>
              <w:rPr>
                <w:sz w:val="18"/>
              </w:rPr>
              <w:t>497.8086%</w:t>
            </w:r>
          </w:p>
        </w:tc>
        <w:tc>
          <w:tcPr>
            <w:tcW w:type="dxa" w:w="1008"/>
            <w:tcMar>
              <w:top w:w="80" w:type="dxa"/>
              <w:bottom w:w="80" w:type="dxa"/>
              <w:left w:w="100" w:type="dxa"/>
              <w:right w:w="100" w:type="dxa"/>
            </w:tcMar>
            <w:shd w:fill="FDEDEC"/>
          </w:tcPr>
          <w:p>
            <w:pPr>
              <w:jc w:val="center"/>
            </w:pPr>
            <w:r>
              <w:rPr>
                <w:b/>
                <w:color w:val="CB4335"/>
                <w:sz w:val="18"/>
              </w:rPr>
              <w:t>Yes</w:t>
            </w:r>
          </w:p>
        </w:tc>
      </w:tr>
    </w:tbl>
    <w:p>
      <w:pPr>
        <w:spacing w:before="160" w:after="240"/>
      </w:pPr>
    </w:p>
    <w:p>
      <w:pPr>
        <w:keepNext/>
        <w:spacing w:before="240" w:after="120"/>
      </w:pPr>
      <w:r>
        <w:rPr>
          <w:b/>
          <w:color w:val="302B63"/>
          <w:sz w:val="28"/>
        </w:rPr>
        <w:t>5.1 Analytical Insights</w:t>
      </w:r>
    </w:p>
    <w:p>
      <w:pPr>
        <w:spacing w:after="240"/>
      </w:pPr>
      <w:r>
        <w:t>1. Superb Deep Learning Performance:</w:t>
        <w:br/>
        <w:t>The Gated Recurrent Unit (GRU) and Recurrent Neural Network (RNN) achieved the highest generalization score on the test set, with Test R² of 0.7020 and 0.7051, respectively. Unlike tree-based algorithms, they maintained excellent generalization without overfitting, making them highly reliable for long-term sequence prediction.</w:t>
        <w:br/>
        <w:br/>
        <w:t>2. Random Forest Overfitting:</w:t>
        <w:br/>
        <w:t>While Random Forest achieved the absolute lowest Test MAE (1.7043 °C), it shows a significant performance gap between training and testing (Train R² of 0.9310 vs Test R² of 0.6858). This suggests that the tree ensemble heavily memorized the training patterns (e.g. year-specific variations) and struggles slightly when exposed to new shifts in the test period.</w:t>
        <w:br/>
        <w:br/>
        <w:t>3. Linear Regression Stability:</w:t>
        <w:br/>
        <w:t>The simple Linear Regression model, backed by our rigorous Fourier seasonal features, calendar variables, and lag features, performed remarkably well. It achieved a Test MAE of 1.7211 °C and a Test R² of 0.6828, showing zero overfitting (Train R² of 0.6655). Due to its minimal computational cost and lack of hyperparameter tuning, it serves as an exceptional, highly-interpretable baseline.</w:t>
        <w:br/>
        <w:br/>
        <w:t>4. Failure of Classical Models on Long Horizons:</w:t>
        <w:br/>
        <w:t>Classical statistical models like ARIMA and SARIMA showed poor performance on the test set (Test R² of -0.6394 and -0.4722, respectively). This is because these models are designed for short-term, single-step forecasting. Over a 2-year test window, cumulative errors propagate exponentially since the model lacks true feedback loops and self-correction. Holt-Winters failed completely due to seasonal drift divergence.</w:t>
      </w:r>
    </w:p>
    <w:p>
      <w:pPr>
        <w:keepNext/>
        <w:spacing w:before="240" w:after="120"/>
        <w:pBdr>
          <w:bottom w:val="single" w:sz="12" w:space="4" w:color="2ECC71"/>
        </w:pBdr>
      </w:pPr>
      <w:r>
        <w:rPr>
          <w:b/>
          <w:color w:val="0F0C29"/>
          <w:sz w:val="36"/>
        </w:rPr>
        <w:t>6. Streamlit Web Application</w:t>
      </w:r>
    </w:p>
    <w:p>
      <w:pPr>
        <w:spacing w:after="240"/>
      </w:pPr>
      <w:r>
        <w:t>To make these findings accessible and interactive for end-users, a responsive Streamlit web application was designed and deployed. The application provides a premium user interface with a dark glassmorphic theme and consists of the following modules:</w:t>
        <w:br/>
        <w:t>• Historical Data Explorer: Provides high-level KPIs (Mean, Min, Max temperatures) and interactive rolling average charts.</w:t>
        <w:br/>
        <w:t>• Interactive Forecast Explorer: Allows the user to select any model and adjust the forecast horizon (from 7 to 365 days) and rolling average window. It dynamically runs statistical predictions and displays 95% confidence intervals.</w:t>
        <w:br/>
        <w:t>• Model Comparison: Renders a styled comparison table comparing metrics across all 18 models, complete with bar charts of Test MAE and R² comparisons.</w:t>
        <w:br/>
        <w:t>• EDA Dashboard: Hosts interactive histograms of the temperature distribution, monthly boxplots, year-over-year line charts, and ACF/PACF plots.</w:t>
      </w:r>
    </w:p>
    <w:p>
      <w:pPr>
        <w:keepNext/>
        <w:spacing w:before="240" w:after="120"/>
        <w:pBdr>
          <w:bottom w:val="single" w:sz="12" w:space="4" w:color="2ECC71"/>
        </w:pBdr>
      </w:pPr>
      <w:r>
        <w:rPr>
          <w:b/>
          <w:color w:val="0F0C29"/>
          <w:sz w:val="36"/>
        </w:rPr>
        <w:t>7. Conclusion and Recommendations</w:t>
      </w:r>
    </w:p>
    <w:p>
      <w:pPr>
        <w:spacing w:after="480"/>
      </w:pPr>
      <w:r>
        <w:t>Based on the results, the following actions are recommended:</w:t>
        <w:br/>
        <w:t>1. Deployment Choice: For high-accuracy operations where server GPU resources are available, the GRU or RNN deep learning models should be deployed. For lightweight, resource-constrained, or highly interpretable setups, the Linear Regression model utilizing engineered Fourier terms is the recommended option due to its stability and lack of overfitting.</w:t>
        <w:br/>
        <w:t>2. Regular Retraining: Models should be retrained periodically (e.g. monthly or quarterly) to account for climate shift and multi-year cyclical changes.</w:t>
        <w:br/>
        <w:t>3. Future Expansion: Incorporating exogenous variables (such as daily humidity, wind speed, solar radiation, and pressure) into a multivariate framework could help capture sudden weather front changes and improve the forecasting precision of ML models further.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