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ab-4-analisis-regulasi-daerah"/>
    <w:p>
      <w:pPr>
        <w:pStyle w:val="Heading1"/>
      </w:pPr>
      <w:r>
        <w:t xml:space="preserve">BAB 4. ANALISIS REGULASI DAERAH</w:t>
      </w:r>
    </w:p>
    <w:p>
      <w:pPr>
        <w:pStyle w:val="FirstParagraph"/>
      </w:pPr>
      <w:r>
        <w:t xml:space="preserve">Bab ini mendiagnosis bagaimana regulasi yang berlaku di Kota Jayapura mengatur penanggulangan HIV, dan bagaimana aturan itu melindungi atau membebani hak orang dengan HIV (ODHIV) dan populasi kunci. Pertanyaannya: apa yang tertulis, hak siapa yang disentuh, melalui mekanisme apa, dan bagaimana norma berubah dari tingkat nasional ke Provinsi Papua lalu ke Kota Jayapura. Bab ini adalah bab diagnosis, bukan bab rekomendasi.</w:t>
      </w:r>
    </w:p>
    <w:p>
      <w:pPr>
        <w:pStyle w:val="BodyText"/>
      </w:pPr>
      <w:r>
        <w:t xml:space="preserve">Kota Jayapura tidak diatur hanya oleh peraturan kota. Peraturan Daerah Provinsi Papua berlaku langsung di wilayah kota, dan sebagian norma yang paling menentukan bagi ODHIV dan populasi kunci justru berada di tingkat provinsi. Dalam korpus yang diperiksa, aturan ketertiban umum dan aturan narkotika, psikotropika, dan zat adiktif (NAPZA) hanya ditemukan di tingkat provinsi. Karena itu, bab ini selalu membaca instrumen kota bersama instrumen provinsi. Kerangka nasional dipakai sebagai pembanding normatif.</w:t>
      </w:r>
    </w:p>
    <w:p>
      <w:pPr>
        <w:pStyle w:val="BodyText"/>
      </w:pPr>
      <w:r>
        <w:t xml:space="preserve">Dalam Human Rights Impact Assessment (HRIA), regulasi adalah salah satu jalur utama negara memengaruhi pemenuhan hak: satu pasal dapat membuka akses layanan, sementara pasal lain dapat membuat orang enggan datang ke layanan yang sama. Dalam Regulatory Impact Assessment (RIA), pertanyaannya adalah apakah pengaman nasional terbawa ke daerah, menyempit, hilang, atau justru ditambah beban baru. Bab ini memakai satu rantai analisis untuk keduanya: instrumen, pasal, siapa yang terpapar, hak yang dilindungi atau dibebani, mekanisme yang mungkin terbentuk, hubungan dengan aturan lain, status bukti, dan batas klaim.</w:t>
      </w:r>
    </w:p>
    <w:p>
      <w:pPr>
        <w:pStyle w:val="BodyText"/>
      </w:pPr>
      <w:r>
        <w:t xml:space="preserve">Analisis ini berbasis teks regulasi (tingkat bukti R-1). Laporan sumbernya berstatus</w:t>
      </w:r>
      <w:r>
        <w:t xml:space="preserve"> </w:t>
      </w:r>
      <w:r>
        <w:rPr>
          <w:iCs/>
          <w:i/>
        </w:rPr>
        <w:t xml:space="preserve">draf analitik berbantuan mesin yang belum ditelaah manusia</w:t>
      </w:r>
      <w:r>
        <w:t xml:space="preserve">, dan belum ada data penegakan (R-2), layanan (R-3), kesaksian (R-4), maupun pengaduan (R-5) untuk Jayapura. Bab ini memakai empat tingkat bahasa:</w:t>
      </w:r>
      <w:r>
        <w:t xml:space="preserve"> </w:t>
      </w:r>
      <w:r>
        <w:rPr>
          <w:iCs/>
          <w:i/>
        </w:rPr>
        <w:t xml:space="preserve">Isi aturan</w:t>
      </w:r>
      <w:r>
        <w:t xml:space="preserve"> </w:t>
      </w:r>
      <w:r>
        <w:t xml:space="preserve">untuk apa yang tertulis dalam pasal;</w:t>
      </w:r>
      <w:r>
        <w:t xml:space="preserve"> </w:t>
      </w:r>
      <w:r>
        <w:rPr>
          <w:iCs/>
          <w:i/>
        </w:rPr>
        <w:t xml:space="preserve">Analisis</w:t>
      </w:r>
      <w:r>
        <w:t xml:space="preserve"> </w:t>
      </w:r>
      <w:r>
        <w:t xml:space="preserve">untuk arti atau hubungan normatif yang diturunkan dari teks;</w:t>
      </w:r>
      <w:r>
        <w:t xml:space="preserve"> </w:t>
      </w:r>
      <w:r>
        <w:rPr>
          <w:iCs/>
          <w:i/>
        </w:rPr>
        <w:t xml:space="preserve">Risiko yang perlu dibuktikan</w:t>
      </w:r>
      <w:r>
        <w:t xml:space="preserve"> </w:t>
      </w:r>
      <w:r>
        <w:t xml:space="preserve">untuk akibat yang masuk akal tetapi belum didukung data; dan</w:t>
      </w:r>
      <w:r>
        <w:t xml:space="preserve"> </w:t>
      </w:r>
      <w:r>
        <w:rPr>
          <w:iCs/>
          <w:i/>
        </w:rPr>
        <w:t xml:space="preserve">Belum dapat dinilai</w:t>
      </w:r>
      <w:r>
        <w:t xml:space="preserve"> </w:t>
      </w:r>
      <w:r>
        <w:t xml:space="preserve">bila dokumen, status hukum, atau bukti belum tersedia. Dampak aktual diuji kemudian dengan bukti pelaksanaan, layanan, kesaksian, dan pengaduan di BAB 5.</w:t>
      </w:r>
    </w:p>
    <w:bookmarkStart w:id="28" w:name="X9f58d29c8e8afaef245263966b8aecfaef7c302"/>
    <w:p>
      <w:pPr>
        <w:pStyle w:val="Heading2"/>
      </w:pPr>
      <w:r>
        <w:t xml:space="preserve">4.1 Pemetaan Regulasi dan Dampaknya terhadap Hak Asasi Manusia</w:t>
      </w:r>
    </w:p>
    <w:bookmarkStart w:id="20" w:name="Xfb764943546feea3dc7bb8541490daafd497859"/>
    <w:p>
      <w:pPr>
        <w:pStyle w:val="Heading3"/>
      </w:pPr>
      <w:r>
        <w:t xml:space="preserve">4.1.1 Ruang Lingkup, Korpus Regulasi, dan Status Bukti</w:t>
      </w:r>
    </w:p>
    <w:p>
      <w:pPr>
        <w:pStyle w:val="FirstParagraph"/>
      </w:pPr>
      <w:r>
        <w:rPr>
          <w:bCs/>
          <w:b/>
        </w:rPr>
        <w:t xml:space="preserve">Temuan utama.</w:t>
      </w:r>
      <w:r>
        <w:t xml:space="preserve"> </w:t>
      </w:r>
      <w:r>
        <w:t xml:space="preserve">Korpus Jayapura terdiri atas tujuh instrumen daerah: empat instrumen kota (satu historis) dan tiga instrumen provinsi. Hanya tiga yang status "Berlaku"-nya terkonfirmasi di JDIH BPK, dan keenam instrumen daerah yang berlaku ditandai sebagai kandidat dasar hukum usang (STALE-CANDIDATE).</w:t>
      </w:r>
    </w:p>
    <w:p>
      <w:pPr>
        <w:pStyle w:val="BodyText"/>
      </w:pPr>
      <w:r>
        <w:rPr>
          <w:iCs/>
          <w:i/>
        </w:rPr>
        <w:t xml:space="preserve">Instrumen kota.</w:t>
      </w:r>
      <w:r>
        <w:t xml:space="preserve"> </w:t>
      </w:r>
      <w:r>
        <w:t xml:space="preserve">Instrumen inti adalah Perda Kota Jayapura 16/2011 tentang Pencegahan dan Penanggulangan IMS, HIV dan AIDS, yang mencabut Perda Kota 7/2006 melalui Pasal 11. Perda 2006 tetap dibaca sebagai pembanding karena memuat pengaman tes yang tidak lagi tertulis pada 2011. Dua instrumen kota terbaru adalah Perwali 7/2024 tentang jam pelayanan Puskesmas, Klinik Pelayanan Kesehatan Reproduksi (PKR), dan Public Safety Center (PSC), serta Perda Kota 26/2024 tentang Pemberdayaan dan Perlindungan Perempuan.</w:t>
      </w:r>
    </w:p>
    <w:p>
      <w:pPr>
        <w:pStyle w:val="BodyText"/>
      </w:pPr>
      <w:r>
        <w:rPr>
          <w:iCs/>
          <w:i/>
        </w:rPr>
        <w:t xml:space="preserve">Instrumen provinsi yang berlaku di kota.</w:t>
      </w:r>
      <w:r>
        <w:t xml:space="preserve"> </w:t>
      </w:r>
      <w:r>
        <w:t xml:space="preserve">Perda Provinsi Papua 8/2010 jo. 10/2021 tentang HIV dan AIDS, Perda Provinsi 6/2018 tentang Penanggulangan Penyalahgunaan NAPZA, dan Perda Provinsi 8/2016 tentang Ketertiban dan Ketenteraman. Untuk Perda HIV provinsi, folder hanya memuat teks perubahan 2021; pasal Perda 8/2010 yang tidak diubah tidak dapat dinilai.</w:t>
      </w:r>
    </w:p>
    <w:p>
      <w:pPr>
        <w:pStyle w:val="BodyText"/>
      </w:pPr>
      <w:r>
        <w:rPr>
          <w:iCs/>
          <w:i/>
        </w:rPr>
        <w:t xml:space="preserve">Kerangka nasional pembanding.</w:t>
      </w:r>
      <w:r>
        <w:t xml:space="preserve"> </w:t>
      </w:r>
      <w:r>
        <w:t xml:space="preserve">UU 17/2023 tentang Kesehatan, PP 28/2024, dan Permenkes 3/2026, yang mencabut Permenkes 23/2022 kecuali Pasal 41 dan Lampiran. Lampiran itu kini berfungsi sebagai pedoman sementara. Untuk pengaman tertentu, laporan sumber juga memakai UU 27/2022 tentang Pelindungan Data Pribadi, Kepmenakertrans 68/2004, UU 23/2014, Permendagri 59/2021, dan Perpres 124/2016.</w:t>
      </w:r>
    </w:p>
    <w:p>
      <w:pPr>
        <w:pStyle w:val="BodyText"/>
      </w:pPr>
      <w:r>
        <w:rPr>
          <w:iCs/>
          <w:i/>
        </w:rPr>
        <w:t xml:space="preserve">Empat status yang perlu dibedakan.</w:t>
      </w:r>
      <w:r>
        <w:t xml:space="preserve"> </w:t>
      </w:r>
      <w:r>
        <w:rPr>
          <w:bCs/>
          <w:b/>
        </w:rPr>
        <w:t xml:space="preserve">Berlaku (terkonfirmasi)</w:t>
      </w:r>
      <w:r>
        <w:t xml:space="preserve">: Perda Kota 16/2011, Perda Provinsi 6/2018, dan Perda Provinsi 10/2021 (JDIH BPK, 5 Oktober 2026).</w:t>
      </w:r>
      <w:r>
        <w:t xml:space="preserve"> </w:t>
      </w:r>
      <w:r>
        <w:rPr>
          <w:bCs/>
          <w:b/>
        </w:rPr>
        <w:t xml:space="preserve">Historis/superseded</w:t>
      </w:r>
      <w:r>
        <w:t xml:space="preserve">: Perda Kota 7/2006, yang statusnya konsisten dengan teks korpus berdasarkan sumber sekunder, dan Permenkes 21/2013.</w:t>
      </w:r>
      <w:r>
        <w:t xml:space="preserve"> </w:t>
      </w:r>
      <w:r>
        <w:rPr>
          <w:bCs/>
          <w:b/>
        </w:rPr>
        <w:t xml:space="preserve">STALE-CANDIDATE</w:t>
      </w:r>
      <w:r>
        <w:t xml:space="preserve">: keenam instrumen daerah yang berlaku, karena masih merujuk aturan yang sudah dicabut atau diubah; label ini menunjuk masalah keterlacakan, bukan pembatalan.</w:t>
      </w:r>
      <w:r>
        <w:t xml:space="preserve"> </w:t>
      </w:r>
      <w:r>
        <w:rPr>
          <w:bCs/>
          <w:b/>
        </w:rPr>
        <w:t xml:space="preserve">BELUM_TERVERIFIKASI</w:t>
      </w:r>
      <w:r>
        <w:t xml:space="preserve">: Perwali 7/2024, Perda Kota 26/2024, dan Perda Provinsi 8/2016; status ini tidak berarti aturan itu tidak berlaku.</w:t>
      </w:r>
    </w:p>
    <w:p>
      <w:pPr>
        <w:pStyle w:val="BodyText"/>
      </w:pPr>
      <w:r>
        <w:rPr>
          <w:iCs/>
          <w:i/>
        </w:rPr>
        <w:t xml:space="preserve">Keterbatasan korpus.</w:t>
      </w:r>
      <w:r>
        <w:t xml:space="preserve"> </w:t>
      </w:r>
      <w:r>
        <w:t xml:space="preserve">Belum ditemukan di folder: naskah dasar Perda Provinsi 8/2010, Keputusan Walikota tentang KPA Kota, Keputusan Gubernur tentang pengurus KPA, dua Peraturan Gubernur turunan Perda NAPZA, pedoman PITC yang dirujuk Perda Kota 16/2011, SOP Puskesmas/PKR, pedoman teknis HIV menurut Pasal 96 huruf a Permenkes 3/2026, serta instrumen kota tentang ketertiban, pembiayaan, dan ketenagakerjaan. Belum ditemukan tidak sama dengan tidak diatur. Mutu sebagian naskah juga terbatas; misalnya, Perda Kota 26/2024 memuat catatan penyusunan sehingga status naskah finalnya belum pasti. Data R-2 sampai R-5 belum tersedia, dan 18 dari 25 kandidat isu dalam laporan sumber ditandai perlu telaah manusia.</w:t>
      </w:r>
    </w:p>
    <w:p>
      <w:pPr>
        <w:pStyle w:val="BodyText"/>
      </w:pPr>
      <w:r>
        <w:rPr>
          <w:bCs/>
          <w:b/>
        </w:rPr>
        <w:t xml:space="preserve">Exhibit 4.1. Peta korpus regulasi: Nasional → Provinsi Papua → Kota Jayapura</w:t>
      </w:r>
    </w:p>
    <w:tbl>
      <w:tblPr>
        <w:tblStyle w:val="Table"/>
        <w:tblW w:type="dxa" w:w="8787"/>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94"/>
        <w:gridCol w:w="941"/>
        <w:gridCol w:w="1621"/>
        <w:gridCol w:w="2098"/>
        <w:gridCol w:w="2532"/>
      </w:tblGrid>
      <w:tr>
        <w:trPr>
          <w:tblHeader w:val="true"/>
        </w:trPr>
        <w:tc>
          <w:tcPr>
            <w:tcW w:type="dxa" w:w="1595"/>
          </w:tcPr>
          <w:p>
            <w:pPr>
              <w:pStyle w:val="Compact"/>
              <w:spacing w:line="240" w:lineRule="auto" w:after="20" w:before="20"/>
              <w:jc w:val="left"/>
            </w:pPr>
            <w:r>
              <w:rPr>
                <w:rFonts w:ascii="Times New Roman" w:hAnsi="Times New Roman"/>
                <w:b/>
                <w:sz w:val="18"/>
              </w:rPr>
              <w:t xml:space="preserve">Instrumen</w:t>
            </w:r>
          </w:p>
        </w:tc>
        <w:tc>
          <w:tcPr>
            <w:tcW w:type="dxa" w:w="941"/>
          </w:tcPr>
          <w:p>
            <w:pPr>
              <w:pStyle w:val="Compact"/>
              <w:spacing w:line="240" w:lineRule="auto" w:after="20" w:before="20"/>
              <w:jc w:val="left"/>
            </w:pPr>
            <w:r>
              <w:rPr>
                <w:rFonts w:ascii="Times New Roman" w:hAnsi="Times New Roman"/>
                <w:b/>
                <w:sz w:val="18"/>
              </w:rPr>
              <w:t xml:space="preserve">Tingkat</w:t>
            </w:r>
          </w:p>
        </w:tc>
        <w:tc>
          <w:tcPr>
            <w:tcW w:type="dxa" w:w="1621"/>
          </w:tcPr>
          <w:p>
            <w:pPr>
              <w:pStyle w:val="Compact"/>
              <w:spacing w:line="240" w:lineRule="auto" w:after="20" w:before="20"/>
              <w:jc w:val="left"/>
            </w:pPr>
            <w:r>
              <w:rPr>
                <w:rFonts w:ascii="Times New Roman" w:hAnsi="Times New Roman"/>
                <w:b/>
                <w:sz w:val="18"/>
              </w:rPr>
              <w:t xml:space="preserve">Fungsi utama</w:t>
            </w:r>
          </w:p>
        </w:tc>
        <w:tc>
          <w:tcPr>
            <w:tcW w:type="dxa" w:w="2099"/>
          </w:tcPr>
          <w:p>
            <w:pPr>
              <w:pStyle w:val="Compact"/>
              <w:spacing w:line="240" w:lineRule="auto" w:after="20" w:before="20"/>
              <w:jc w:val="left"/>
            </w:pPr>
            <w:r>
              <w:rPr>
                <w:rFonts w:ascii="Times New Roman" w:hAnsi="Times New Roman"/>
                <w:b/>
                <w:sz w:val="18"/>
              </w:rPr>
              <w:t xml:space="preserve">Status dalam korpus</w:t>
            </w:r>
          </w:p>
        </w:tc>
        <w:tc>
          <w:tcPr>
            <w:tcW w:type="dxa" w:w="2532"/>
          </w:tcPr>
          <w:p>
            <w:pPr>
              <w:pStyle w:val="Compact"/>
              <w:spacing w:line="240" w:lineRule="auto" w:after="20" w:before="20"/>
              <w:jc w:val="left"/>
            </w:pPr>
            <w:r>
              <w:rPr>
                <w:rFonts w:ascii="Times New Roman" w:hAnsi="Times New Roman"/>
                <w:b/>
                <w:sz w:val="18"/>
              </w:rPr>
              <w:t xml:space="preserve">Relevansi terhadap HRIA</w:t>
            </w:r>
          </w:p>
        </w:tc>
      </w:tr>
      <w:tr>
        <w:tc>
          <w:tcPr>
            <w:tcW w:type="dxa" w:w="1595"/>
          </w:tcPr>
          <w:p>
            <w:pPr>
              <w:pStyle w:val="Compact"/>
              <w:spacing w:line="240" w:lineRule="auto" w:after="20" w:before="20"/>
              <w:jc w:val="left"/>
            </w:pPr>
            <w:r>
              <w:rPr>
                <w:rFonts w:ascii="Times New Roman" w:hAnsi="Times New Roman"/>
                <w:sz w:val="18"/>
              </w:rPr>
              <w:t xml:space="preserve">UU 17/2023; PP 28/2024</w:t>
            </w:r>
          </w:p>
        </w:tc>
        <w:tc>
          <w:tcPr>
            <w:tcW w:type="dxa" w:w="941"/>
          </w:tcPr>
          <w:p>
            <w:pPr>
              <w:pStyle w:val="Compact"/>
              <w:spacing w:line="240" w:lineRule="auto" w:after="20" w:before="20"/>
              <w:jc w:val="left"/>
            </w:pPr>
            <w:r>
              <w:rPr>
                <w:rFonts w:ascii="Times New Roman" w:hAnsi="Times New Roman"/>
                <w:sz w:val="18"/>
              </w:rPr>
              <w:t xml:space="preserve">Nasional</w:t>
            </w:r>
          </w:p>
        </w:tc>
        <w:tc>
          <w:tcPr>
            <w:tcW w:type="dxa" w:w="1621"/>
          </w:tcPr>
          <w:p>
            <w:pPr>
              <w:pStyle w:val="Compact"/>
              <w:spacing w:line="240" w:lineRule="auto" w:after="20" w:before="20"/>
              <w:jc w:val="left"/>
            </w:pPr>
            <w:r>
              <w:rPr>
                <w:rFonts w:ascii="Times New Roman" w:hAnsi="Times New Roman"/>
                <w:sz w:val="18"/>
              </w:rPr>
              <w:t xml:space="preserve">Kerangka kesehatan umum</w:t>
            </w:r>
          </w:p>
        </w:tc>
        <w:tc>
          <w:tcPr>
            <w:tcW w:type="dxa" w:w="2099"/>
          </w:tcPr>
          <w:p>
            <w:pPr>
              <w:pStyle w:val="Compact"/>
              <w:spacing w:line="240" w:lineRule="auto" w:after="20" w:before="20"/>
              <w:jc w:val="left"/>
            </w:pPr>
            <w:r>
              <w:rPr>
                <w:rFonts w:ascii="Times New Roman" w:hAnsi="Times New Roman"/>
                <w:sz w:val="18"/>
              </w:rPr>
              <w:t xml:space="preserve">Berlaku; pembanding</w:t>
            </w:r>
          </w:p>
        </w:tc>
        <w:tc>
          <w:tcPr>
            <w:tcW w:type="dxa" w:w="2532"/>
          </w:tcPr>
          <w:p>
            <w:pPr>
              <w:pStyle w:val="Compact"/>
              <w:spacing w:line="240" w:lineRule="auto" w:after="20" w:before="20"/>
              <w:jc w:val="left"/>
            </w:pPr>
            <w:r>
              <w:rPr>
                <w:rFonts w:ascii="Times New Roman" w:hAnsi="Times New Roman"/>
                <w:sz w:val="18"/>
              </w:rPr>
              <w:t xml:space="preserve">Lantai persetujuan (UU 17/2023 Ps 293) dan kerahasiaan</w:t>
            </w:r>
          </w:p>
        </w:tc>
      </w:tr>
      <w:tr>
        <w:tc>
          <w:tcPr>
            <w:tcW w:type="dxa" w:w="1595"/>
          </w:tcPr>
          <w:p>
            <w:pPr>
              <w:pStyle w:val="Compact"/>
              <w:spacing w:line="240" w:lineRule="auto" w:after="20" w:before="20"/>
              <w:jc w:val="left"/>
            </w:pPr>
            <w:r>
              <w:rPr>
                <w:rFonts w:ascii="Times New Roman" w:hAnsi="Times New Roman"/>
                <w:sz w:val="18"/>
              </w:rPr>
              <w:t xml:space="preserve">Permenkes 3/2026 + Lampiran Permenkes 23/2022</w:t>
            </w:r>
          </w:p>
        </w:tc>
        <w:tc>
          <w:tcPr>
            <w:tcW w:type="dxa" w:w="941"/>
          </w:tcPr>
          <w:p>
            <w:pPr>
              <w:pStyle w:val="Compact"/>
              <w:spacing w:line="240" w:lineRule="auto" w:after="20" w:before="20"/>
              <w:jc w:val="left"/>
            </w:pPr>
            <w:r>
              <w:rPr>
                <w:rFonts w:ascii="Times New Roman" w:hAnsi="Times New Roman"/>
                <w:sz w:val="18"/>
              </w:rPr>
              <w:t xml:space="preserve">Nasional</w:t>
            </w:r>
          </w:p>
        </w:tc>
        <w:tc>
          <w:tcPr>
            <w:tcW w:type="dxa" w:w="1621"/>
          </w:tcPr>
          <w:p>
            <w:pPr>
              <w:pStyle w:val="Compact"/>
              <w:spacing w:line="240" w:lineRule="auto" w:after="20" w:before="20"/>
              <w:jc w:val="left"/>
            </w:pPr>
            <w:r>
              <w:rPr>
                <w:rFonts w:ascii="Times New Roman" w:hAnsi="Times New Roman"/>
                <w:sz w:val="18"/>
              </w:rPr>
              <w:t xml:space="preserve">Penanggulangan penyakit; Lampiran sebagai pedoman sementara HIV</w:t>
            </w:r>
          </w:p>
        </w:tc>
        <w:tc>
          <w:tcPr>
            <w:tcW w:type="dxa" w:w="2099"/>
          </w:tcPr>
          <w:p>
            <w:pPr>
              <w:pStyle w:val="Compact"/>
              <w:spacing w:line="240" w:lineRule="auto" w:after="20" w:before="20"/>
              <w:jc w:val="left"/>
            </w:pPr>
            <w:r>
              <w:rPr>
                <w:rFonts w:ascii="Times New Roman" w:hAnsi="Times New Roman"/>
                <w:sz w:val="18"/>
              </w:rPr>
              <w:t xml:space="preserve">Berlaku sejak 11-03-2026</w:t>
            </w:r>
          </w:p>
        </w:tc>
        <w:tc>
          <w:tcPr>
            <w:tcW w:type="dxa" w:w="2532"/>
          </w:tcPr>
          <w:p>
            <w:pPr>
              <w:pStyle w:val="Compact"/>
              <w:spacing w:line="240" w:lineRule="auto" w:after="20" w:before="20"/>
              <w:jc w:val="left"/>
            </w:pPr>
            <w:r>
              <w:rPr>
                <w:rFonts w:ascii="Times New Roman" w:hAnsi="Times New Roman"/>
                <w:sz w:val="18"/>
              </w:rPr>
              <w:t xml:space="preserve">Definisi waria, harm reduction, forum; tenggat penyesuaian (Ps 97)</w:t>
            </w:r>
          </w:p>
        </w:tc>
      </w:tr>
      <w:tr>
        <w:tc>
          <w:tcPr>
            <w:tcW w:type="dxa" w:w="1595"/>
          </w:tcPr>
          <w:p>
            <w:pPr>
              <w:pStyle w:val="Compact"/>
              <w:spacing w:line="240" w:lineRule="auto" w:after="20" w:before="20"/>
              <w:jc w:val="left"/>
            </w:pPr>
            <w:r>
              <w:rPr>
                <w:rFonts w:ascii="Times New Roman" w:hAnsi="Times New Roman"/>
                <w:sz w:val="18"/>
              </w:rPr>
              <w:t xml:space="preserve">Perda Prov. 8/2010 jo. 10/2021</w:t>
            </w:r>
          </w:p>
        </w:tc>
        <w:tc>
          <w:tcPr>
            <w:tcW w:type="dxa" w:w="941"/>
          </w:tcPr>
          <w:p>
            <w:pPr>
              <w:pStyle w:val="Compact"/>
              <w:spacing w:line="240" w:lineRule="auto" w:after="20" w:before="20"/>
              <w:jc w:val="left"/>
            </w:pPr>
            <w:r>
              <w:rPr>
                <w:rFonts w:ascii="Times New Roman" w:hAnsi="Times New Roman"/>
                <w:sz w:val="18"/>
              </w:rPr>
              <w:t xml:space="preserve">Provinsi</w:t>
            </w:r>
          </w:p>
        </w:tc>
        <w:tc>
          <w:tcPr>
            <w:tcW w:type="dxa" w:w="1621"/>
          </w:tcPr>
          <w:p>
            <w:pPr>
              <w:pStyle w:val="Compact"/>
              <w:spacing w:line="240" w:lineRule="auto" w:after="20" w:before="20"/>
              <w:jc w:val="left"/>
            </w:pPr>
            <w:r>
              <w:rPr>
                <w:rFonts w:ascii="Times New Roman" w:hAnsi="Times New Roman"/>
                <w:sz w:val="18"/>
              </w:rPr>
              <w:t xml:space="preserve">HIV dan AIDS</w:t>
            </w:r>
          </w:p>
        </w:tc>
        <w:tc>
          <w:tcPr>
            <w:tcW w:type="dxa" w:w="2099"/>
          </w:tcPr>
          <w:p>
            <w:pPr>
              <w:pStyle w:val="Compact"/>
              <w:spacing w:line="240" w:lineRule="auto" w:after="20" w:before="20"/>
              <w:jc w:val="left"/>
            </w:pPr>
            <w:r>
              <w:rPr>
                <w:rFonts w:ascii="Times New Roman" w:hAnsi="Times New Roman"/>
                <w:sz w:val="18"/>
              </w:rPr>
              <w:t xml:space="preserve">Berlaku (terkonfirmasi); STALE-CANDIDATE; hanya teks 2021</w:t>
            </w:r>
          </w:p>
        </w:tc>
        <w:tc>
          <w:tcPr>
            <w:tcW w:type="dxa" w:w="2532"/>
          </w:tcPr>
          <w:p>
            <w:pPr>
              <w:pStyle w:val="Compact"/>
              <w:spacing w:line="240" w:lineRule="auto" w:after="20" w:before="20"/>
              <w:jc w:val="left"/>
            </w:pPr>
            <w:r>
              <w:rPr>
                <w:rFonts w:ascii="Times New Roman" w:hAnsi="Times New Roman"/>
                <w:sz w:val="18"/>
              </w:rPr>
              <w:t xml:space="preserve">Pemeriksaan, pelaporan, pemulangan PSK; pidana kepatuhan ARV; KPA</w:t>
            </w:r>
          </w:p>
        </w:tc>
      </w:tr>
      <w:tr>
        <w:tc>
          <w:tcPr>
            <w:tcW w:type="dxa" w:w="1595"/>
          </w:tcPr>
          <w:p>
            <w:pPr>
              <w:pStyle w:val="Compact"/>
              <w:spacing w:line="240" w:lineRule="auto" w:after="20" w:before="20"/>
              <w:jc w:val="left"/>
            </w:pPr>
            <w:r>
              <w:rPr>
                <w:rFonts w:ascii="Times New Roman" w:hAnsi="Times New Roman"/>
                <w:sz w:val="18"/>
              </w:rPr>
              <w:t xml:space="preserve">Perda Prov. 6/2018</w:t>
            </w:r>
          </w:p>
        </w:tc>
        <w:tc>
          <w:tcPr>
            <w:tcW w:type="dxa" w:w="941"/>
          </w:tcPr>
          <w:p>
            <w:pPr>
              <w:pStyle w:val="Compact"/>
              <w:spacing w:line="240" w:lineRule="auto" w:after="20" w:before="20"/>
              <w:jc w:val="left"/>
            </w:pPr>
            <w:r>
              <w:rPr>
                <w:rFonts w:ascii="Times New Roman" w:hAnsi="Times New Roman"/>
                <w:sz w:val="18"/>
              </w:rPr>
              <w:t xml:space="preserve">Provinsi</w:t>
            </w:r>
          </w:p>
        </w:tc>
        <w:tc>
          <w:tcPr>
            <w:tcW w:type="dxa" w:w="1621"/>
          </w:tcPr>
          <w:p>
            <w:pPr>
              <w:pStyle w:val="Compact"/>
              <w:spacing w:line="240" w:lineRule="auto" w:after="20" w:before="20"/>
              <w:jc w:val="left"/>
            </w:pPr>
            <w:r>
              <w:rPr>
                <w:rFonts w:ascii="Times New Roman" w:hAnsi="Times New Roman"/>
                <w:sz w:val="18"/>
              </w:rPr>
              <w:t xml:space="preserve">NAPZA</w:t>
            </w:r>
          </w:p>
        </w:tc>
        <w:tc>
          <w:tcPr>
            <w:tcW w:type="dxa" w:w="2099"/>
          </w:tcPr>
          <w:p>
            <w:pPr>
              <w:pStyle w:val="Compact"/>
              <w:spacing w:line="240" w:lineRule="auto" w:after="20" w:before="20"/>
              <w:jc w:val="left"/>
            </w:pPr>
            <w:r>
              <w:rPr>
                <w:rFonts w:ascii="Times New Roman" w:hAnsi="Times New Roman"/>
                <w:sz w:val="18"/>
              </w:rPr>
              <w:t xml:space="preserve">Berlaku (terkonfirmasi); STALE-CANDIDATE</w:t>
            </w:r>
          </w:p>
        </w:tc>
        <w:tc>
          <w:tcPr>
            <w:tcW w:type="dxa" w:w="2532"/>
          </w:tcPr>
          <w:p>
            <w:pPr>
              <w:pStyle w:val="Compact"/>
              <w:spacing w:line="240" w:lineRule="auto" w:after="20" w:before="20"/>
              <w:jc w:val="left"/>
            </w:pPr>
            <w:r>
              <w:rPr>
                <w:rFonts w:ascii="Times New Roman" w:hAnsi="Times New Roman"/>
                <w:sz w:val="18"/>
              </w:rPr>
              <w:t xml:space="preserve">Rehabilitasi; asesmen rahasia; laporan identitas</w:t>
            </w:r>
          </w:p>
        </w:tc>
      </w:tr>
      <w:tr>
        <w:tc>
          <w:tcPr>
            <w:tcW w:type="dxa" w:w="1595"/>
          </w:tcPr>
          <w:p>
            <w:pPr>
              <w:pStyle w:val="Compact"/>
              <w:spacing w:line="240" w:lineRule="auto" w:after="20" w:before="20"/>
              <w:jc w:val="left"/>
            </w:pPr>
            <w:r>
              <w:rPr>
                <w:rFonts w:ascii="Times New Roman" w:hAnsi="Times New Roman"/>
                <w:sz w:val="18"/>
              </w:rPr>
              <w:t xml:space="preserve">Perda Prov. 8/2016</w:t>
            </w:r>
          </w:p>
        </w:tc>
        <w:tc>
          <w:tcPr>
            <w:tcW w:type="dxa" w:w="941"/>
          </w:tcPr>
          <w:p>
            <w:pPr>
              <w:pStyle w:val="Compact"/>
              <w:spacing w:line="240" w:lineRule="auto" w:after="20" w:before="20"/>
              <w:jc w:val="left"/>
            </w:pPr>
            <w:r>
              <w:rPr>
                <w:rFonts w:ascii="Times New Roman" w:hAnsi="Times New Roman"/>
                <w:sz w:val="18"/>
              </w:rPr>
              <w:t xml:space="preserve">Provinsi</w:t>
            </w:r>
          </w:p>
        </w:tc>
        <w:tc>
          <w:tcPr>
            <w:tcW w:type="dxa" w:w="1621"/>
          </w:tcPr>
          <w:p>
            <w:pPr>
              <w:pStyle w:val="Compact"/>
              <w:spacing w:line="240" w:lineRule="auto" w:after="20" w:before="20"/>
              <w:jc w:val="left"/>
            </w:pPr>
            <w:r>
              <w:rPr>
                <w:rFonts w:ascii="Times New Roman" w:hAnsi="Times New Roman"/>
                <w:sz w:val="18"/>
              </w:rPr>
              <w:t xml:space="preserve">Ketertiban dan ketenteraman</w:t>
            </w:r>
          </w:p>
        </w:tc>
        <w:tc>
          <w:tcPr>
            <w:tcW w:type="dxa" w:w="2099"/>
          </w:tcPr>
          <w:p>
            <w:pPr>
              <w:pStyle w:val="Compact"/>
              <w:spacing w:line="240" w:lineRule="auto" w:after="20" w:before="20"/>
              <w:jc w:val="left"/>
            </w:pPr>
            <w:r>
              <w:rPr>
                <w:rFonts w:ascii="Times New Roman" w:hAnsi="Times New Roman"/>
                <w:sz w:val="18"/>
              </w:rPr>
              <w:t xml:space="preserve">BELUM_TERVERIFIKASI; STALE-CANDIDATE</w:t>
            </w:r>
          </w:p>
        </w:tc>
        <w:tc>
          <w:tcPr>
            <w:tcW w:type="dxa" w:w="2532"/>
          </w:tcPr>
          <w:p>
            <w:pPr>
              <w:pStyle w:val="Compact"/>
              <w:spacing w:line="240" w:lineRule="auto" w:after="20" w:before="20"/>
              <w:jc w:val="left"/>
            </w:pPr>
            <w:r>
              <w:rPr>
                <w:rFonts w:ascii="Times New Roman" w:hAnsi="Times New Roman"/>
                <w:sz w:val="18"/>
              </w:rPr>
              <w:t xml:space="preserve">Larangan menjadi penjaja seks; Satpol PP; "patut diduga"</w:t>
            </w:r>
          </w:p>
        </w:tc>
      </w:tr>
      <w:tr>
        <w:tc>
          <w:tcPr>
            <w:tcW w:type="dxa" w:w="1595"/>
          </w:tcPr>
          <w:p>
            <w:pPr>
              <w:pStyle w:val="Compact"/>
              <w:spacing w:line="240" w:lineRule="auto" w:after="20" w:before="20"/>
              <w:jc w:val="left"/>
            </w:pPr>
            <w:r>
              <w:rPr>
                <w:rFonts w:ascii="Times New Roman" w:hAnsi="Times New Roman"/>
                <w:sz w:val="18"/>
              </w:rPr>
              <w:t xml:space="preserve">Perda Kota 7/2006</w:t>
            </w:r>
          </w:p>
        </w:tc>
        <w:tc>
          <w:tcPr>
            <w:tcW w:type="dxa" w:w="941"/>
          </w:tcPr>
          <w:p>
            <w:pPr>
              <w:pStyle w:val="Compact"/>
              <w:spacing w:line="240" w:lineRule="auto" w:after="20" w:before="20"/>
              <w:jc w:val="left"/>
            </w:pPr>
            <w:r>
              <w:rPr>
                <w:rFonts w:ascii="Times New Roman" w:hAnsi="Times New Roman"/>
                <w:sz w:val="18"/>
              </w:rPr>
              <w:t xml:space="preserve">Kota</w:t>
            </w:r>
          </w:p>
        </w:tc>
        <w:tc>
          <w:tcPr>
            <w:tcW w:type="dxa" w:w="1621"/>
          </w:tcPr>
          <w:p>
            <w:pPr>
              <w:pStyle w:val="Compact"/>
              <w:spacing w:line="240" w:lineRule="auto" w:after="20" w:before="20"/>
              <w:jc w:val="left"/>
            </w:pPr>
            <w:r>
              <w:rPr>
                <w:rFonts w:ascii="Times New Roman" w:hAnsi="Times New Roman"/>
                <w:sz w:val="18"/>
              </w:rPr>
              <w:t xml:space="preserve">HIV/IMS (lama)</w:t>
            </w:r>
          </w:p>
        </w:tc>
        <w:tc>
          <w:tcPr>
            <w:tcW w:type="dxa" w:w="2099"/>
          </w:tcPr>
          <w:p>
            <w:pPr>
              <w:pStyle w:val="Compact"/>
              <w:spacing w:line="240" w:lineRule="auto" w:after="20" w:before="20"/>
              <w:jc w:val="left"/>
            </w:pPr>
            <w:r>
              <w:rPr>
                <w:rFonts w:ascii="Times New Roman" w:hAnsi="Times New Roman"/>
                <w:sz w:val="18"/>
              </w:rPr>
              <w:t xml:space="preserve">Historis; dicabut Perda 16/2011 Ps 11</w:t>
            </w:r>
          </w:p>
        </w:tc>
        <w:tc>
          <w:tcPr>
            <w:tcW w:type="dxa" w:w="2532"/>
          </w:tcPr>
          <w:p>
            <w:pPr>
              <w:pStyle w:val="Compact"/>
              <w:spacing w:line="240" w:lineRule="auto" w:after="20" w:before="20"/>
              <w:jc w:val="left"/>
            </w:pPr>
            <w:r>
              <w:rPr>
                <w:rFonts w:ascii="Times New Roman" w:hAnsi="Times New Roman"/>
                <w:sz w:val="18"/>
              </w:rPr>
              <w:t xml:space="preserve">Pembanding: tes sukarela, persetujuan, konseling, alat steril</w:t>
            </w:r>
          </w:p>
        </w:tc>
      </w:tr>
      <w:tr>
        <w:tc>
          <w:tcPr>
            <w:tcW w:type="dxa" w:w="1595"/>
          </w:tcPr>
          <w:p>
            <w:pPr>
              <w:pStyle w:val="Compact"/>
              <w:spacing w:line="240" w:lineRule="auto" w:after="20" w:before="20"/>
              <w:jc w:val="left"/>
            </w:pPr>
            <w:r>
              <w:rPr>
                <w:rFonts w:ascii="Times New Roman" w:hAnsi="Times New Roman"/>
                <w:sz w:val="18"/>
              </w:rPr>
              <w:t xml:space="preserve">Perda Kota 16/2011</w:t>
            </w:r>
          </w:p>
        </w:tc>
        <w:tc>
          <w:tcPr>
            <w:tcW w:type="dxa" w:w="941"/>
          </w:tcPr>
          <w:p>
            <w:pPr>
              <w:pStyle w:val="Compact"/>
              <w:spacing w:line="240" w:lineRule="auto" w:after="20" w:before="20"/>
              <w:jc w:val="left"/>
            </w:pPr>
            <w:r>
              <w:rPr>
                <w:rFonts w:ascii="Times New Roman" w:hAnsi="Times New Roman"/>
                <w:sz w:val="18"/>
              </w:rPr>
              <w:t xml:space="preserve">Kota</w:t>
            </w:r>
          </w:p>
        </w:tc>
        <w:tc>
          <w:tcPr>
            <w:tcW w:type="dxa" w:w="1621"/>
          </w:tcPr>
          <w:p>
            <w:pPr>
              <w:pStyle w:val="Compact"/>
              <w:spacing w:line="240" w:lineRule="auto" w:after="20" w:before="20"/>
              <w:jc w:val="left"/>
            </w:pPr>
            <w:r>
              <w:rPr>
                <w:rFonts w:ascii="Times New Roman" w:hAnsi="Times New Roman"/>
                <w:sz w:val="18"/>
              </w:rPr>
              <w:t xml:space="preserve">HIV/IMS</w:t>
            </w:r>
          </w:p>
        </w:tc>
        <w:tc>
          <w:tcPr>
            <w:tcW w:type="dxa" w:w="2099"/>
          </w:tcPr>
          <w:p>
            <w:pPr>
              <w:pStyle w:val="Compact"/>
              <w:spacing w:line="240" w:lineRule="auto" w:after="20" w:before="20"/>
              <w:jc w:val="left"/>
            </w:pPr>
            <w:r>
              <w:rPr>
                <w:rFonts w:ascii="Times New Roman" w:hAnsi="Times New Roman"/>
                <w:sz w:val="18"/>
              </w:rPr>
              <w:t xml:space="preserve">Berlaku (terkonfirmasi); STALE-CANDIDATE</w:t>
            </w:r>
          </w:p>
        </w:tc>
        <w:tc>
          <w:tcPr>
            <w:tcW w:type="dxa" w:w="2532"/>
          </w:tcPr>
          <w:p>
            <w:pPr>
              <w:pStyle w:val="Compact"/>
              <w:spacing w:line="240" w:lineRule="auto" w:after="20" w:before="20"/>
              <w:jc w:val="left"/>
            </w:pPr>
            <w:r>
              <w:rPr>
                <w:rFonts w:ascii="Times New Roman" w:hAnsi="Times New Roman"/>
                <w:sz w:val="18"/>
              </w:rPr>
              <w:t xml:space="preserve">Kerahasiaan, kesetaraan, kondom, adat; sekaligus PITC wajib dan pidana</w:t>
            </w:r>
          </w:p>
        </w:tc>
      </w:tr>
      <w:tr>
        <w:tc>
          <w:tcPr>
            <w:tcW w:type="dxa" w:w="1595"/>
          </w:tcPr>
          <w:p>
            <w:pPr>
              <w:pStyle w:val="Compact"/>
              <w:spacing w:line="240" w:lineRule="auto" w:after="20" w:before="20"/>
              <w:jc w:val="left"/>
            </w:pPr>
            <w:r>
              <w:rPr>
                <w:rFonts w:ascii="Times New Roman" w:hAnsi="Times New Roman"/>
                <w:sz w:val="18"/>
              </w:rPr>
              <w:t xml:space="preserve">Perwali 7/2024</w:t>
            </w:r>
          </w:p>
        </w:tc>
        <w:tc>
          <w:tcPr>
            <w:tcW w:type="dxa" w:w="941"/>
          </w:tcPr>
          <w:p>
            <w:pPr>
              <w:pStyle w:val="Compact"/>
              <w:spacing w:line="240" w:lineRule="auto" w:after="20" w:before="20"/>
              <w:jc w:val="left"/>
            </w:pPr>
            <w:r>
              <w:rPr>
                <w:rFonts w:ascii="Times New Roman" w:hAnsi="Times New Roman"/>
                <w:sz w:val="18"/>
              </w:rPr>
              <w:t xml:space="preserve">Kota</w:t>
            </w:r>
          </w:p>
        </w:tc>
        <w:tc>
          <w:tcPr>
            <w:tcW w:type="dxa" w:w="1621"/>
          </w:tcPr>
          <w:p>
            <w:pPr>
              <w:pStyle w:val="Compact"/>
              <w:spacing w:line="240" w:lineRule="auto" w:after="20" w:before="20"/>
              <w:jc w:val="left"/>
            </w:pPr>
            <w:r>
              <w:rPr>
                <w:rFonts w:ascii="Times New Roman" w:hAnsi="Times New Roman"/>
                <w:sz w:val="18"/>
              </w:rPr>
              <w:t xml:space="preserve">Jam layanan Puskesmas, PKR, PSC</w:t>
            </w:r>
          </w:p>
        </w:tc>
        <w:tc>
          <w:tcPr>
            <w:tcW w:type="dxa" w:w="2099"/>
          </w:tcPr>
          <w:p>
            <w:pPr>
              <w:pStyle w:val="Compact"/>
              <w:spacing w:line="240" w:lineRule="auto" w:after="20" w:before="20"/>
              <w:jc w:val="left"/>
            </w:pPr>
            <w:r>
              <w:rPr>
                <w:rFonts w:ascii="Times New Roman" w:hAnsi="Times New Roman"/>
                <w:sz w:val="18"/>
              </w:rPr>
              <w:t xml:space="preserve">BELUM_TERVERIFIKASI; STALE-CANDIDATE sejak pembentukan</w:t>
            </w:r>
          </w:p>
        </w:tc>
        <w:tc>
          <w:tcPr>
            <w:tcW w:type="dxa" w:w="2532"/>
          </w:tcPr>
          <w:p>
            <w:pPr>
              <w:pStyle w:val="Compact"/>
              <w:spacing w:line="240" w:lineRule="auto" w:after="20" w:before="20"/>
              <w:jc w:val="left"/>
            </w:pPr>
            <w:r>
              <w:rPr>
                <w:rFonts w:ascii="Times New Roman" w:hAnsi="Times New Roman"/>
                <w:sz w:val="18"/>
              </w:rPr>
              <w:t xml:space="preserve">Akses waktu layanan; call center bersama</w:t>
            </w:r>
          </w:p>
        </w:tc>
      </w:tr>
      <w:tr>
        <w:tc>
          <w:tcPr>
            <w:tcW w:type="dxa" w:w="1595"/>
          </w:tcPr>
          <w:p>
            <w:pPr>
              <w:pStyle w:val="Compact"/>
              <w:spacing w:line="240" w:lineRule="auto" w:after="20" w:before="20"/>
              <w:jc w:val="left"/>
            </w:pPr>
            <w:r>
              <w:rPr>
                <w:rFonts w:ascii="Times New Roman" w:hAnsi="Times New Roman"/>
                <w:sz w:val="18"/>
              </w:rPr>
              <w:t xml:space="preserve">Perda Kota 26/2024</w:t>
            </w:r>
          </w:p>
        </w:tc>
        <w:tc>
          <w:tcPr>
            <w:tcW w:type="dxa" w:w="941"/>
          </w:tcPr>
          <w:p>
            <w:pPr>
              <w:pStyle w:val="Compact"/>
              <w:spacing w:line="240" w:lineRule="auto" w:after="20" w:before="20"/>
              <w:jc w:val="left"/>
            </w:pPr>
            <w:r>
              <w:rPr>
                <w:rFonts w:ascii="Times New Roman" w:hAnsi="Times New Roman"/>
                <w:sz w:val="18"/>
              </w:rPr>
              <w:t xml:space="preserve">Kota</w:t>
            </w:r>
          </w:p>
        </w:tc>
        <w:tc>
          <w:tcPr>
            <w:tcW w:type="dxa" w:w="1621"/>
          </w:tcPr>
          <w:p>
            <w:pPr>
              <w:pStyle w:val="Compact"/>
              <w:spacing w:line="240" w:lineRule="auto" w:after="20" w:before="20"/>
              <w:jc w:val="left"/>
            </w:pPr>
            <w:r>
              <w:rPr>
                <w:rFonts w:ascii="Times New Roman" w:hAnsi="Times New Roman"/>
                <w:sz w:val="18"/>
              </w:rPr>
              <w:t xml:space="preserve">Perlindungan perempuan</w:t>
            </w:r>
          </w:p>
        </w:tc>
        <w:tc>
          <w:tcPr>
            <w:tcW w:type="dxa" w:w="2099"/>
          </w:tcPr>
          <w:p>
            <w:pPr>
              <w:pStyle w:val="Compact"/>
              <w:spacing w:line="240" w:lineRule="auto" w:after="20" w:before="20"/>
              <w:jc w:val="left"/>
            </w:pPr>
            <w:r>
              <w:rPr>
                <w:rFonts w:ascii="Times New Roman" w:hAnsi="Times New Roman"/>
                <w:sz w:val="18"/>
              </w:rPr>
              <w:t xml:space="preserve">BELUM_TERVERIFIKASI; STALE-CANDIDATE</w:t>
            </w:r>
          </w:p>
        </w:tc>
        <w:tc>
          <w:tcPr>
            <w:tcW w:type="dxa" w:w="2532"/>
          </w:tcPr>
          <w:p>
            <w:pPr>
              <w:pStyle w:val="Compact"/>
              <w:spacing w:line="240" w:lineRule="auto" w:after="20" w:before="20"/>
              <w:jc w:val="left"/>
            </w:pPr>
            <w:r>
              <w:rPr>
                <w:rFonts w:ascii="Times New Roman" w:hAnsi="Times New Roman"/>
                <w:sz w:val="18"/>
              </w:rPr>
              <w:t xml:space="preserve">Pramuria; perempuan dengan HIV tidak disebut</w:t>
            </w:r>
          </w:p>
        </w:tc>
      </w:tr>
    </w:tbl>
    <w:p>
      <w:pPr>
        <w:pStyle w:val="BodyText"/>
      </w:pPr>
      <w:r>
        <w:rPr>
          <w:iCs/>
          <w:i/>
        </w:rPr>
        <w:t xml:space="preserve">Sumber: diolah dari laporan sumber Kota Jayapura, bagian 2.1, 3.5, dan 13.1. Permenkes 21/2013 (historis) tidak dimuat karena hanya relevan sebagai rujukan usang.</w:t>
      </w:r>
    </w:p>
    <w:p>
      <w:pPr>
        <w:pStyle w:val="BodyText"/>
      </w:pPr>
      <w:r>
        <w:rPr>
          <w:bCs/>
          <w:b/>
        </w:rPr>
        <w:t xml:space="preserve">Batas klaim.</w:t>
      </w:r>
      <w:r>
        <w:t xml:space="preserve"> </w:t>
      </w:r>
      <w:r>
        <w:t xml:space="preserve">Dampak pemekaran Papua 2022 terhadap wilayah berlakunya ketiga Perda provinsi belum dinilai. Bab ini membaca ketiganya sebagai berlaku di kota, sesuai laporan sumber, dengan catatan bahwa asumsi ini perlu dikonfirmasi.</w:t>
      </w:r>
    </w:p>
    <w:bookmarkEnd w:id="20"/>
    <w:bookmarkStart w:id="21" w:name="X7c1a091150a40005f2e2907a063c9507ce77ba3"/>
    <w:p>
      <w:pPr>
        <w:pStyle w:val="Heading3"/>
      </w:pPr>
      <w:r>
        <w:t xml:space="preserve">4.1.2 Lanskap dan Kronologi Regulasi</w:t>
      </w:r>
    </w:p>
    <w:p>
      <w:pPr>
        <w:pStyle w:val="FirstParagraph"/>
      </w:pPr>
      <w:r>
        <w:rPr>
          <w:bCs/>
          <w:b/>
        </w:rPr>
        <w:t xml:space="preserve">Temuan utama.</w:t>
      </w:r>
      <w:r>
        <w:t xml:space="preserve"> </w:t>
      </w:r>
      <w:r>
        <w:t xml:space="preserve">Aturan yang kini bekerja di Jayapura berasal dari tiga generasi regulasi. Perda HIV kota yang berlaku lebih tua dari seluruh kerangka kesehatan nasional saat ini; aturan kontrol provinsi lahir pada 2016–2021; kerangka nasional berubah besar pada 2022–2026, tetapi tidak satu pun instrumen daerah dalam paket merujuk perubahan itu.</w:t>
      </w:r>
    </w:p>
    <w:p>
      <w:pPr>
        <w:pStyle w:val="BodyText"/>
      </w:pPr>
      <w:r>
        <w:rPr>
          <w:iCs/>
          <w:i/>
        </w:rPr>
        <w:t xml:space="preserve">Generasi pertama (2006–2011).</w:t>
      </w:r>
      <w:r>
        <w:t xml:space="preserve"> </w:t>
      </w:r>
      <w:r>
        <w:t xml:space="preserve">Kota menetapkan Perda 7/2006 (12 Oktober 2006), yang memuat tes sukarela dengan informasi dan konseling serta mandat alat steril. Provinsi menetapkan Perda HIV 8/2010, yang naskahnya tidak tersedia. Pada 6 Desember 2011, kota mengundangkan Perda 16/2011, yang mencabut Perda 2006 dan merujuk Perda Provinsi 8/2010. Perda ini lahir sebelum Permenkes 21/2013.</w:t>
      </w:r>
    </w:p>
    <w:p>
      <w:pPr>
        <w:pStyle w:val="BodyText"/>
      </w:pPr>
      <w:r>
        <w:rPr>
          <w:iCs/>
          <w:i/>
        </w:rPr>
        <w:t xml:space="preserve">Generasi kedua (2016–2021).</w:t>
      </w:r>
      <w:r>
        <w:t xml:space="preserve"> </w:t>
      </w:r>
      <w:r>
        <w:t xml:space="preserve">Provinsi menambah tiga lapis aturan yang menyentuh orang yang sama: Perda Ketertiban 8/2016 (28 Januari 2016), Perda NAPZA 6/2018 (23 Maret 2018), dan Perda 10/2021 yang mengubah Perda HIV 2010 (16 November 2021). Perubahan 2021 masih merujuk Permenkes 21/2013, yang setahun kemudian dicabut.</w:t>
      </w:r>
    </w:p>
    <w:p>
      <w:pPr>
        <w:pStyle w:val="BodyText"/>
      </w:pPr>
      <w:r>
        <w:rPr>
          <w:iCs/>
          <w:i/>
        </w:rPr>
        <w:t xml:space="preserve">Generasi ketiga (2022–2026).</w:t>
      </w:r>
      <w:r>
        <w:t xml:space="preserve"> </w:t>
      </w:r>
      <w:r>
        <w:t xml:space="preserve">Kerangka nasional berubah besar: Permenkes 23/2022, UU 27/2022, UU 17/2023, PP 28/2024, dan Permenkes 3/2026 yang berlaku 11 Maret 2026. Pasal 97 Permenkes 3/2026 meminta daerah menyesuaikan aturan paling lambat 11 September 2026; pada cutoff korpus tenggat itu sudah lewat. Dua instrumen kota lahir pada periode ini, Perwali 7/2024 (22 Januari) dan Perda Kota 26/2024 (20 September), tetapi keduanya tidak mengatur pengaman HIV secara khusus, dan Perwali 7/2024 masih merujuk UU 36/2009.</w:t>
      </w:r>
    </w:p>
    <w:p>
      <w:pPr>
        <w:pStyle w:val="BodyText"/>
      </w:pPr>
      <w:r>
        <w:rPr>
          <w:bCs/>
          <w:b/>
        </w:rPr>
        <w:t xml:space="preserve">Analisis.</w:t>
      </w:r>
      <w:r>
        <w:t xml:space="preserve"> </w:t>
      </w:r>
      <w:r>
        <w:t xml:space="preserve">Kronologi ini menjelaskan mengapa pengaman di Jayapura tidak bergerak searah. Pengaman kota dirumuskan sebelum kerangka nasional modern terbentuk; beban provinsi dirumuskan dengan rujukan nasional yang kemudian dicabut; dan kerangka 2022–2026 tidak terhubung secara tekstual ke daerah. Usia regulasi tidak dengan sendirinya berarti buruk: Perda kota 2011 justru memuat pengaman yang tidak ditemukan di instrumen yang lebih baru. Persoalannya adalah keterlacakan, yaitu aturan dari generasi berbeda bekerja bersamaan tanpa rujukan ke kerangka yang berlaku sekarang.</w:t>
      </w:r>
    </w:p>
    <w:bookmarkEnd w:id="21"/>
    <w:bookmarkStart w:id="22" w:name="X465732caa30fa8b1f05d6c751fb94c2422e6f8c"/>
    <w:p>
      <w:pPr>
        <w:pStyle w:val="Heading3"/>
      </w:pPr>
      <w:r>
        <w:t xml:space="preserve">4.1.3 Dampak Normatif terhadap Tujuh Hak</w:t>
      </w:r>
    </w:p>
    <w:p>
      <w:pPr>
        <w:pStyle w:val="FirstParagraph"/>
      </w:pPr>
      <w:r>
        <w:rPr>
          <w:bCs/>
          <w:b/>
        </w:rPr>
        <w:t xml:space="preserve">Temuan utama.</w:t>
      </w:r>
      <w:r>
        <w:t xml:space="preserve"> </w:t>
      </w:r>
      <w:r>
        <w:t xml:space="preserve">Pengaman dan pembebanan sering berada dalam instrumen yang sama. Privasi (H3) dan martabat (H6) paling banyak memuat pembebanan, terutama dari tingkat provinsi. Informasi (H5) dan partisipasi (H7) paling konsisten dilindungi di tingkat kota. Semua temuan ini adalah dampak normatif, bukan dampak aktual.</w:t>
      </w:r>
    </w:p>
    <w:p>
      <w:pPr>
        <w:pStyle w:val="BodyText"/>
      </w:pPr>
      <w:r>
        <w:rPr>
          <w:bCs/>
          <w:b/>
        </w:rPr>
        <w:t xml:space="preserve">H1. Kesehatan dan akses layanan.</w:t>
      </w:r>
      <w:r>
        <w:t xml:space="preserve"> </w:t>
      </w:r>
      <w:r>
        <w:rPr>
          <w:iCs/>
          <w:i/>
        </w:rPr>
        <w:t xml:space="preserve">Isi aturan.</w:t>
      </w:r>
      <w:r>
        <w:t xml:space="preserve"> </w:t>
      </w:r>
      <w:r>
        <w:t xml:space="preserve">Perda Kota 16/2011 Pasal 7 memberi hak akses layanan bagi populasi risiko tinggi (ayat (1)), kondom dan pelicin (ayat (4)), dan Alokasi Dana Kampung dan Kelurahan/ADKK (ayat (7)). Perwali 7/2024 Pasal 4 ayat (2) menempatkan layanan HIV/IMS di PKR; Perda Provinsi 10/2021 Pasal 4 ayat (2) memuat sirkumsisi; Perda Provinsi 6/2018 Pasal 33–34 mengatur rehabilitasi. Namun, Perda Kota 16/2011 Pasal 5 mewajibkan tes HIV atas inisiatif petugas (PITC) "sesuai dengan pedoman" tanpa syarat sukarela; Perwali 7/2024 Pasal 2 ayat (1) membatasi jam PKR 07.30–14.30 WIT; Perda Provinsi 10/2021 Pasal 15 jo. Pasal 40 memidana ODHIV yang tidak patuh terapi ARV; dan kartu lapor diri hanya berlaku untuk dua kali tertangkap (Perda Provinsi 6/2018 Pasal 35).</w:t>
      </w:r>
      <w:r>
        <w:t xml:space="preserve"> </w:t>
      </w:r>
      <w:r>
        <w:rPr>
          <w:iCs/>
          <w:i/>
        </w:rPr>
        <w:t xml:space="preserve">Celah.</w:t>
      </w:r>
      <w:r>
        <w:t xml:space="preserve"> </w:t>
      </w:r>
      <w:r>
        <w:t xml:space="preserve">Layanan alat suntik steril (LASS), terapi rumatan, dan kesinambungan ARV setelah pemulangan tidak diatur.</w:t>
      </w:r>
      <w:r>
        <w:t xml:space="preserve"> </w:t>
      </w:r>
      <w:r>
        <w:rPr>
          <w:iCs/>
          <w:i/>
        </w:rPr>
        <w:t xml:space="preserve">Analisis.</w:t>
      </w:r>
      <w:r>
        <w:t xml:space="preserve"> </w:t>
      </w:r>
      <w:r>
        <w:t xml:space="preserve">Yang paling terpapar adalah ODHIV dalam pengobatan, pengguna napza suntik (PENASUN), dan pekerja malam.</w:t>
      </w:r>
      <w:r>
        <w:t xml:space="preserve"> </w:t>
      </w:r>
      <w:r>
        <w:rPr>
          <w:iCs/>
          <w:i/>
        </w:rPr>
        <w:t xml:space="preserve">Risiko yang perlu dibuktikan.</w:t>
      </w:r>
      <w:r>
        <w:t xml:space="preserve"> </w:t>
      </w:r>
      <w:r>
        <w:t xml:space="preserve">Penundaan atau penghindaran layanan belum dapat dikatakan tanpa data kunjungan dan retensi ARV.</w:t>
      </w:r>
    </w:p>
    <w:p>
      <w:pPr>
        <w:pStyle w:val="BodyText"/>
      </w:pPr>
      <w:r>
        <w:rPr>
          <w:bCs/>
          <w:b/>
        </w:rPr>
        <w:t xml:space="preserve">H2. Non-diskriminasi.</w:t>
      </w:r>
      <w:r>
        <w:t xml:space="preserve"> </w:t>
      </w:r>
      <w:r>
        <w:rPr>
          <w:iCs/>
          <w:i/>
        </w:rPr>
        <w:t xml:space="preserve">Isi aturan.</w:t>
      </w:r>
      <w:r>
        <w:t xml:space="preserve"> </w:t>
      </w:r>
      <w:r>
        <w:t xml:space="preserve">Perda Kota 16/2011 menjamin kesetaraan pasien HIV (Pasal 6 ayat (2)–(3)) dan melarang stigma (Pasal 7 ayat (5) huruf d), tetapi Pasal 7 ayat (3) huruf c Perda yang sama melarang mempekerjakan pengidap HIV/IMS. Perda Provinsi 10/2021 Pasal 6 ayat (1) huruf c mewajibkan pemulangan penjaja seks dari luar Papua yang terinfeksi HIV, sehingga status dan asal menjadi dasar perlakuan berbeda. Perda Provinsi 8/2016 memakai istilah "asusila" tanpa definisi.</w:t>
      </w:r>
      <w:r>
        <w:t xml:space="preserve"> </w:t>
      </w:r>
      <w:r>
        <w:rPr>
          <w:iCs/>
          <w:i/>
        </w:rPr>
        <w:t xml:space="preserve">Celah.</w:t>
      </w:r>
      <w:r>
        <w:t xml:space="preserve"> </w:t>
      </w:r>
      <w:r>
        <w:t xml:space="preserve">Transgender, termasuk waria, tidak disebut di instrumen mana pun.</w:t>
      </w:r>
      <w:r>
        <w:t xml:space="preserve"> </w:t>
      </w:r>
      <w:r>
        <w:rPr>
          <w:iCs/>
          <w:i/>
        </w:rPr>
        <w:t xml:space="preserve">Analisis.</w:t>
      </w:r>
      <w:r>
        <w:t xml:space="preserve"> </w:t>
      </w:r>
      <w:r>
        <w:t xml:space="preserve">Yang paling terpapar adalah ODHIV pekerja, pekerja seks perempuan (PSP) pendatang, dan transgender. Ketiadaan penyebutan transgender adalah regulatory silence, bukan bukti diskriminasi yang disengaja.</w:t>
      </w:r>
      <w:r>
        <w:t xml:space="preserve"> </w:t>
      </w:r>
      <w:r>
        <w:rPr>
          <w:iCs/>
          <w:i/>
        </w:rPr>
        <w:t xml:space="preserve">Risiko yang perlu dibuktikan.</w:t>
      </w:r>
      <w:r>
        <w:t xml:space="preserve"> </w:t>
      </w:r>
      <w:r>
        <w:t xml:space="preserve">Apakah perbedaan perlakuan ini terjadi dalam layanan atau pekerjaan belum diketahui tanpa data pengaduan.</w:t>
      </w:r>
    </w:p>
    <w:p>
      <w:pPr>
        <w:pStyle w:val="BodyText"/>
      </w:pPr>
      <w:r>
        <w:rPr>
          <w:bCs/>
          <w:b/>
        </w:rPr>
        <w:t xml:space="preserve">H3. Privasi.</w:t>
      </w:r>
      <w:r>
        <w:t xml:space="preserve"> </w:t>
      </w:r>
      <w:r>
        <w:rPr>
          <w:iCs/>
          <w:i/>
        </w:rPr>
        <w:t xml:space="preserve">Isi aturan.</w:t>
      </w:r>
      <w:r>
        <w:t xml:space="preserve"> </w:t>
      </w:r>
      <w:r>
        <w:t xml:space="preserve">Perda Kota 16/2011 Pasal 5 ayat (4)–(5) mewajibkan tenaga kesehatan menjaga konfidensialitas "secara universal", dan Perda Provinsi 6/2018 Pasal 31–32 menjamin kerahasiaan asesmen. Pada saat yang sama, ODHIV wajib melaporkan niat teman sebaya kepada konselor (Perda Kota 16/2011 Pasal 7 ayat (6) huruf b); pengelola lokasi wajib melaporkan dan menyerahkan PSK yang terinfeksi HIV kepada KPA serta melaporkan data PSK berkala (Perda Provinsi 10/2021 Pasal 6 ayat (1) huruf b dan d); laporan memuat identitas pecandu dengan tembusan BNN dan Kapolri (Perda Provinsi 6/2018 Pasal 37 ayat (5)); dan tamu yang menginap lebih dari 24 jam wajib dilaporkan (Perda Provinsi 8/2016).</w:t>
      </w:r>
      <w:r>
        <w:t xml:space="preserve"> </w:t>
      </w:r>
      <w:r>
        <w:rPr>
          <w:iCs/>
          <w:i/>
        </w:rPr>
        <w:t xml:space="preserve">Celah.</w:t>
      </w:r>
      <w:r>
        <w:t xml:space="preserve"> </w:t>
      </w:r>
      <w:r>
        <w:t xml:space="preserve">Perwali 7/2024 memakai nomor WhatsApp PKR yang sama dengan PSC 119 tanpa aturan kerahasiaan.</w:t>
      </w:r>
      <w:r>
        <w:t xml:space="preserve"> </w:t>
      </w:r>
      <w:r>
        <w:rPr>
          <w:iCs/>
          <w:i/>
        </w:rPr>
        <w:t xml:space="preserve">Analisis.</w:t>
      </w:r>
      <w:r>
        <w:t xml:space="preserve"> </w:t>
      </w:r>
      <w:r>
        <w:t xml:space="preserve">Kerahasiaan dan pelaporan hidup berdampingan, bahkan dalam satu Perda (Perda Provinsi 6/2018). Dibanding Perda 2006, subjek kewajiban kerahasiaan kota menyempit dari "setiap orang" menjadi tenaga kesehatan. Yang paling terpapar adalah PSP, PENASUN, dan ODHIV.</w:t>
      </w:r>
      <w:r>
        <w:t xml:space="preserve"> </w:t>
      </w:r>
      <w:r>
        <w:rPr>
          <w:iCs/>
          <w:i/>
        </w:rPr>
        <w:t xml:space="preserve">Risiko yang perlu dibuktikan.</w:t>
      </w:r>
      <w:r>
        <w:t xml:space="preserve"> </w:t>
      </w:r>
      <w:r>
        <w:t xml:space="preserve">Orang yang takut status atau identitasnya diketahui dapat menghindari layanan; formulir laporan pengelola dan format laporan IPWL belum diperiksa.</w:t>
      </w:r>
      <w:r>
        <w:t xml:space="preserve"> </w:t>
      </w:r>
      <w:r>
        <w:rPr>
          <w:iCs/>
          <w:i/>
        </w:rPr>
        <w:t xml:space="preserve">Catatan data.</w:t>
      </w:r>
      <w:r>
        <w:t xml:space="preserve"> </w:t>
      </w:r>
      <w:r>
        <w:t xml:space="preserve">Tabel hitungan hak dalam laporan sumber mencatat nol proteksi H3, sedangkan kartu instrumen mengodekan dua; bab ini mengikuti kartu.</w:t>
      </w:r>
    </w:p>
    <w:p>
      <w:pPr>
        <w:pStyle w:val="BodyText"/>
      </w:pPr>
      <w:r>
        <w:rPr>
          <w:bCs/>
          <w:b/>
        </w:rPr>
        <w:t xml:space="preserve">H4. Pekerjaan.</w:t>
      </w:r>
      <w:r>
        <w:t xml:space="preserve"> </w:t>
      </w:r>
      <w:r>
        <w:rPr>
          <w:iCs/>
          <w:i/>
        </w:rPr>
        <w:t xml:space="preserve">Isi aturan.</w:t>
      </w:r>
      <w:r>
        <w:t xml:space="preserve"> </w:t>
      </w:r>
      <w:r>
        <w:t xml:space="preserve">Pengaman: perlindungan hukum setara sebagai tenaga kerja (Perda Kota 16/2011 Pasal 7 ayat (1) huruf c), kecakapan hidup pramuria (Perda Kota 26/2024 Pasal 23 ayat (2)), dan dukungan kerja pascarehabilitasi (Perda Provinsi 6/2018 Pasal 41). Pembebanan: larangan menjadi penjaja seks (Perda Provinsi 8/2016 Pasal 30 ayat (2)); pemeriksaan pra-kerja dan rutin pekerja hiburan (Perda Provinsi 10/2021 Pasal 7A); syarat bebas napza bagi pelamar pegawai daerah (Perda Provinsi 6/2018 Pasal 23); pemeriksaan berkala karyawan dan larangan mempekerjakan pengidap HIV/IMS (Perda Kota 16/2011 Pasal 7 ayat (3) huruf a dan c).</w:t>
      </w:r>
      <w:r>
        <w:t xml:space="preserve"> </w:t>
      </w:r>
      <w:r>
        <w:rPr>
          <w:iCs/>
          <w:i/>
        </w:rPr>
        <w:t xml:space="preserve">Analisis.</w:t>
      </w:r>
      <w:r>
        <w:t xml:space="preserve"> </w:t>
      </w:r>
      <w:r>
        <w:t xml:space="preserve">Yang paling terpapar adalah ODHIV pekerja, PSP, dan pekerja hiburan. Hak kerja dan larangan mempekerjakan berada dalam pasal yang sama. Laporan sumber mencatat kandidat pertentangan dengan Kepmenakertrans 68/2004 Pasal 5.</w:t>
      </w:r>
      <w:r>
        <w:t xml:space="preserve"> </w:t>
      </w:r>
      <w:r>
        <w:rPr>
          <w:iCs/>
          <w:i/>
        </w:rPr>
        <w:t xml:space="preserve">Risiko yang perlu dibuktikan.</w:t>
      </w:r>
      <w:r>
        <w:t xml:space="preserve"> </w:t>
      </w:r>
      <w:r>
        <w:t xml:space="preserve">Pemutusan kerja berbasis status belum diketahui.</w:t>
      </w:r>
    </w:p>
    <w:p>
      <w:pPr>
        <w:pStyle w:val="BodyText"/>
      </w:pPr>
      <w:r>
        <w:rPr>
          <w:bCs/>
          <w:b/>
        </w:rPr>
        <w:t xml:space="preserve">H5. Informasi dan pendidikan.</w:t>
      </w:r>
      <w:r>
        <w:t xml:space="preserve"> </w:t>
      </w:r>
      <w:r>
        <w:rPr>
          <w:iCs/>
          <w:i/>
        </w:rPr>
        <w:t xml:space="preserve">Isi aturan.</w:t>
      </w:r>
      <w:r>
        <w:t xml:space="preserve"> </w:t>
      </w:r>
      <w:r>
        <w:t xml:space="preserve">Perda Kota 16/2011 mewajibkan pendidikan kesehatan reproduksi dan HIV di setiap satuan pendidikan (Pasal 2 ayat (4)) dan memberi peran komunikasi, informasi, dan edukasi (KIE) kepada lembaga adat (Pasal 7 ayat (9)). Perda Provinsi 10/2021 memuat informasi penularan, dan Perwali 7/2024 menyediakan call center 24 jam. Pembebanan yang tercatat adalah pembebasan sementara peserta didik dalam Perda Provinsi 6/2018.</w:t>
      </w:r>
      <w:r>
        <w:t xml:space="preserve"> </w:t>
      </w:r>
      <w:r>
        <w:rPr>
          <w:iCs/>
          <w:i/>
        </w:rPr>
        <w:t xml:space="preserve">Celah.</w:t>
      </w:r>
      <w:r>
        <w:t xml:space="preserve"> </w:t>
      </w:r>
      <w:r>
        <w:t xml:space="preserve">Isi layanan HIV di PKR tidak dirinci.</w:t>
      </w:r>
      <w:r>
        <w:t xml:space="preserve"> </w:t>
      </w:r>
      <w:r>
        <w:rPr>
          <w:iCs/>
          <w:i/>
        </w:rPr>
        <w:t xml:space="preserve">Analisis.</w:t>
      </w:r>
      <w:r>
        <w:t xml:space="preserve"> </w:t>
      </w:r>
      <w:r>
        <w:t xml:space="preserve">H5 paling konsisten dilindungi di tingkat kota, tetapi kanal informasi tanpa aturan kerahasiaan belum tentu dipakai. Pembebanan yang tercatat terutama menyentuh peserta didik.</w:t>
      </w:r>
      <w:r>
        <w:t xml:space="preserve"> </w:t>
      </w:r>
      <w:r>
        <w:rPr>
          <w:iCs/>
          <w:i/>
        </w:rPr>
        <w:t xml:space="preserve">Belum dapat dinilai.</w:t>
      </w:r>
      <w:r>
        <w:t xml:space="preserve"> </w:t>
      </w:r>
      <w:r>
        <w:t xml:space="preserve">Pelaksanaan pendidikan HIV dan pemakaian call center belum didukung data layanan.</w:t>
      </w:r>
    </w:p>
    <w:p>
      <w:pPr>
        <w:pStyle w:val="BodyText"/>
      </w:pPr>
      <w:r>
        <w:rPr>
          <w:bCs/>
          <w:b/>
        </w:rPr>
        <w:t xml:space="preserve">H6. Martabat dan bebas dari perlakuan sewenang-wenang.</w:t>
      </w:r>
      <w:r>
        <w:t xml:space="preserve"> </w:t>
      </w:r>
      <w:r>
        <w:rPr>
          <w:iCs/>
          <w:i/>
        </w:rPr>
        <w:t xml:space="preserve">Isi aturan.</w:t>
      </w:r>
      <w:r>
        <w:t xml:space="preserve"> </w:t>
      </w:r>
      <w:r>
        <w:t xml:space="preserve">Pengaman: perlindungan perempuan korban kekerasan (Perda Kota 26/2024). Pembebanan: pidana atas kewajiban perilaku (Perda Kota 16/2011 Pasal 9; Perda Provinsi 10/2021 Pasal 40), diskresi "patut diduga" (Perda Provinsi 8/2016 Pasal 45), dan pemeriksaan kesehatan yang dihadiri Satpol PP (Perda Provinsi 10/2021 Pasal 6 ayat (2)).</w:t>
      </w:r>
      <w:r>
        <w:t xml:space="preserve"> </w:t>
      </w:r>
      <w:r>
        <w:rPr>
          <w:iCs/>
          <w:i/>
        </w:rPr>
        <w:t xml:space="preserve">Analisis.</w:t>
      </w:r>
      <w:r>
        <w:t xml:space="preserve"> </w:t>
      </w:r>
      <w:r>
        <w:t xml:space="preserve">Yang paling terpapar adalah ODHIV, PSP, LSL, dan PENASUN. Ada asimetri: Pasal 9 Perda kota memidana kewajiban populasi kunci dan ODHIV, tetapi tidak kewajiban sektor kesehatan (Pasal 7 ayat (4)), lembaga adat (ayat (9)–(10)), atau pemerintah kampung (ayat (7)); Pasal 40 Perda provinsi juga tidak menjangkau pemerintah atau KPA. Pasal 9 bahkan ikut merujuk Pasal 7 ayat (1), yang berisi hak.</w:t>
      </w:r>
      <w:r>
        <w:t xml:space="preserve"> </w:t>
      </w:r>
      <w:r>
        <w:rPr>
          <w:iCs/>
          <w:i/>
        </w:rPr>
        <w:t xml:space="preserve">Celah.</w:t>
      </w:r>
      <w:r>
        <w:t xml:space="preserve"> </w:t>
      </w:r>
      <w:r>
        <w:t xml:space="preserve">Tidak ditemukan mekanisme keberatan.</w:t>
      </w:r>
      <w:r>
        <w:t xml:space="preserve"> </w:t>
      </w:r>
      <w:r>
        <w:rPr>
          <w:iCs/>
          <w:i/>
        </w:rPr>
        <w:t xml:space="preserve">Risiko yang perlu dibuktikan.</w:t>
      </w:r>
      <w:r>
        <w:t xml:space="preserve"> </w:t>
      </w:r>
      <w:r>
        <w:t xml:space="preserve">Penegakan pasal pidana sejak 2011/2021 belum diketahui.</w:t>
      </w:r>
    </w:p>
    <w:p>
      <w:pPr>
        <w:pStyle w:val="BodyText"/>
      </w:pPr>
      <w:r>
        <w:rPr>
          <w:bCs/>
          <w:b/>
        </w:rPr>
        <w:t xml:space="preserve">H7. Partisipasi.</w:t>
      </w:r>
      <w:r>
        <w:t xml:space="preserve"> </w:t>
      </w:r>
      <w:r>
        <w:rPr>
          <w:iCs/>
          <w:i/>
        </w:rPr>
        <w:t xml:space="preserve">Isi aturan.</w:t>
      </w:r>
      <w:r>
        <w:t xml:space="preserve"> </w:t>
      </w:r>
      <w:r>
        <w:t xml:space="preserve">Perda Kota 16/2011 Pasal 1, Pasal 3 ayat (4)–(5), dan Pasal 7 ayat (9)–(10) memberi peran kepada tokoh adat, tokoh agama, lembaga adat, dan pemerintah kampung; Perda Kota 26/2024 mengatur peran serta masyarakat.</w:t>
      </w:r>
      <w:r>
        <w:t xml:space="preserve"> </w:t>
      </w:r>
      <w:r>
        <w:rPr>
          <w:iCs/>
          <w:i/>
        </w:rPr>
        <w:t xml:space="preserve">Celah.</w:t>
      </w:r>
      <w:r>
        <w:t xml:space="preserve"> </w:t>
      </w:r>
      <w:r>
        <w:t xml:space="preserve">KPA Provinsi (Perda 10/2021 Pasal 26) memuat Divisi Kerohanian tetapi tidak memuat wakil ODHIV atau komunitas populasi kunci; Keputusan Walikota tentang KPA Kota belum ditemukan.</w:t>
      </w:r>
      <w:r>
        <w:t xml:space="preserve"> </w:t>
      </w:r>
      <w:r>
        <w:rPr>
          <w:iCs/>
          <w:i/>
        </w:rPr>
        <w:t xml:space="preserve">Analisis.</w:t>
      </w:r>
      <w:r>
        <w:t xml:space="preserve"> </w:t>
      </w:r>
      <w:r>
        <w:t xml:space="preserve">Partisipasi adat, agama, dan kampung penting, tetapi tidak sama dengan partisipasi komunitas ODHIV dan populasi kunci, yang paling terpapar oleh celah ini.</w:t>
      </w:r>
      <w:r>
        <w:t xml:space="preserve"> </w:t>
      </w:r>
      <w:r>
        <w:rPr>
          <w:iCs/>
          <w:i/>
        </w:rPr>
        <w:t xml:space="preserve">Belum dapat dinilai.</w:t>
      </w:r>
      <w:r>
        <w:t xml:space="preserve"> </w:t>
      </w:r>
      <w:r>
        <w:t xml:space="preserve">Susunan KPA Kota dan praktik pelibatan komunitas, karena Keputusan Walikota belum ditemukan dan data pelaksanaan belum ada.</w:t>
      </w:r>
    </w:p>
    <w:p>
      <w:pPr>
        <w:pStyle w:val="BodyText"/>
      </w:pPr>
      <w:r>
        <w:rPr>
          <w:bCs/>
          <w:b/>
        </w:rPr>
        <w:t xml:space="preserve">Exhibit 4.2. Matriks tujuh hak: pengaman × pembebanan × kelompok</w:t>
      </w:r>
    </w:p>
    <w:tbl>
      <w:tblPr>
        <w:tblStyle w:val="Table"/>
        <w:tblW w:type="dxa" w:w="8787"/>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12"/>
        <w:gridCol w:w="2075"/>
        <w:gridCol w:w="2055"/>
        <w:gridCol w:w="1231"/>
        <w:gridCol w:w="1712"/>
      </w:tblGrid>
      <w:tr>
        <w:trPr>
          <w:tblHeader w:val="true"/>
        </w:trPr>
        <w:tc>
          <w:tcPr>
            <w:tcW w:type="dxa" w:w="1712"/>
          </w:tcPr>
          <w:p>
            <w:pPr>
              <w:pStyle w:val="Compact"/>
              <w:spacing w:line="240" w:lineRule="auto" w:after="20" w:before="20"/>
              <w:jc w:val="left"/>
            </w:pPr>
            <w:r>
              <w:rPr>
                <w:rFonts w:ascii="Times New Roman" w:hAnsi="Times New Roman"/>
                <w:b/>
                <w:sz w:val="18"/>
              </w:rPr>
              <w:t xml:space="preserve">Hak</w:t>
            </w:r>
          </w:p>
        </w:tc>
        <w:tc>
          <w:tcPr>
            <w:tcW w:type="dxa" w:w="2076"/>
          </w:tcPr>
          <w:p>
            <w:pPr>
              <w:pStyle w:val="Compact"/>
              <w:spacing w:line="240" w:lineRule="auto" w:after="20" w:before="20"/>
              <w:jc w:val="left"/>
            </w:pPr>
            <w:r>
              <w:rPr>
                <w:rFonts w:ascii="Times New Roman" w:hAnsi="Times New Roman"/>
                <w:b/>
                <w:sz w:val="18"/>
              </w:rPr>
              <w:t xml:space="preserve">Pengaman utama</w:t>
            </w:r>
          </w:p>
        </w:tc>
        <w:tc>
          <w:tcPr>
            <w:tcW w:type="dxa" w:w="2055"/>
          </w:tcPr>
          <w:p>
            <w:pPr>
              <w:pStyle w:val="Compact"/>
              <w:spacing w:line="240" w:lineRule="auto" w:after="20" w:before="20"/>
              <w:jc w:val="left"/>
            </w:pPr>
            <w:r>
              <w:rPr>
                <w:rFonts w:ascii="Times New Roman" w:hAnsi="Times New Roman"/>
                <w:b/>
                <w:sz w:val="18"/>
              </w:rPr>
              <w:t xml:space="preserve">Pembebanan utama</w:t>
            </w:r>
          </w:p>
        </w:tc>
        <w:tc>
          <w:tcPr>
            <w:tcW w:type="dxa" w:w="1232"/>
          </w:tcPr>
          <w:p>
            <w:pPr>
              <w:pStyle w:val="Compact"/>
              <w:spacing w:line="240" w:lineRule="auto" w:after="20" w:before="20"/>
              <w:jc w:val="left"/>
            </w:pPr>
            <w:r>
              <w:rPr>
                <w:rFonts w:ascii="Times New Roman" w:hAnsi="Times New Roman"/>
                <w:b/>
                <w:sz w:val="18"/>
              </w:rPr>
              <w:t xml:space="preserve">Kelompok terutama terpapar</w:t>
            </w:r>
          </w:p>
        </w:tc>
        <w:tc>
          <w:tcPr>
            <w:tcW w:type="dxa" w:w="1712"/>
          </w:tcPr>
          <w:p>
            <w:pPr>
              <w:pStyle w:val="Compact"/>
              <w:spacing w:line="240" w:lineRule="auto" w:after="20" w:before="20"/>
              <w:jc w:val="left"/>
            </w:pPr>
            <w:r>
              <w:rPr>
                <w:rFonts w:ascii="Times New Roman" w:hAnsi="Times New Roman"/>
                <w:b/>
                <w:sz w:val="18"/>
              </w:rPr>
              <w:t xml:space="preserve">Status bukti</w:t>
            </w:r>
          </w:p>
        </w:tc>
      </w:tr>
      <w:tr>
        <w:tc>
          <w:tcPr>
            <w:tcW w:type="dxa" w:w="1712"/>
          </w:tcPr>
          <w:p>
            <w:pPr>
              <w:pStyle w:val="Compact"/>
              <w:spacing w:line="240" w:lineRule="auto" w:after="20" w:before="20"/>
              <w:jc w:val="left"/>
            </w:pPr>
            <w:r>
              <w:rPr>
                <w:rFonts w:ascii="Times New Roman" w:hAnsi="Times New Roman"/>
                <w:sz w:val="18"/>
              </w:rPr>
              <w:t xml:space="preserve">H1 Kesehatan</w:t>
            </w:r>
          </w:p>
        </w:tc>
        <w:tc>
          <w:tcPr>
            <w:tcW w:type="dxa" w:w="2076"/>
          </w:tcPr>
          <w:p>
            <w:pPr>
              <w:pStyle w:val="Compact"/>
              <w:spacing w:line="240" w:lineRule="auto" w:after="20" w:before="20"/>
              <w:jc w:val="left"/>
            </w:pPr>
            <w:r>
              <w:rPr>
                <w:rFonts w:ascii="Times New Roman" w:hAnsi="Times New Roman"/>
                <w:sz w:val="18"/>
              </w:rPr>
              <w:t xml:space="preserve">Hak akses, kondom/pelicin, ADKK (Perda Kota 16/2011 Ps 7); layanan PKR (Perwali 7/2024 Ps 4)</w:t>
            </w:r>
          </w:p>
        </w:tc>
        <w:tc>
          <w:tcPr>
            <w:tcW w:type="dxa" w:w="2055"/>
          </w:tcPr>
          <w:p>
            <w:pPr>
              <w:pStyle w:val="Compact"/>
              <w:spacing w:line="240" w:lineRule="auto" w:after="20" w:before="20"/>
              <w:jc w:val="left"/>
            </w:pPr>
            <w:r>
              <w:rPr>
                <w:rFonts w:ascii="Times New Roman" w:hAnsi="Times New Roman"/>
                <w:sz w:val="18"/>
              </w:rPr>
              <w:t xml:space="preserve">PITC tanpa syarat sukarela (Ps 5); jam 07.30–14.30 WIT; pidana kepatuhan ARV (Perda Prov 10/2021 Ps 15 jo. 40)</w:t>
            </w:r>
          </w:p>
        </w:tc>
        <w:tc>
          <w:tcPr>
            <w:tcW w:type="dxa" w:w="1232"/>
          </w:tcPr>
          <w:p>
            <w:pPr>
              <w:pStyle w:val="Compact"/>
              <w:spacing w:line="240" w:lineRule="auto" w:after="20" w:before="20"/>
              <w:jc w:val="left"/>
            </w:pPr>
            <w:r>
              <w:rPr>
                <w:rFonts w:ascii="Times New Roman" w:hAnsi="Times New Roman"/>
                <w:sz w:val="18"/>
              </w:rPr>
              <w:t xml:space="preserve">ODHIV, PENASUN, pekerja malam</w:t>
            </w:r>
          </w:p>
        </w:tc>
        <w:tc>
          <w:tcPr>
            <w:tcW w:type="dxa" w:w="1712"/>
          </w:tcPr>
          <w:p>
            <w:pPr>
              <w:pStyle w:val="Compact"/>
              <w:spacing w:line="240" w:lineRule="auto" w:after="20" w:before="20"/>
              <w:jc w:val="left"/>
            </w:pPr>
            <w:r>
              <w:rPr>
                <w:rFonts w:ascii="Times New Roman" w:hAnsi="Times New Roman"/>
                <w:sz w:val="18"/>
              </w:rPr>
              <w:t xml:space="preserve">Isi aturan; dampak perlu dibuktikan</w:t>
            </w:r>
          </w:p>
        </w:tc>
      </w:tr>
      <w:tr>
        <w:tc>
          <w:tcPr>
            <w:tcW w:type="dxa" w:w="1712"/>
          </w:tcPr>
          <w:p>
            <w:pPr>
              <w:pStyle w:val="Compact"/>
              <w:spacing w:line="240" w:lineRule="auto" w:after="20" w:before="20"/>
              <w:jc w:val="left"/>
            </w:pPr>
            <w:r>
              <w:rPr>
                <w:rFonts w:ascii="Times New Roman" w:hAnsi="Times New Roman"/>
                <w:sz w:val="18"/>
              </w:rPr>
              <w:t xml:space="preserve">H2 Non-diskriminasi</w:t>
            </w:r>
          </w:p>
        </w:tc>
        <w:tc>
          <w:tcPr>
            <w:tcW w:type="dxa" w:w="2076"/>
          </w:tcPr>
          <w:p>
            <w:pPr>
              <w:pStyle w:val="Compact"/>
              <w:spacing w:line="240" w:lineRule="auto" w:after="20" w:before="20"/>
              <w:jc w:val="left"/>
            </w:pPr>
            <w:r>
              <w:rPr>
                <w:rFonts w:ascii="Times New Roman" w:hAnsi="Times New Roman"/>
                <w:sz w:val="18"/>
              </w:rPr>
              <w:t xml:space="preserve">Kesetaraan pasien; larangan stigma (Perda Kota 16/2011 Ps 6; Ps 7 ayat (5) huruf d)</w:t>
            </w:r>
          </w:p>
        </w:tc>
        <w:tc>
          <w:tcPr>
            <w:tcW w:type="dxa" w:w="2055"/>
          </w:tcPr>
          <w:p>
            <w:pPr>
              <w:pStyle w:val="Compact"/>
              <w:spacing w:line="240" w:lineRule="auto" w:after="20" w:before="20"/>
              <w:jc w:val="left"/>
            </w:pPr>
            <w:r>
              <w:rPr>
                <w:rFonts w:ascii="Times New Roman" w:hAnsi="Times New Roman"/>
                <w:sz w:val="18"/>
              </w:rPr>
              <w:t xml:space="preserve">Larangan mempekerjakan (Ps 7 ayat (3) huruf c); pemulangan berbasis status dan asal (Perda Prov 10/2021 Ps 6)</w:t>
            </w:r>
          </w:p>
        </w:tc>
        <w:tc>
          <w:tcPr>
            <w:tcW w:type="dxa" w:w="1232"/>
          </w:tcPr>
          <w:p>
            <w:pPr>
              <w:pStyle w:val="Compact"/>
              <w:spacing w:line="240" w:lineRule="auto" w:after="20" w:before="20"/>
              <w:jc w:val="left"/>
            </w:pPr>
            <w:r>
              <w:rPr>
                <w:rFonts w:ascii="Times New Roman" w:hAnsi="Times New Roman"/>
                <w:sz w:val="18"/>
              </w:rPr>
              <w:t xml:space="preserve">ODHIV pekerja, PSP pendatang, TG</w:t>
            </w:r>
          </w:p>
        </w:tc>
        <w:tc>
          <w:tcPr>
            <w:tcW w:type="dxa" w:w="1712"/>
          </w:tcPr>
          <w:p>
            <w:pPr>
              <w:pStyle w:val="Compact"/>
              <w:spacing w:line="240" w:lineRule="auto" w:after="20" w:before="20"/>
              <w:jc w:val="left"/>
            </w:pPr>
            <w:r>
              <w:rPr>
                <w:rFonts w:ascii="Times New Roman" w:hAnsi="Times New Roman"/>
                <w:sz w:val="18"/>
              </w:rPr>
              <w:t xml:space="preserve">Isi aturan; TG = regulatory silence</w:t>
            </w:r>
          </w:p>
        </w:tc>
      </w:tr>
      <w:tr>
        <w:tc>
          <w:tcPr>
            <w:tcW w:type="dxa" w:w="1712"/>
          </w:tcPr>
          <w:p>
            <w:pPr>
              <w:pStyle w:val="Compact"/>
              <w:spacing w:line="240" w:lineRule="auto" w:after="20" w:before="20"/>
              <w:jc w:val="left"/>
            </w:pPr>
            <w:r>
              <w:rPr>
                <w:rFonts w:ascii="Times New Roman" w:hAnsi="Times New Roman"/>
                <w:sz w:val="18"/>
              </w:rPr>
              <w:t xml:space="preserve">H3 Privasi</w:t>
            </w:r>
          </w:p>
        </w:tc>
        <w:tc>
          <w:tcPr>
            <w:tcW w:type="dxa" w:w="2076"/>
          </w:tcPr>
          <w:p>
            <w:pPr>
              <w:pStyle w:val="Compact"/>
              <w:spacing w:line="240" w:lineRule="auto" w:after="20" w:before="20"/>
              <w:jc w:val="left"/>
            </w:pPr>
            <w:r>
              <w:rPr>
                <w:rFonts w:ascii="Times New Roman" w:hAnsi="Times New Roman"/>
                <w:sz w:val="18"/>
              </w:rPr>
              <w:t xml:space="preserve">Konfidensialitas universal (Perda Kota 16/2011 Ps 5); asesmen rahasia (Perda Prov 6/2018 Ps 31–32)</w:t>
            </w:r>
          </w:p>
        </w:tc>
        <w:tc>
          <w:tcPr>
            <w:tcW w:type="dxa" w:w="2055"/>
          </w:tcPr>
          <w:p>
            <w:pPr>
              <w:pStyle w:val="Compact"/>
              <w:spacing w:line="240" w:lineRule="auto" w:after="20" w:before="20"/>
              <w:jc w:val="left"/>
            </w:pPr>
            <w:r>
              <w:rPr>
                <w:rFonts w:ascii="Times New Roman" w:hAnsi="Times New Roman"/>
                <w:sz w:val="18"/>
              </w:rPr>
              <w:t xml:space="preserve">Lapor teman sebaya; pelaporan PSK ke KPA; identitas pecandu ke BNN/Kapolri</w:t>
            </w:r>
          </w:p>
        </w:tc>
        <w:tc>
          <w:tcPr>
            <w:tcW w:type="dxa" w:w="1232"/>
          </w:tcPr>
          <w:p>
            <w:pPr>
              <w:pStyle w:val="Compact"/>
              <w:spacing w:line="240" w:lineRule="auto" w:after="20" w:before="20"/>
              <w:jc w:val="left"/>
            </w:pPr>
            <w:r>
              <w:rPr>
                <w:rFonts w:ascii="Times New Roman" w:hAnsi="Times New Roman"/>
                <w:sz w:val="18"/>
              </w:rPr>
              <w:t xml:space="preserve">PSP, PENASUN, ODHIV</w:t>
            </w:r>
          </w:p>
        </w:tc>
        <w:tc>
          <w:tcPr>
            <w:tcW w:type="dxa" w:w="1712"/>
          </w:tcPr>
          <w:p>
            <w:pPr>
              <w:pStyle w:val="Compact"/>
              <w:spacing w:line="240" w:lineRule="auto" w:after="20" w:before="20"/>
              <w:jc w:val="left"/>
            </w:pPr>
            <w:r>
              <w:rPr>
                <w:rFonts w:ascii="Times New Roman" w:hAnsi="Times New Roman"/>
                <w:sz w:val="18"/>
              </w:rPr>
              <w:t xml:space="preserve">Isi aturan; call center tanpa aturan kerahasiaan</w:t>
            </w:r>
          </w:p>
        </w:tc>
      </w:tr>
      <w:tr>
        <w:tc>
          <w:tcPr>
            <w:tcW w:type="dxa" w:w="1712"/>
          </w:tcPr>
          <w:p>
            <w:pPr>
              <w:pStyle w:val="Compact"/>
              <w:spacing w:line="240" w:lineRule="auto" w:after="20" w:before="20"/>
              <w:jc w:val="left"/>
            </w:pPr>
            <w:r>
              <w:rPr>
                <w:rFonts w:ascii="Times New Roman" w:hAnsi="Times New Roman"/>
                <w:sz w:val="18"/>
              </w:rPr>
              <w:t xml:space="preserve">H4 Pekerjaan</w:t>
            </w:r>
          </w:p>
        </w:tc>
        <w:tc>
          <w:tcPr>
            <w:tcW w:type="dxa" w:w="2076"/>
          </w:tcPr>
          <w:p>
            <w:pPr>
              <w:pStyle w:val="Compact"/>
              <w:spacing w:line="240" w:lineRule="auto" w:after="20" w:before="20"/>
              <w:jc w:val="left"/>
            </w:pPr>
            <w:r>
              <w:rPr>
                <w:rFonts w:ascii="Times New Roman" w:hAnsi="Times New Roman"/>
                <w:sz w:val="18"/>
              </w:rPr>
              <w:t xml:space="preserve">Perlindungan setara tenaga kerja (Ps 7 ayat (1) huruf c); dukungan pascarehabilitasi (Perda Prov 6/2018 Ps 41)</w:t>
            </w:r>
          </w:p>
        </w:tc>
        <w:tc>
          <w:tcPr>
            <w:tcW w:type="dxa" w:w="2055"/>
          </w:tcPr>
          <w:p>
            <w:pPr>
              <w:pStyle w:val="Compact"/>
              <w:spacing w:line="240" w:lineRule="auto" w:after="20" w:before="20"/>
              <w:jc w:val="left"/>
            </w:pPr>
            <w:r>
              <w:rPr>
                <w:rFonts w:ascii="Times New Roman" w:hAnsi="Times New Roman"/>
                <w:sz w:val="18"/>
              </w:rPr>
              <w:t xml:space="preserve">Larangan menjadi penjaja seks; pemeriksaan pekerja (Perda Prov 10/2021 Ps 7A; Perda Kota Ps 7 ayat (3)); syarat bebas napza</w:t>
            </w:r>
          </w:p>
        </w:tc>
        <w:tc>
          <w:tcPr>
            <w:tcW w:type="dxa" w:w="1232"/>
          </w:tcPr>
          <w:p>
            <w:pPr>
              <w:pStyle w:val="Compact"/>
              <w:spacing w:line="240" w:lineRule="auto" w:after="20" w:before="20"/>
              <w:jc w:val="left"/>
            </w:pPr>
            <w:r>
              <w:rPr>
                <w:rFonts w:ascii="Times New Roman" w:hAnsi="Times New Roman"/>
                <w:sz w:val="18"/>
              </w:rPr>
              <w:t xml:space="preserve">ODHIV pekerja, PSP, pekerja hiburan</w:t>
            </w:r>
          </w:p>
        </w:tc>
        <w:tc>
          <w:tcPr>
            <w:tcW w:type="dxa" w:w="1712"/>
          </w:tcPr>
          <w:p>
            <w:pPr>
              <w:pStyle w:val="Compact"/>
              <w:spacing w:line="240" w:lineRule="auto" w:after="20" w:before="20"/>
              <w:jc w:val="left"/>
            </w:pPr>
            <w:r>
              <w:rPr>
                <w:rFonts w:ascii="Times New Roman" w:hAnsi="Times New Roman"/>
                <w:sz w:val="18"/>
              </w:rPr>
              <w:t xml:space="preserve">Kandidat pertentangan (Kepmenakertrans 68/2004)</w:t>
            </w:r>
          </w:p>
        </w:tc>
      </w:tr>
      <w:tr>
        <w:tc>
          <w:tcPr>
            <w:tcW w:type="dxa" w:w="1712"/>
          </w:tcPr>
          <w:p>
            <w:pPr>
              <w:pStyle w:val="Compact"/>
              <w:spacing w:line="240" w:lineRule="auto" w:after="20" w:before="20"/>
              <w:jc w:val="left"/>
            </w:pPr>
            <w:r>
              <w:rPr>
                <w:rFonts w:ascii="Times New Roman" w:hAnsi="Times New Roman"/>
                <w:sz w:val="18"/>
              </w:rPr>
              <w:t xml:space="preserve">H5 Informasi</w:t>
            </w:r>
          </w:p>
        </w:tc>
        <w:tc>
          <w:tcPr>
            <w:tcW w:type="dxa" w:w="2076"/>
          </w:tcPr>
          <w:p>
            <w:pPr>
              <w:pStyle w:val="Compact"/>
              <w:spacing w:line="240" w:lineRule="auto" w:after="20" w:before="20"/>
              <w:jc w:val="left"/>
            </w:pPr>
            <w:r>
              <w:rPr>
                <w:rFonts w:ascii="Times New Roman" w:hAnsi="Times New Roman"/>
                <w:sz w:val="18"/>
              </w:rPr>
              <w:t xml:space="preserve">Pendidikan HIV di sekolah (Ps 2 ayat (4)); KIE lembaga adat; call center 24 jam</w:t>
            </w:r>
          </w:p>
        </w:tc>
        <w:tc>
          <w:tcPr>
            <w:tcW w:type="dxa" w:w="2055"/>
          </w:tcPr>
          <w:p>
            <w:pPr>
              <w:pStyle w:val="Compact"/>
              <w:spacing w:line="240" w:lineRule="auto" w:after="20" w:before="20"/>
              <w:jc w:val="left"/>
            </w:pPr>
            <w:r>
              <w:rPr>
                <w:rFonts w:ascii="Times New Roman" w:hAnsi="Times New Roman"/>
                <w:sz w:val="18"/>
              </w:rPr>
              <w:t xml:space="preserve">Pembebasan sementara peserta didik (Perda Prov 6/2018)</w:t>
            </w:r>
          </w:p>
        </w:tc>
        <w:tc>
          <w:tcPr>
            <w:tcW w:type="dxa" w:w="1232"/>
          </w:tcPr>
          <w:p>
            <w:pPr>
              <w:pStyle w:val="Compact"/>
              <w:spacing w:line="240" w:lineRule="auto" w:after="20" w:before="20"/>
              <w:jc w:val="left"/>
            </w:pPr>
            <w:r>
              <w:rPr>
                <w:rFonts w:ascii="Times New Roman" w:hAnsi="Times New Roman"/>
                <w:sz w:val="18"/>
              </w:rPr>
              <w:t xml:space="preserve">Peserta didik</w:t>
            </w:r>
          </w:p>
        </w:tc>
        <w:tc>
          <w:tcPr>
            <w:tcW w:type="dxa" w:w="1712"/>
          </w:tcPr>
          <w:p>
            <w:pPr>
              <w:pStyle w:val="Compact"/>
              <w:spacing w:line="240" w:lineRule="auto" w:after="20" w:before="20"/>
              <w:jc w:val="left"/>
            </w:pPr>
            <w:r>
              <w:rPr>
                <w:rFonts w:ascii="Times New Roman" w:hAnsi="Times New Roman"/>
                <w:sz w:val="18"/>
              </w:rPr>
              <w:t xml:space="preserve">Isi aturan</w:t>
            </w:r>
          </w:p>
        </w:tc>
      </w:tr>
      <w:tr>
        <w:tc>
          <w:tcPr>
            <w:tcW w:type="dxa" w:w="1712"/>
          </w:tcPr>
          <w:p>
            <w:pPr>
              <w:pStyle w:val="Compact"/>
              <w:spacing w:line="240" w:lineRule="auto" w:after="20" w:before="20"/>
              <w:jc w:val="left"/>
            </w:pPr>
            <w:r>
              <w:rPr>
                <w:rFonts w:ascii="Times New Roman" w:hAnsi="Times New Roman"/>
                <w:sz w:val="18"/>
              </w:rPr>
              <w:t xml:space="preserve">H6 Martabat</w:t>
            </w:r>
          </w:p>
        </w:tc>
        <w:tc>
          <w:tcPr>
            <w:tcW w:type="dxa" w:w="2076"/>
          </w:tcPr>
          <w:p>
            <w:pPr>
              <w:pStyle w:val="Compact"/>
              <w:spacing w:line="240" w:lineRule="auto" w:after="20" w:before="20"/>
              <w:jc w:val="left"/>
            </w:pPr>
            <w:r>
              <w:rPr>
                <w:rFonts w:ascii="Times New Roman" w:hAnsi="Times New Roman"/>
                <w:sz w:val="18"/>
              </w:rPr>
              <w:t xml:space="preserve">Perlindungan perempuan korban kekerasan (Perda Kota 26/2024)</w:t>
            </w:r>
          </w:p>
        </w:tc>
        <w:tc>
          <w:tcPr>
            <w:tcW w:type="dxa" w:w="2055"/>
          </w:tcPr>
          <w:p>
            <w:pPr>
              <w:pStyle w:val="Compact"/>
              <w:spacing w:line="240" w:lineRule="auto" w:after="20" w:before="20"/>
              <w:jc w:val="left"/>
            </w:pPr>
            <w:r>
              <w:rPr>
                <w:rFonts w:ascii="Times New Roman" w:hAnsi="Times New Roman"/>
                <w:sz w:val="18"/>
              </w:rPr>
              <w:t xml:space="preserve">Pidana perilaku (Perda Kota Ps 9; Perda Prov 10/2021 Ps 40); "patut diduga"; Satpol PP saat pemeriksaan</w:t>
            </w:r>
          </w:p>
        </w:tc>
        <w:tc>
          <w:tcPr>
            <w:tcW w:type="dxa" w:w="1232"/>
          </w:tcPr>
          <w:p>
            <w:pPr>
              <w:pStyle w:val="Compact"/>
              <w:spacing w:line="240" w:lineRule="auto" w:after="20" w:before="20"/>
              <w:jc w:val="left"/>
            </w:pPr>
            <w:r>
              <w:rPr>
                <w:rFonts w:ascii="Times New Roman" w:hAnsi="Times New Roman"/>
                <w:sz w:val="18"/>
              </w:rPr>
              <w:t xml:space="preserve">ODHIV, PSP, LSL, PENASUN</w:t>
            </w:r>
          </w:p>
        </w:tc>
        <w:tc>
          <w:tcPr>
            <w:tcW w:type="dxa" w:w="1712"/>
          </w:tcPr>
          <w:p>
            <w:pPr>
              <w:pStyle w:val="Compact"/>
              <w:spacing w:line="240" w:lineRule="auto" w:after="20" w:before="20"/>
              <w:jc w:val="left"/>
            </w:pPr>
            <w:r>
              <w:rPr>
                <w:rFonts w:ascii="Times New Roman" w:hAnsi="Times New Roman"/>
                <w:sz w:val="18"/>
              </w:rPr>
              <w:t xml:space="preserve">Risiko perlu dibuktikan; tanpa keberatan</w:t>
            </w:r>
          </w:p>
        </w:tc>
      </w:tr>
      <w:tr>
        <w:tc>
          <w:tcPr>
            <w:tcW w:type="dxa" w:w="1712"/>
          </w:tcPr>
          <w:p>
            <w:pPr>
              <w:pStyle w:val="Compact"/>
              <w:spacing w:line="240" w:lineRule="auto" w:after="20" w:before="20"/>
              <w:jc w:val="left"/>
            </w:pPr>
            <w:r>
              <w:rPr>
                <w:rFonts w:ascii="Times New Roman" w:hAnsi="Times New Roman"/>
                <w:sz w:val="18"/>
              </w:rPr>
              <w:t xml:space="preserve">H7 Partisipasi</w:t>
            </w:r>
          </w:p>
        </w:tc>
        <w:tc>
          <w:tcPr>
            <w:tcW w:type="dxa" w:w="2076"/>
          </w:tcPr>
          <w:p>
            <w:pPr>
              <w:pStyle w:val="Compact"/>
              <w:spacing w:line="240" w:lineRule="auto" w:after="20" w:before="20"/>
              <w:jc w:val="left"/>
            </w:pPr>
            <w:r>
              <w:rPr>
                <w:rFonts w:ascii="Times New Roman" w:hAnsi="Times New Roman"/>
                <w:sz w:val="18"/>
              </w:rPr>
              <w:t xml:space="preserve">Adat, agama, kampung (Perda Kota 16/2011 Ps 3, Ps 7 ayat (9)–(10))</w:t>
            </w:r>
          </w:p>
        </w:tc>
        <w:tc>
          <w:tcPr>
            <w:tcW w:type="dxa" w:w="2055"/>
          </w:tcPr>
          <w:p>
            <w:pPr>
              <w:pStyle w:val="Compact"/>
              <w:spacing w:line="240" w:lineRule="auto" w:after="20" w:before="20"/>
              <w:jc w:val="left"/>
            </w:pPr>
            <w:r>
              <w:rPr>
                <w:rFonts w:ascii="Times New Roman" w:hAnsi="Times New Roman"/>
                <w:sz w:val="18"/>
              </w:rPr>
              <w:t xml:space="preserve">—</w:t>
            </w:r>
          </w:p>
        </w:tc>
        <w:tc>
          <w:tcPr>
            <w:tcW w:type="dxa" w:w="1232"/>
          </w:tcPr>
          <w:p>
            <w:pPr>
              <w:pStyle w:val="Compact"/>
              <w:spacing w:line="240" w:lineRule="auto" w:after="20" w:before="20"/>
              <w:jc w:val="left"/>
            </w:pPr>
            <w:r>
              <w:rPr>
                <w:rFonts w:ascii="Times New Roman" w:hAnsi="Times New Roman"/>
                <w:sz w:val="18"/>
              </w:rPr>
              <w:t xml:space="preserve">Komunitas ODHIV dan populasi kunci</w:t>
            </w:r>
          </w:p>
        </w:tc>
        <w:tc>
          <w:tcPr>
            <w:tcW w:type="dxa" w:w="1712"/>
          </w:tcPr>
          <w:p>
            <w:pPr>
              <w:pStyle w:val="Compact"/>
              <w:spacing w:line="240" w:lineRule="auto" w:after="20" w:before="20"/>
              <w:jc w:val="left"/>
            </w:pPr>
            <w:r>
              <w:rPr>
                <w:rFonts w:ascii="Times New Roman" w:hAnsi="Times New Roman"/>
                <w:sz w:val="18"/>
              </w:rPr>
              <w:t xml:space="preserve">Temuan normatif (Perda Prov 10/2021 Ps 26)</w:t>
            </w:r>
          </w:p>
        </w:tc>
      </w:tr>
    </w:tbl>
    <w:p>
      <w:pPr>
        <w:pStyle w:val="BodyText"/>
      </w:pPr>
      <w:r>
        <w:rPr>
          <w:iCs/>
          <w:i/>
        </w:rPr>
        <w:t xml:space="preserve">Sumber: diolah dari laporan sumber Kota Jayapura, bagian 4. Tidak ada skor; jumlah pasal tidak mengukur dampak.</w:t>
      </w:r>
    </w:p>
    <w:p>
      <w:pPr>
        <w:pStyle w:val="BodyText"/>
      </w:pPr>
      <w:r>
        <w:rPr>
          <w:bCs/>
          <w:b/>
        </w:rPr>
        <w:t xml:space="preserve">Batas klaim.</w:t>
      </w:r>
      <w:r>
        <w:t xml:space="preserve"> </w:t>
      </w:r>
      <w:r>
        <w:t xml:space="preserve">Matriks ini menunjukkan di mana teks melindungi atau membebani, bukan seberapa sering beban itu dialami. Polanya sejalan dengan Laporan Nasional: perlindungan cenderung berada di aturan HIV, sedangkan beban berada di aturan lain atau di pasal lain dalam aturan yang sama.</w:t>
      </w:r>
    </w:p>
    <w:bookmarkEnd w:id="22"/>
    <w:bookmarkStart w:id="23" w:name="Xa6692e6e273efafc23b744b72e3f4c2862e669a"/>
    <w:p>
      <w:pPr>
        <w:pStyle w:val="Heading3"/>
      </w:pPr>
      <w:r>
        <w:t xml:space="preserve">4.1.4 Distribusi Dampak terhadap Lima Kelompok Kunci</w:t>
      </w:r>
    </w:p>
    <w:p>
      <w:pPr>
        <w:pStyle w:val="FirstParagraph"/>
      </w:pPr>
      <w:r>
        <w:rPr>
          <w:bCs/>
          <w:b/>
        </w:rPr>
        <w:t xml:space="preserve">Temuan utama.</w:t>
      </w:r>
      <w:r>
        <w:t xml:space="preserve"> </w:t>
      </w:r>
      <w:r>
        <w:t xml:space="preserve">PSP paling konsisten muncul sebagai objek kontrol. Transgender nyaris tidak terlihat. ODHIV dilindungi di tingkat kota tetapi dibebani kewajiban bersanksi di kedua tingkat. PENASUN berada di persimpangan aturan HIV dan NAPZA yang tidak saling menautkan layanan.</w:t>
      </w:r>
    </w:p>
    <w:p>
      <w:pPr>
        <w:pStyle w:val="BodyText"/>
      </w:pPr>
      <w:r>
        <w:t xml:space="preserve">Laporan sumber memberi kode pada cara instrumen menyebut kelompok:</w:t>
      </w:r>
      <w:r>
        <w:t xml:space="preserve"> </w:t>
      </w:r>
      <w:r>
        <w:rPr>
          <w:bCs/>
          <w:b/>
        </w:rPr>
        <w:t xml:space="preserve">REC+</w:t>
      </w:r>
      <w:r>
        <w:t xml:space="preserve"> </w:t>
      </w:r>
      <w:r>
        <w:t xml:space="preserve">(diakui sebagai pemegang hak),</w:t>
      </w:r>
      <w:r>
        <w:t xml:space="preserve"> </w:t>
      </w:r>
      <w:r>
        <w:rPr>
          <w:bCs/>
          <w:b/>
        </w:rPr>
        <w:t xml:space="preserve">REC−</w:t>
      </w:r>
      <w:r>
        <w:t xml:space="preserve"> </w:t>
      </w:r>
      <w:r>
        <w:t xml:space="preserve">(disebut sebagai pihak yang dikenai kewajiban atau larangan),</w:t>
      </w:r>
      <w:r>
        <w:t xml:space="preserve"> </w:t>
      </w:r>
      <w:r>
        <w:rPr>
          <w:bCs/>
          <w:b/>
        </w:rPr>
        <w:t xml:space="preserve">GEN</w:t>
      </w:r>
      <w:r>
        <w:t xml:space="preserve"> </w:t>
      </w:r>
      <w:r>
        <w:t xml:space="preserve">(tercakup kategori umum, misalnya "orang berisiko tinggi"),</w:t>
      </w:r>
      <w:r>
        <w:t xml:space="preserve"> </w:t>
      </w:r>
      <w:r>
        <w:rPr>
          <w:bCs/>
          <w:b/>
        </w:rPr>
        <w:t xml:space="preserve">SIL</w:t>
      </w:r>
      <w:r>
        <w:t xml:space="preserve"> </w:t>
      </w:r>
      <w:r>
        <w:t xml:space="preserve">(tidak disebut), dan</w:t>
      </w:r>
      <w:r>
        <w:t xml:space="preserve"> </w:t>
      </w:r>
      <w:r>
        <w:rPr>
          <w:bCs/>
          <w:b/>
        </w:rPr>
        <w:t xml:space="preserve">U</w:t>
      </w:r>
      <w:r>
        <w:t xml:space="preserve"> </w:t>
      </w:r>
      <w:r>
        <w:t xml:space="preserve">(mungkin tercakup, tetapi rumusannya kabur). Hitungan kode bukan prevalensi atau ukuran dampak, dan SIL tidak otomatis berarti diskriminasi.</w:t>
      </w:r>
    </w:p>
    <w:p>
      <w:pPr>
        <w:pStyle w:val="BodyText"/>
      </w:pPr>
      <w:r>
        <w:rPr>
          <w:bCs/>
          <w:b/>
        </w:rPr>
        <w:t xml:space="preserve">ODHIV.</w:t>
      </w:r>
      <w:r>
        <w:t xml:space="preserve"> </w:t>
      </w:r>
      <w:r>
        <w:t xml:space="preserve">Diakui sebagai pemegang hak di Perda kota 2006 dan 2011 melalui kerahasiaan dan kesetaraan (REC+ di dua instrumen, SIL di tiga). Namun, Perda Provinsi 10/2021 Pasal 15 jo. Pasal 40 mewajibkan ODHIV tidak berperilaku berisiko, memakai kondom, dan "patuh terhadap terapi ARV" dengan ancaman pidana; Perda Kota 16/2011 Pasal 7 ayat (6) jo. Pasal 9 memidana larangan donor dan kewajiban melaporkan teman sebaya; Pasal 7 ayat (3) huruf c melarang ODHIV dipekerjakan di tempat berisiko tinggi. Perempuan dengan HIV tidak disebut di Perda Kota 26/2024, dan kesinambungan ARV bagi orang yang dipulangkan tidak dijamin.</w:t>
      </w:r>
      <w:r>
        <w:t xml:space="preserve"> </w:t>
      </w:r>
      <w:r>
        <w:rPr>
          <w:iCs/>
          <w:i/>
        </w:rPr>
        <w:t xml:space="preserve">Belum dapat disimpulkan:</w:t>
      </w:r>
      <w:r>
        <w:t xml:space="preserve"> </w:t>
      </w:r>
      <w:r>
        <w:t xml:space="preserve">penegakan Pasal 40/Pasal 9, retensi ARV, dan pemutusan kerja berbasis status.</w:t>
      </w:r>
    </w:p>
    <w:p>
      <w:pPr>
        <w:pStyle w:val="BodyText"/>
      </w:pPr>
      <w:r>
        <w:rPr>
          <w:bCs/>
          <w:b/>
        </w:rPr>
        <w:t xml:space="preserve">PSP.</w:t>
      </w:r>
      <w:r>
        <w:t xml:space="preserve"> </w:t>
      </w:r>
      <w:r>
        <w:t xml:space="preserve">Terutama muncul sebagai objek kewajiban (REC− di empat dari tujuh instrumen). Kota menyebut "Penjaja Seks", provinsi "penjaja seks komersial". Perda Kota 26/2024 Pasal 23 melindungi "pramuria", tetapi Penjelasannya memaknainya sebagai pekerja seks yang "tidak dilegalkan". PSP menghadapi larangan menjadi penjaja seks (Perda Provinsi 8/2016 Pasal 30 ayat (2)); pemeriksaan, pelaporan, penyerahan, dan pemulangan (Perda Provinsi 10/2021 Pasal 6); serta kewajiban kondom yang dipidana (Perda Kota 16/2011 Pasal 7 ayat (2) jo. Pasal 9). Tidak ada jalur keberatan.</w:t>
      </w:r>
      <w:r>
        <w:t xml:space="preserve"> </w:t>
      </w:r>
      <w:r>
        <w:rPr>
          <w:iCs/>
          <w:i/>
        </w:rPr>
        <w:t xml:space="preserve">Belum dapat disimpulkan:</w:t>
      </w:r>
      <w:r>
        <w:t xml:space="preserve"> </w:t>
      </w:r>
      <w:r>
        <w:t xml:space="preserve">operasi Satpol PP, laporan pengelola ke KPA, dan data pemulangan.</w:t>
      </w:r>
    </w:p>
    <w:p>
      <w:pPr>
        <w:pStyle w:val="BodyText"/>
      </w:pPr>
      <w:r>
        <w:rPr>
          <w:bCs/>
          <w:b/>
        </w:rPr>
        <w:t xml:space="preserve">LSL.</w:t>
      </w:r>
      <w:r>
        <w:t xml:space="preserve"> </w:t>
      </w:r>
      <w:r>
        <w:t xml:space="preserve">Disebut sebagai "Pria Berhubungan seks dengan pria" di Perda kota dan tercakup "orang berisiko tinggi" di provinsi (SIL di tiga instrumen, REC− di dua). Bebannya adalah kewajiban kondom yang bersanksi dan paparan istilah "asusila" serta diskresi "patut diduga" (Perda Provinsi 8/2016). Tidak ada layanan khusus LSL dalam teks.</w:t>
      </w:r>
      <w:r>
        <w:t xml:space="preserve"> </w:t>
      </w:r>
      <w:r>
        <w:rPr>
          <w:iCs/>
          <w:i/>
        </w:rPr>
        <w:t xml:space="preserve">Belum dapat disimpulkan:</w:t>
      </w:r>
      <w:r>
        <w:t xml:space="preserve"> </w:t>
      </w:r>
      <w:r>
        <w:t xml:space="preserve">laporan razia, kunjungan layanan, dan kesaksian LSL.</w:t>
      </w:r>
    </w:p>
    <w:p>
      <w:pPr>
        <w:pStyle w:val="BodyText"/>
      </w:pPr>
      <w:r>
        <w:rPr>
          <w:bCs/>
          <w:b/>
        </w:rPr>
        <w:t xml:space="preserve">Transgender, termasuk waria dan transpuan.</w:t>
      </w:r>
      <w:r>
        <w:t xml:space="preserve"> </w:t>
      </w:r>
      <w:r>
        <w:t xml:space="preserve">Tidak disebut di enam dari tujuh instrumen dan hanya tercakup kabur melalui "asusila" dalam Perda Provinsi 8/2016. Lampiran Permenkes 23/2022 menyebut waria meliputi transgender dan transpuan, tetapi definisi di batang tubuhnya sudah dicabut. Tidak jelas apakah hak akses Perda Kota 16/2011 Pasal 7 ayat (1) menjangkau transgender.</w:t>
      </w:r>
      <w:r>
        <w:t xml:space="preserve"> </w:t>
      </w:r>
      <w:r>
        <w:rPr>
          <w:iCs/>
          <w:i/>
        </w:rPr>
        <w:t xml:space="preserve">Analisis.</w:t>
      </w:r>
      <w:r>
        <w:t xml:space="preserve"> </w:t>
      </w:r>
      <w:r>
        <w:t xml:space="preserve">Ini regulatory silence paling menyeluruh: transgender dapat tersentuh norma pembatasan tanpa pernah disebut sebagai pemegang hak.</w:t>
      </w:r>
      <w:r>
        <w:t xml:space="preserve"> </w:t>
      </w:r>
      <w:r>
        <w:rPr>
          <w:iCs/>
          <w:i/>
        </w:rPr>
        <w:t xml:space="preserve">Belum dapat disimpulkan:</w:t>
      </w:r>
      <w:r>
        <w:t xml:space="preserve"> </w:t>
      </w:r>
      <w:r>
        <w:t xml:space="preserve">data layanan terpilah identitas gender dan kesaksian.</w:t>
      </w:r>
    </w:p>
    <w:p>
      <w:pPr>
        <w:pStyle w:val="BodyText"/>
      </w:pPr>
      <w:r>
        <w:rPr>
          <w:bCs/>
          <w:b/>
        </w:rPr>
        <w:t xml:space="preserve">PENASUN.</w:t>
      </w:r>
      <w:r>
        <w:t xml:space="preserve"> </w:t>
      </w:r>
      <w:r>
        <w:t xml:space="preserve">Disebut "Pengguna Napza suntik" di Perda kota, tetapi tidak dibedakan dari pengguna napza umum di Perda NAPZA provinsi (GEN di tiga instrumen, REC− di dua). Bebannya: wajib lapor ke institusi penerima wajib lapor (IPWL) dan laporan identitas (Perda Provinsi 6/2018 Pasal 37 ayat (5)), pemidanaan penggunaan zat (Perda Provinsi 8/2016 Pasal 35 jo. Pasal 50), dan kewajiban individu "meminta kepada petugas untuk menggunakan alat suntik sekali pakai" yang bersanksi (Perda Provinsi 10/2021 Pasal 4 jo. Pasal 40). LASS dan terapi rumatan tidak diatur.</w:t>
      </w:r>
      <w:r>
        <w:t xml:space="preserve"> </w:t>
      </w:r>
      <w:r>
        <w:rPr>
          <w:iCs/>
          <w:i/>
        </w:rPr>
        <w:t xml:space="preserve">Analisis.</w:t>
      </w:r>
      <w:r>
        <w:t xml:space="preserve"> </w:t>
      </w:r>
      <w:r>
        <w:t xml:space="preserve">Aturan HIV dan NAPZA bertemu tanpa jembatan layanan.</w:t>
      </w:r>
      <w:r>
        <w:t xml:space="preserve"> </w:t>
      </w:r>
      <w:r>
        <w:rPr>
          <w:iCs/>
          <w:i/>
        </w:rPr>
        <w:t xml:space="preserve">Belum dapat disimpulkan:</w:t>
      </w:r>
      <w:r>
        <w:t xml:space="preserve"> </w:t>
      </w:r>
      <w:r>
        <w:t xml:space="preserve">format laporan IPWL dan rujukan ke layanan HIV.</w:t>
      </w:r>
    </w:p>
    <w:p>
      <w:pPr>
        <w:pStyle w:val="BodyText"/>
      </w:pPr>
      <w:r>
        <w:t xml:space="preserve">Kelompok yang beririsan juga tersentuh: migran (pemulangan PSK dari luar Papua; wajib lapor tamu), anak ("Anak Jalanan" dalam daftar kelompok yang dibebani di Perda Kota 16/2011 Pasal 1), serta masyarakat adat dan Orang Asli Papua yang diakui sebagai pelaku KIE.</w:t>
      </w:r>
    </w:p>
    <w:p>
      <w:pPr>
        <w:pStyle w:val="BodyText"/>
      </w:pPr>
      <w:r>
        <w:rPr>
          <w:bCs/>
          <w:b/>
        </w:rPr>
        <w:t xml:space="preserve">Exhibit 4.3. Matriks lima kelompok kunci: pengakuan × pembebanan × regulatory silence</w:t>
      </w:r>
    </w:p>
    <w:tbl>
      <w:tblPr>
        <w:tblStyle w:val="Table"/>
        <w:tblW w:type="dxa" w:w="8787"/>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941"/>
        <w:gridCol w:w="2078"/>
        <w:gridCol w:w="2419"/>
        <w:gridCol w:w="1717"/>
        <w:gridCol w:w="1630"/>
      </w:tblGrid>
      <w:tr>
        <w:trPr>
          <w:tblHeader w:val="true"/>
        </w:trPr>
        <w:tc>
          <w:tcPr>
            <w:tcW w:type="dxa" w:w="941"/>
          </w:tcPr>
          <w:p>
            <w:pPr>
              <w:pStyle w:val="Compact"/>
              <w:spacing w:line="240" w:lineRule="auto" w:after="20" w:before="20"/>
              <w:jc w:val="left"/>
            </w:pPr>
            <w:r>
              <w:rPr>
                <w:rFonts w:ascii="Times New Roman" w:hAnsi="Times New Roman"/>
                <w:b/>
                <w:sz w:val="18"/>
              </w:rPr>
              <w:t xml:space="preserve">Kelompok</w:t>
            </w:r>
          </w:p>
        </w:tc>
        <w:tc>
          <w:tcPr>
            <w:tcW w:type="dxa" w:w="2078"/>
          </w:tcPr>
          <w:p>
            <w:pPr>
              <w:pStyle w:val="Compact"/>
              <w:spacing w:line="240" w:lineRule="auto" w:after="20" w:before="20"/>
              <w:jc w:val="left"/>
            </w:pPr>
            <w:r>
              <w:rPr>
                <w:rFonts w:ascii="Times New Roman" w:hAnsi="Times New Roman"/>
                <w:b/>
                <w:sz w:val="18"/>
              </w:rPr>
              <w:t xml:space="preserve">Pengakuan dalam teks</w:t>
            </w:r>
          </w:p>
        </w:tc>
        <w:tc>
          <w:tcPr>
            <w:tcW w:type="dxa" w:w="2420"/>
          </w:tcPr>
          <w:p>
            <w:pPr>
              <w:pStyle w:val="Compact"/>
              <w:spacing w:line="240" w:lineRule="auto" w:after="20" w:before="20"/>
              <w:jc w:val="left"/>
            </w:pPr>
            <w:r>
              <w:rPr>
                <w:rFonts w:ascii="Times New Roman" w:hAnsi="Times New Roman"/>
                <w:b/>
                <w:sz w:val="18"/>
              </w:rPr>
              <w:t xml:space="preserve">Pembebanan utama</w:t>
            </w:r>
          </w:p>
        </w:tc>
        <w:tc>
          <w:tcPr>
            <w:tcW w:type="dxa" w:w="1718"/>
          </w:tcPr>
          <w:p>
            <w:pPr>
              <w:pStyle w:val="Compact"/>
              <w:spacing w:line="240" w:lineRule="auto" w:after="20" w:before="20"/>
              <w:jc w:val="left"/>
            </w:pPr>
            <w:r>
              <w:rPr>
                <w:rFonts w:ascii="Times New Roman" w:hAnsi="Times New Roman"/>
                <w:b/>
                <w:sz w:val="18"/>
              </w:rPr>
              <w:t xml:space="preserve">Regulatory silence / celah</w:t>
            </w:r>
          </w:p>
        </w:tc>
        <w:tc>
          <w:tcPr>
            <w:tcW w:type="dxa" w:w="1631"/>
          </w:tcPr>
          <w:p>
            <w:pPr>
              <w:pStyle w:val="Compact"/>
              <w:spacing w:line="240" w:lineRule="auto" w:after="20" w:before="20"/>
              <w:jc w:val="left"/>
            </w:pPr>
            <w:r>
              <w:rPr>
                <w:rFonts w:ascii="Times New Roman" w:hAnsi="Times New Roman"/>
                <w:b/>
                <w:sz w:val="18"/>
              </w:rPr>
              <w:t xml:space="preserve">Belum dapat disimpulkan</w:t>
            </w:r>
          </w:p>
        </w:tc>
      </w:tr>
      <w:tr>
        <w:tc>
          <w:tcPr>
            <w:tcW w:type="dxa" w:w="941"/>
          </w:tcPr>
          <w:p>
            <w:pPr>
              <w:pStyle w:val="Compact"/>
              <w:spacing w:line="240" w:lineRule="auto" w:after="20" w:before="20"/>
              <w:jc w:val="left"/>
            </w:pPr>
            <w:r>
              <w:rPr>
                <w:rFonts w:ascii="Times New Roman" w:hAnsi="Times New Roman"/>
                <w:sz w:val="18"/>
              </w:rPr>
              <w:t xml:space="preserve">ODHIV</w:t>
            </w:r>
          </w:p>
        </w:tc>
        <w:tc>
          <w:tcPr>
            <w:tcW w:type="dxa" w:w="2078"/>
          </w:tcPr>
          <w:p>
            <w:pPr>
              <w:pStyle w:val="Compact"/>
              <w:spacing w:line="240" w:lineRule="auto" w:after="20" w:before="20"/>
              <w:jc w:val="left"/>
            </w:pPr>
            <w:r>
              <w:rPr>
                <w:rFonts w:ascii="Times New Roman" w:hAnsi="Times New Roman"/>
                <w:sz w:val="18"/>
              </w:rPr>
              <w:t xml:space="preserve">Pemegang hak di Perda kota (kerahasiaan, kesetaraan)</w:t>
            </w:r>
          </w:p>
        </w:tc>
        <w:tc>
          <w:tcPr>
            <w:tcW w:type="dxa" w:w="2420"/>
          </w:tcPr>
          <w:p>
            <w:pPr>
              <w:pStyle w:val="Compact"/>
              <w:spacing w:line="240" w:lineRule="auto" w:after="20" w:before="20"/>
              <w:jc w:val="left"/>
            </w:pPr>
            <w:r>
              <w:rPr>
                <w:rFonts w:ascii="Times New Roman" w:hAnsi="Times New Roman"/>
                <w:sz w:val="18"/>
              </w:rPr>
              <w:t xml:space="preserve">Pidana kepatuhan ARV (Prov Ps 15 jo. 40); larangan donor, lapor teman sebaya, larangan dipekerjakan (Kota Ps 7 jo. 9)</w:t>
            </w:r>
          </w:p>
        </w:tc>
        <w:tc>
          <w:tcPr>
            <w:tcW w:type="dxa" w:w="1718"/>
          </w:tcPr>
          <w:p>
            <w:pPr>
              <w:pStyle w:val="Compact"/>
              <w:spacing w:line="240" w:lineRule="auto" w:after="20" w:before="20"/>
              <w:jc w:val="left"/>
            </w:pPr>
            <w:r>
              <w:rPr>
                <w:rFonts w:ascii="Times New Roman" w:hAnsi="Times New Roman"/>
                <w:sz w:val="18"/>
              </w:rPr>
              <w:t xml:space="preserve">Perempuan dengan HIV; ARV setelah pemulangan</w:t>
            </w:r>
          </w:p>
        </w:tc>
        <w:tc>
          <w:tcPr>
            <w:tcW w:type="dxa" w:w="1631"/>
          </w:tcPr>
          <w:p>
            <w:pPr>
              <w:pStyle w:val="Compact"/>
              <w:spacing w:line="240" w:lineRule="auto" w:after="20" w:before="20"/>
              <w:jc w:val="left"/>
            </w:pPr>
            <w:r>
              <w:rPr>
                <w:rFonts w:ascii="Times New Roman" w:hAnsi="Times New Roman"/>
                <w:sz w:val="18"/>
              </w:rPr>
              <w:t xml:space="preserve">Penegakan; retensi ARV; PHK</w:t>
            </w:r>
          </w:p>
        </w:tc>
      </w:tr>
      <w:tr>
        <w:tc>
          <w:tcPr>
            <w:tcW w:type="dxa" w:w="941"/>
          </w:tcPr>
          <w:p>
            <w:pPr>
              <w:pStyle w:val="Compact"/>
              <w:spacing w:line="240" w:lineRule="auto" w:after="20" w:before="20"/>
              <w:jc w:val="left"/>
            </w:pPr>
            <w:r>
              <w:rPr>
                <w:rFonts w:ascii="Times New Roman" w:hAnsi="Times New Roman"/>
                <w:sz w:val="18"/>
              </w:rPr>
              <w:t xml:space="preserve">PSP</w:t>
            </w:r>
          </w:p>
        </w:tc>
        <w:tc>
          <w:tcPr>
            <w:tcW w:type="dxa" w:w="2078"/>
          </w:tcPr>
          <w:p>
            <w:pPr>
              <w:pStyle w:val="Compact"/>
              <w:spacing w:line="240" w:lineRule="auto" w:after="20" w:before="20"/>
              <w:jc w:val="left"/>
            </w:pPr>
            <w:r>
              <w:rPr>
                <w:rFonts w:ascii="Times New Roman" w:hAnsi="Times New Roman"/>
                <w:sz w:val="18"/>
              </w:rPr>
              <w:t xml:space="preserve">Terutama objek kewajiban; "pramuria" dilindungi tetapi "tidak dilegalkan"</w:t>
            </w:r>
          </w:p>
        </w:tc>
        <w:tc>
          <w:tcPr>
            <w:tcW w:type="dxa" w:w="2420"/>
          </w:tcPr>
          <w:p>
            <w:pPr>
              <w:pStyle w:val="Compact"/>
              <w:spacing w:line="240" w:lineRule="auto" w:after="20" w:before="20"/>
              <w:jc w:val="left"/>
            </w:pPr>
            <w:r>
              <w:rPr>
                <w:rFonts w:ascii="Times New Roman" w:hAnsi="Times New Roman"/>
                <w:sz w:val="18"/>
              </w:rPr>
              <w:t xml:space="preserve">Larangan penjaja seks; pemeriksaan, pelaporan, pemulangan (Prov Ps 6); kondom bersanksi</w:t>
            </w:r>
          </w:p>
        </w:tc>
        <w:tc>
          <w:tcPr>
            <w:tcW w:type="dxa" w:w="1718"/>
          </w:tcPr>
          <w:p>
            <w:pPr>
              <w:pStyle w:val="Compact"/>
              <w:spacing w:line="240" w:lineRule="auto" w:after="20" w:before="20"/>
              <w:jc w:val="left"/>
            </w:pPr>
            <w:r>
              <w:rPr>
                <w:rFonts w:ascii="Times New Roman" w:hAnsi="Times New Roman"/>
                <w:sz w:val="18"/>
              </w:rPr>
              <w:t xml:space="preserve">Jalur keberatan; layanan IMS/HIV di Perda Perempuan</w:t>
            </w:r>
          </w:p>
        </w:tc>
        <w:tc>
          <w:tcPr>
            <w:tcW w:type="dxa" w:w="1631"/>
          </w:tcPr>
          <w:p>
            <w:pPr>
              <w:pStyle w:val="Compact"/>
              <w:spacing w:line="240" w:lineRule="auto" w:after="20" w:before="20"/>
              <w:jc w:val="left"/>
            </w:pPr>
            <w:r>
              <w:rPr>
                <w:rFonts w:ascii="Times New Roman" w:hAnsi="Times New Roman"/>
                <w:sz w:val="18"/>
              </w:rPr>
              <w:t xml:space="preserve">Operasi Satpol PP; data pemulangan</w:t>
            </w:r>
          </w:p>
        </w:tc>
      </w:tr>
      <w:tr>
        <w:tc>
          <w:tcPr>
            <w:tcW w:type="dxa" w:w="941"/>
          </w:tcPr>
          <w:p>
            <w:pPr>
              <w:pStyle w:val="Compact"/>
              <w:spacing w:line="240" w:lineRule="auto" w:after="20" w:before="20"/>
              <w:jc w:val="left"/>
            </w:pPr>
            <w:r>
              <w:rPr>
                <w:rFonts w:ascii="Times New Roman" w:hAnsi="Times New Roman"/>
                <w:sz w:val="18"/>
              </w:rPr>
              <w:t xml:space="preserve">LSL</w:t>
            </w:r>
          </w:p>
        </w:tc>
        <w:tc>
          <w:tcPr>
            <w:tcW w:type="dxa" w:w="2078"/>
          </w:tcPr>
          <w:p>
            <w:pPr>
              <w:pStyle w:val="Compact"/>
              <w:spacing w:line="240" w:lineRule="auto" w:after="20" w:before="20"/>
              <w:jc w:val="left"/>
            </w:pPr>
            <w:r>
              <w:rPr>
                <w:rFonts w:ascii="Times New Roman" w:hAnsi="Times New Roman"/>
                <w:sz w:val="18"/>
              </w:rPr>
              <w:t xml:space="preserve">Disebut di Perda kota; kategori umum di provinsi</w:t>
            </w:r>
          </w:p>
        </w:tc>
        <w:tc>
          <w:tcPr>
            <w:tcW w:type="dxa" w:w="2420"/>
          </w:tcPr>
          <w:p>
            <w:pPr>
              <w:pStyle w:val="Compact"/>
              <w:spacing w:line="240" w:lineRule="auto" w:after="20" w:before="20"/>
              <w:jc w:val="left"/>
            </w:pPr>
            <w:r>
              <w:rPr>
                <w:rFonts w:ascii="Times New Roman" w:hAnsi="Times New Roman"/>
                <w:sz w:val="18"/>
              </w:rPr>
              <w:t xml:space="preserve">Kondom bersanksi; "asusila", "patut diduga"</w:t>
            </w:r>
          </w:p>
        </w:tc>
        <w:tc>
          <w:tcPr>
            <w:tcW w:type="dxa" w:w="1718"/>
          </w:tcPr>
          <w:p>
            <w:pPr>
              <w:pStyle w:val="Compact"/>
              <w:spacing w:line="240" w:lineRule="auto" w:after="20" w:before="20"/>
              <w:jc w:val="left"/>
            </w:pPr>
            <w:r>
              <w:rPr>
                <w:rFonts w:ascii="Times New Roman" w:hAnsi="Times New Roman"/>
                <w:sz w:val="18"/>
              </w:rPr>
              <w:t xml:space="preserve">Layanan khusus LSL</w:t>
            </w:r>
          </w:p>
        </w:tc>
        <w:tc>
          <w:tcPr>
            <w:tcW w:type="dxa" w:w="1631"/>
          </w:tcPr>
          <w:p>
            <w:pPr>
              <w:pStyle w:val="Compact"/>
              <w:spacing w:line="240" w:lineRule="auto" w:after="20" w:before="20"/>
              <w:jc w:val="left"/>
            </w:pPr>
            <w:r>
              <w:rPr>
                <w:rFonts w:ascii="Times New Roman" w:hAnsi="Times New Roman"/>
                <w:sz w:val="18"/>
              </w:rPr>
              <w:t xml:space="preserve">Laporan razia; kesaksian</w:t>
            </w:r>
          </w:p>
        </w:tc>
      </w:tr>
      <w:tr>
        <w:tc>
          <w:tcPr>
            <w:tcW w:type="dxa" w:w="941"/>
          </w:tcPr>
          <w:p>
            <w:pPr>
              <w:pStyle w:val="Compact"/>
              <w:spacing w:line="240" w:lineRule="auto" w:after="20" w:before="20"/>
              <w:jc w:val="left"/>
            </w:pPr>
            <w:r>
              <w:rPr>
                <w:rFonts w:ascii="Times New Roman" w:hAnsi="Times New Roman"/>
                <w:sz w:val="18"/>
              </w:rPr>
              <w:t xml:space="preserve">TG</w:t>
            </w:r>
          </w:p>
        </w:tc>
        <w:tc>
          <w:tcPr>
            <w:tcW w:type="dxa" w:w="2078"/>
          </w:tcPr>
          <w:p>
            <w:pPr>
              <w:pStyle w:val="Compact"/>
              <w:spacing w:line="240" w:lineRule="auto" w:after="20" w:before="20"/>
              <w:jc w:val="left"/>
            </w:pPr>
            <w:r>
              <w:rPr>
                <w:rFonts w:ascii="Times New Roman" w:hAnsi="Times New Roman"/>
                <w:sz w:val="18"/>
              </w:rPr>
              <w:t xml:space="preserve">Tidak disebut di 6 dari 7 instrumen</w:t>
            </w:r>
          </w:p>
        </w:tc>
        <w:tc>
          <w:tcPr>
            <w:tcW w:type="dxa" w:w="2420"/>
          </w:tcPr>
          <w:p>
            <w:pPr>
              <w:pStyle w:val="Compact"/>
              <w:spacing w:line="240" w:lineRule="auto" w:after="20" w:before="20"/>
              <w:jc w:val="left"/>
            </w:pPr>
            <w:r>
              <w:rPr>
                <w:rFonts w:ascii="Times New Roman" w:hAnsi="Times New Roman"/>
                <w:sz w:val="18"/>
              </w:rPr>
              <w:t xml:space="preserve">Paparan larangan ketertiban melalui "asusila"</w:t>
            </w:r>
          </w:p>
        </w:tc>
        <w:tc>
          <w:tcPr>
            <w:tcW w:type="dxa" w:w="1718"/>
          </w:tcPr>
          <w:p>
            <w:pPr>
              <w:pStyle w:val="Compact"/>
              <w:spacing w:line="240" w:lineRule="auto" w:after="20" w:before="20"/>
              <w:jc w:val="left"/>
            </w:pPr>
            <w:r>
              <w:rPr>
                <w:rFonts w:ascii="Times New Roman" w:hAnsi="Times New Roman"/>
                <w:sz w:val="18"/>
              </w:rPr>
              <w:t xml:space="preserve">Pengakuan sebagai pemegang hak</w:t>
            </w:r>
          </w:p>
        </w:tc>
        <w:tc>
          <w:tcPr>
            <w:tcW w:type="dxa" w:w="1631"/>
          </w:tcPr>
          <w:p>
            <w:pPr>
              <w:pStyle w:val="Compact"/>
              <w:spacing w:line="240" w:lineRule="auto" w:after="20" w:before="20"/>
              <w:jc w:val="left"/>
            </w:pPr>
            <w:r>
              <w:rPr>
                <w:rFonts w:ascii="Times New Roman" w:hAnsi="Times New Roman"/>
                <w:sz w:val="18"/>
              </w:rPr>
              <w:t xml:space="preserve">Data terpilah identitas gender</w:t>
            </w:r>
          </w:p>
        </w:tc>
      </w:tr>
      <w:tr>
        <w:tc>
          <w:tcPr>
            <w:tcW w:type="dxa" w:w="941"/>
          </w:tcPr>
          <w:p>
            <w:pPr>
              <w:pStyle w:val="Compact"/>
              <w:spacing w:line="240" w:lineRule="auto" w:after="20" w:before="20"/>
              <w:jc w:val="left"/>
            </w:pPr>
            <w:r>
              <w:rPr>
                <w:rFonts w:ascii="Times New Roman" w:hAnsi="Times New Roman"/>
                <w:sz w:val="18"/>
              </w:rPr>
              <w:t xml:space="preserve">PENASUN</w:t>
            </w:r>
          </w:p>
        </w:tc>
        <w:tc>
          <w:tcPr>
            <w:tcW w:type="dxa" w:w="2078"/>
          </w:tcPr>
          <w:p>
            <w:pPr>
              <w:pStyle w:val="Compact"/>
              <w:spacing w:line="240" w:lineRule="auto" w:after="20" w:before="20"/>
              <w:jc w:val="left"/>
            </w:pPr>
            <w:r>
              <w:rPr>
                <w:rFonts w:ascii="Times New Roman" w:hAnsi="Times New Roman"/>
                <w:sz w:val="18"/>
              </w:rPr>
              <w:t xml:space="preserve">Disebut di Perda kota; tidak dibedakan di Perda NAPZA</w:t>
            </w:r>
          </w:p>
        </w:tc>
        <w:tc>
          <w:tcPr>
            <w:tcW w:type="dxa" w:w="2420"/>
          </w:tcPr>
          <w:p>
            <w:pPr>
              <w:pStyle w:val="Compact"/>
              <w:spacing w:line="240" w:lineRule="auto" w:after="20" w:before="20"/>
              <w:jc w:val="left"/>
            </w:pPr>
            <w:r>
              <w:rPr>
                <w:rFonts w:ascii="Times New Roman" w:hAnsi="Times New Roman"/>
                <w:sz w:val="18"/>
              </w:rPr>
              <w:t xml:space="preserve">Laporan identitas; pidana penggunaan zat; "meminta" alat suntik bersanksi</w:t>
            </w:r>
          </w:p>
        </w:tc>
        <w:tc>
          <w:tcPr>
            <w:tcW w:type="dxa" w:w="1718"/>
          </w:tcPr>
          <w:p>
            <w:pPr>
              <w:pStyle w:val="Compact"/>
              <w:spacing w:line="240" w:lineRule="auto" w:after="20" w:before="20"/>
              <w:jc w:val="left"/>
            </w:pPr>
            <w:r>
              <w:rPr>
                <w:rFonts w:ascii="Times New Roman" w:hAnsi="Times New Roman"/>
                <w:sz w:val="18"/>
              </w:rPr>
              <w:t xml:space="preserve">LASS dan terapi rumatan</w:t>
            </w:r>
          </w:p>
        </w:tc>
        <w:tc>
          <w:tcPr>
            <w:tcW w:type="dxa" w:w="1631"/>
          </w:tcPr>
          <w:p>
            <w:pPr>
              <w:pStyle w:val="Compact"/>
              <w:spacing w:line="240" w:lineRule="auto" w:after="20" w:before="20"/>
              <w:jc w:val="left"/>
            </w:pPr>
            <w:r>
              <w:rPr>
                <w:rFonts w:ascii="Times New Roman" w:hAnsi="Times New Roman"/>
                <w:sz w:val="18"/>
              </w:rPr>
              <w:t xml:space="preserve">Format IPWL; rujukan ke layanan HIV</w:t>
            </w:r>
          </w:p>
        </w:tc>
      </w:tr>
    </w:tbl>
    <w:p>
      <w:pPr>
        <w:pStyle w:val="BodyText"/>
      </w:pPr>
      <w:r>
        <w:rPr>
          <w:iCs/>
          <w:i/>
        </w:rPr>
        <w:t xml:space="preserve">Sumber: diolah dari laporan sumber Kota Jayapura, bagian 5. Pengodean adalah kandidat berbasis teks.</w:t>
      </w:r>
    </w:p>
    <w:bookmarkEnd w:id="23"/>
    <w:bookmarkStart w:id="24" w:name="X6b1ed2ad2c4aa09e3e741ef05adc030c839cefa"/>
    <w:p>
      <w:pPr>
        <w:pStyle w:val="Heading3"/>
      </w:pPr>
      <w:r>
        <w:t xml:space="preserve">4.1.5 Pembacaan melalui AAAQ dan PANTHER</w:t>
      </w:r>
    </w:p>
    <w:p>
      <w:pPr>
        <w:pStyle w:val="FirstParagraph"/>
      </w:pPr>
      <w:r>
        <w:rPr>
          <w:bCs/>
          <w:b/>
        </w:rPr>
        <w:t xml:space="preserve">Temuan utama.</w:t>
      </w:r>
      <w:r>
        <w:t xml:space="preserve"> </w:t>
      </w:r>
      <w:r>
        <w:t xml:space="preserve">Teks regulasi Jayapura memuat sejumlah norma ketersediaan layanan, tetapi ketersediaan itu dibatasi syarat akses, aliran data, dan kewajiban individu yang bersanksi. Partisipasi yang tertulis diberikan kepada adat dan agama, bukan kepada komunitas terdampak.</w:t>
      </w:r>
    </w:p>
    <w:p>
      <w:pPr>
        <w:pStyle w:val="BodyText"/>
      </w:pPr>
      <w:r>
        <w:t xml:space="preserve">Bab ini memakai dua lensa terpisah.</w:t>
      </w:r>
      <w:r>
        <w:t xml:space="preserve"> </w:t>
      </w:r>
      <w:r>
        <w:rPr>
          <w:bCs/>
          <w:b/>
        </w:rPr>
        <w:t xml:space="preserve">AAAQ</w:t>
      </w:r>
      <w:r>
        <w:t xml:space="preserve"> </w:t>
      </w:r>
      <w:r>
        <w:t xml:space="preserve">membaca layanan kesehatan: ketersediaan (</w:t>
      </w:r>
      <w:r>
        <w:rPr>
          <w:iCs/>
          <w:i/>
        </w:rPr>
        <w:t xml:space="preserve">availability</w:t>
      </w:r>
      <w:r>
        <w:t xml:space="preserve">), keterjangkauan (</w:t>
      </w:r>
      <w:r>
        <w:rPr>
          <w:iCs/>
          <w:i/>
        </w:rPr>
        <w:t xml:space="preserve">accessibility</w:t>
      </w:r>
      <w:r>
        <w:t xml:space="preserve">), keberterimaan (</w:t>
      </w:r>
      <w:r>
        <w:rPr>
          <w:iCs/>
          <w:i/>
        </w:rPr>
        <w:t xml:space="preserve">acceptability</w:t>
      </w:r>
      <w:r>
        <w:t xml:space="preserve">), dan mutu (</w:t>
      </w:r>
      <w:r>
        <w:rPr>
          <w:iCs/>
          <w:i/>
        </w:rPr>
        <w:t xml:space="preserve">quality</w:t>
      </w:r>
      <w:r>
        <w:t xml:space="preserve">). Laporan sumber memecah keterjangkauan menjadi fisik, ekonomi, non-diskriminasi, dan informasi.</w:t>
      </w:r>
      <w:r>
        <w:t xml:space="preserve"> </w:t>
      </w:r>
      <w:r>
        <w:rPr>
          <w:bCs/>
          <w:b/>
        </w:rPr>
        <w:t xml:space="preserve">PANTHER</w:t>
      </w:r>
      <w:r>
        <w:t xml:space="preserve"> </w:t>
      </w:r>
      <w:r>
        <w:t xml:space="preserve">membaca proses pemerintahan: partisipasi, akuntabilitas, non-diskriminasi, transparansi, martabat manusia (</w:t>
      </w:r>
      <w:r>
        <w:rPr>
          <w:iCs/>
          <w:i/>
        </w:rPr>
        <w:t xml:space="preserve">human dignity</w:t>
      </w:r>
      <w:r>
        <w:t xml:space="preserve">), pemberdayaan (</w:t>
      </w:r>
      <w:r>
        <w:rPr>
          <w:iCs/>
          <w:i/>
        </w:rPr>
        <w:t xml:space="preserve">empowerment</w:t>
      </w:r>
      <w:r>
        <w:t xml:space="preserve">), dan negara hukum (</w:t>
      </w:r>
      <w:r>
        <w:rPr>
          <w:iCs/>
          <w:i/>
        </w:rPr>
        <w:t xml:space="preserve">rule of law</w:t>
      </w:r>
      <w:r>
        <w:t xml:space="preserve">). Kedua lensa hanya mencatat apakah suatu dimensi muncul dalam teks; keduanya tidak dijumlahkan dan tidak menghasilkan skor.</w:t>
      </w:r>
    </w:p>
    <w:p>
      <w:pPr>
        <w:pStyle w:val="BodyText"/>
      </w:pPr>
      <w:r>
        <w:rPr>
          <w:iCs/>
          <w:i/>
        </w:rPr>
        <w:t xml:space="preserve">Layanan tersedia tidak otomatis terjangkau.</w:t>
      </w:r>
      <w:r>
        <w:t xml:space="preserve"> </w:t>
      </w:r>
      <w:r>
        <w:t xml:space="preserve">Ketersediaan muncul jelas: layanan HIV/IMS di PKR, kondom dan pelicin, ADKK, sirkumsisi, dan rehabilitasi. Namun, keterjangkauan fisik dibatasi jam PKR 07.30–14.30 WIT dan kehadiran Satpol PP saat pemeriksaan di lokasi. Keterjangkauan ekonomi ditopang kewajiban kondom di tempat usaha, tetapi dibebani biaya meterai (Perda Provinsi 6/2018 Pasal 5). Keterjangkauan non-diskriminatif dijamin kesetaraan pasien, tetapi dibatasi syarat bebas napza dan pemulangan berbasis status. Keterjangkauan informasi ditopang pendidikan di sekolah dan call center 24 jam, tetapi isi layanan PKR tidak dirinci.</w:t>
      </w:r>
    </w:p>
    <w:p>
      <w:pPr>
        <w:pStyle w:val="BodyText"/>
      </w:pPr>
      <w:r>
        <w:rPr>
          <w:iCs/>
          <w:i/>
        </w:rPr>
        <w:t xml:space="preserve">Kerahasiaan berdampingan dengan pelaporan.</w:t>
      </w:r>
      <w:r>
        <w:t xml:space="preserve"> </w:t>
      </w:r>
      <w:r>
        <w:t xml:space="preserve">Keberterimaan ditopang konfidensialitas universal di Perda kota, tetapi dibatasi PITC wajib, pelaporan PSK ke KPA, dan kanal WhatsApp PKR yang sama dengan PSC 119. Kerahasiaan ditulis di tingkat kota, sedangkan aliran data diatur terutama di tingkat provinsi. Bagi orang yang dilayani, kedua lapis itu bekerja bersamaan.</w:t>
      </w:r>
    </w:p>
    <w:p>
      <w:pPr>
        <w:pStyle w:val="BodyText"/>
      </w:pPr>
      <w:r>
        <w:rPr>
          <w:iCs/>
          <w:i/>
        </w:rPr>
        <w:t xml:space="preserve">Mutu dipindahkan menjadi kepatuhan individu.</w:t>
      </w:r>
      <w:r>
        <w:t xml:space="preserve"> </w:t>
      </w:r>
      <w:r>
        <w:t xml:space="preserve">Tidak ditemukan norma mutu layanan dalam teks. Yang ditemukan adalah kewajiban kondom dan alat suntik pada individu serta kepatuhan ARV yang dipidana. Dimensi yang seharusnya menjadi kewajiban penyedia bergeser menjadi kewajiban pasien.</w:t>
      </w:r>
    </w:p>
    <w:p>
      <w:pPr>
        <w:pStyle w:val="BodyText"/>
      </w:pPr>
      <w:r>
        <w:rPr>
          <w:iCs/>
          <w:i/>
        </w:rPr>
        <w:t xml:space="preserve">Partisipasi adat dan agama tidak sama dengan partisipasi komunitas terdampak; pengawasan tidak disertai jalur keberatan.</w:t>
      </w:r>
      <w:r>
        <w:t xml:space="preserve"> </w:t>
      </w:r>
      <w:r>
        <w:t xml:space="preserve">Partisipasi dan pemberdayaan muncul melalui tokoh adat, tokoh agama, KIE lembaga adat, dan dukungan pascarehabilitasi, tetapi KPA Provinsi tidak memuat unsur komunitas. Akuntabilitas muncul sebagai fungsi KPA (Perda Provinsi 10/2021 Pasal 23) dan pengawasan Satpol PP (Perda Provinsi 8/2016 Pasal 45), tanpa mekanisme keberatan. Transparansi muncul sebagai aliran data identitas pecandu dan data PSK ke lembaga, bukan keterbukaan kepada publik. Untuk negara hukum, laporan sumber mencatat rumusan "patut diduga" (Perda Provinsi 8/2016), Pasal 49 tanpa rumusan ancaman pidana, dan rujukan Pasal 9 Perda kota yang keliru.</w:t>
      </w:r>
    </w:p>
    <w:p>
      <w:pPr>
        <w:pStyle w:val="BodyText"/>
      </w:pPr>
      <w:r>
        <w:rPr>
          <w:bCs/>
          <w:b/>
        </w:rPr>
        <w:t xml:space="preserve">Sintesis.</w:t>
      </w:r>
      <w:r>
        <w:t xml:space="preserve"> </w:t>
      </w:r>
      <w:r>
        <w:t xml:space="preserve">Dibaca melalui AAAQ, regulasi Jayapura membangun layanan tetapi tidak menjaga pintu masuknya: waktu, kehadiran aparat, dan aliran data dapat menjadi penghalang. Dibaca melalui PANTHER, regulasi memberi ruang bagi adat, agama, dan aparat, tetapi tidak bagi komunitas terdampak atau orang yang ingin berkeberatan; akuntabilitas mengalir satu arah, dari negara yang mengawasi warga.</w:t>
      </w:r>
    </w:p>
    <w:p>
      <w:pPr>
        <w:pStyle w:val="BodyText"/>
      </w:pPr>
      <w:r>
        <w:t xml:space="preserve">Kedua lensa menunjukkan pola yang sama: pengaman terutama berada di Perda kota 2011, sedangkan pembatasnya berasal dari pasal lain di Perda yang sama, dari Perwali 7/2024, atau dari instrumen provinsi. Apakah jam layanan atau kanal bersama benar-benar menghalangi orang tetap risiko yang perlu dibuktikan.</w:t>
      </w:r>
    </w:p>
    <w:bookmarkEnd w:id="24"/>
    <w:bookmarkStart w:id="25" w:name="Xdc377c85a6306c06eb094257ad93f5074173dff"/>
    <w:p>
      <w:pPr>
        <w:pStyle w:val="Heading3"/>
      </w:pPr>
      <w:r>
        <w:t xml:space="preserve">4.1.6 Mekanisme Risiko Regulatif dan Beban Administratif</w:t>
      </w:r>
    </w:p>
    <w:p>
      <w:pPr>
        <w:pStyle w:val="FirstParagraph"/>
      </w:pPr>
      <w:r>
        <w:rPr>
          <w:bCs/>
          <w:b/>
        </w:rPr>
        <w:t xml:space="preserve">Temuan utama.</w:t>
      </w:r>
      <w:r>
        <w:t xml:space="preserve"> </w:t>
      </w:r>
      <w:r>
        <w:t xml:space="preserve">Risiko regulatif di Jayapura muncul dari beberapa mekanisme yang berulang di kota dan provinsi. Sebagian besar dari dua belas syarat administratif yang dicatat laporan sumber berupa pemeriksaan atau pelaporan, yaitu pintu masuk aliran data status HIV atau identitas. Semua mekanisme di bawah adalah risiko yang perlu dibuktikan.</w:t>
      </w:r>
    </w:p>
    <w:p>
      <w:pPr>
        <w:pStyle w:val="BodyText"/>
      </w:pPr>
      <w:r>
        <w:rPr>
          <w:bCs/>
          <w:b/>
        </w:rPr>
        <w:t xml:space="preserve">1. Pemeriksaan atau tes.</w:t>
      </w:r>
      <w:r>
        <w:t xml:space="preserve"> </w:t>
      </w:r>
      <w:r>
        <w:rPr>
          <w:iCs/>
          <w:i/>
        </w:rPr>
        <w:t xml:space="preserve">Norma:</w:t>
      </w:r>
      <w:r>
        <w:t xml:space="preserve"> </w:t>
      </w:r>
      <w:r>
        <w:t xml:space="preserve">PITC wajib "sesuai dengan pedoman" (Perda Kota 16/2011 Pasal 5); pemeriksaan berkala karyawan (Pasal 7 ayat (3) huruf a); pemeriksaan PSK saat masuk lokasi dan berkala (Perda Provinsi 10/2021 Pasal 6 ayat (1) huruf a dan i); pemeriksaan pekerja hiburan (Pasal 7A).</w:t>
      </w:r>
      <w:r>
        <w:t xml:space="preserve"> </w:t>
      </w:r>
      <w:r>
        <w:rPr>
          <w:iCs/>
          <w:i/>
        </w:rPr>
        <w:t xml:space="preserve">Terkena:</w:t>
      </w:r>
      <w:r>
        <w:t xml:space="preserve"> </w:t>
      </w:r>
      <w:r>
        <w:t xml:space="preserve">ODHIV, PSP, pekerja hiburan.</w:t>
      </w:r>
      <w:r>
        <w:t xml:space="preserve"> </w:t>
      </w:r>
      <w:r>
        <w:rPr>
          <w:iCs/>
          <w:i/>
        </w:rPr>
        <w:t xml:space="preserve">Hak:</w:t>
      </w:r>
      <w:r>
        <w:t xml:space="preserve"> </w:t>
      </w:r>
      <w:r>
        <w:t xml:space="preserve">H1, H3, H4.</w:t>
      </w:r>
      <w:r>
        <w:t xml:space="preserve"> </w:t>
      </w:r>
      <w:r>
        <w:rPr>
          <w:iCs/>
          <w:i/>
        </w:rPr>
        <w:t xml:space="preserve">Mekanisme:</w:t>
      </w:r>
      <w:r>
        <w:t xml:space="preserve"> </w:t>
      </w:r>
      <w:r>
        <w:t xml:space="preserve">tes berubah dari layanan yang dipilih menjadi syarat yang dikenakan; PITC paling mungkin ditafsirkan sebagai program pemerintah menurut UU 17/2023 Pasal 295, yang dikecualikan dari kewajiban persetujuan.</w:t>
      </w:r>
      <w:r>
        <w:t xml:space="preserve"> </w:t>
      </w:r>
      <w:r>
        <w:rPr>
          <w:iCs/>
          <w:i/>
        </w:rPr>
        <w:t xml:space="preserve">Bukti dibutuhkan:</w:t>
      </w:r>
      <w:r>
        <w:t xml:space="preserve"> </w:t>
      </w:r>
      <w:r>
        <w:t xml:space="preserve">pedoman PITC Dinkes, formulir persetujuan, jumlah tes dan penolakan.</w:t>
      </w:r>
    </w:p>
    <w:p>
      <w:pPr>
        <w:pStyle w:val="BodyText"/>
      </w:pPr>
      <w:r>
        <w:rPr>
          <w:bCs/>
          <w:b/>
        </w:rPr>
        <w:t xml:space="preserve">2. Pidana atau sanksi atas status atau perilaku.</w:t>
      </w:r>
      <w:r>
        <w:t xml:space="preserve"> </w:t>
      </w:r>
      <w:r>
        <w:rPr>
          <w:iCs/>
          <w:i/>
        </w:rPr>
        <w:t xml:space="preserve">Norma:</w:t>
      </w:r>
      <w:r>
        <w:t xml:space="preserve"> </w:t>
      </w:r>
      <w:r>
        <w:t xml:space="preserve">Perda Kota 16/2011 Pasal 7 ayat (1), (2), (3), (5), (6), (11) jo. Pasal 9; Perda Provinsi 10/2021 Pasal 4 dan 15 jo. Pasal 40; ancaman kurungan paling lama enam bulan atau denda paling banyak Rp50 juta.</w:t>
      </w:r>
      <w:r>
        <w:t xml:space="preserve"> </w:t>
      </w:r>
      <w:r>
        <w:rPr>
          <w:iCs/>
          <w:i/>
        </w:rPr>
        <w:t xml:space="preserve">Terkena:</w:t>
      </w:r>
      <w:r>
        <w:t xml:space="preserve"> </w:t>
      </w:r>
      <w:r>
        <w:t xml:space="preserve">ODHIV, PSP, LSL, PENASUN.</w:t>
      </w:r>
      <w:r>
        <w:t xml:space="preserve"> </w:t>
      </w:r>
      <w:r>
        <w:rPr>
          <w:iCs/>
          <w:i/>
        </w:rPr>
        <w:t xml:space="preserve">Hak:</w:t>
      </w:r>
      <w:r>
        <w:t xml:space="preserve"> </w:t>
      </w:r>
      <w:r>
        <w:t xml:space="preserve">H1, H3, H6.</w:t>
      </w:r>
      <w:r>
        <w:t xml:space="preserve"> </w:t>
      </w:r>
      <w:r>
        <w:rPr>
          <w:iCs/>
          <w:i/>
        </w:rPr>
        <w:t xml:space="preserve">Mekanisme:</w:t>
      </w:r>
      <w:r>
        <w:t xml:space="preserve"> </w:t>
      </w:r>
      <w:r>
        <w:t xml:space="preserve">ketidakpatuhan klinis dapat menjadi dasar perkara; laporan sumber mencatat risiko ODHIV menghindari kontrol berkala.</w:t>
      </w:r>
      <w:r>
        <w:t xml:space="preserve"> </w:t>
      </w:r>
      <w:r>
        <w:rPr>
          <w:iCs/>
          <w:i/>
        </w:rPr>
        <w:t xml:space="preserve">Bukti dibutuhkan:</w:t>
      </w:r>
      <w:r>
        <w:t xml:space="preserve"> </w:t>
      </w:r>
      <w:r>
        <w:t xml:space="preserve">catatan PPNS dan kepolisian sejak 2011/2021; putusan pengadilan.</w:t>
      </w:r>
    </w:p>
    <w:p>
      <w:pPr>
        <w:pStyle w:val="BodyText"/>
      </w:pPr>
      <w:r>
        <w:rPr>
          <w:bCs/>
          <w:b/>
        </w:rPr>
        <w:t xml:space="preserve">3. Pelaporan dan aliran data.</w:t>
      </w:r>
      <w:r>
        <w:t xml:space="preserve"> </w:t>
      </w:r>
      <w:r>
        <w:rPr>
          <w:iCs/>
          <w:i/>
        </w:rPr>
        <w:t xml:space="preserve">Norma:</w:t>
      </w:r>
      <w:r>
        <w:t xml:space="preserve"> </w:t>
      </w:r>
      <w:r>
        <w:t xml:space="preserve">pelaporan dan penyerahan PSK yang terinfeksi HIV ke KPA (Perda Provinsi 10/2021 Pasal 6 ayat (1) huruf b, d); laporan identitas pecandu ke BNN/Kapolri (Perda Provinsi 6/2018 Pasal 37 ayat (5)); lapor teman sebaya (Perda Kota 16/2011 Pasal 7 ayat (6) huruf b); WhatsApp PKR sama dengan PSC 119 (Perwali 7/2024, Lampiran).</w:t>
      </w:r>
      <w:r>
        <w:t xml:space="preserve"> </w:t>
      </w:r>
      <w:r>
        <w:rPr>
          <w:iCs/>
          <w:i/>
        </w:rPr>
        <w:t xml:space="preserve">Terkena:</w:t>
      </w:r>
      <w:r>
        <w:t xml:space="preserve"> </w:t>
      </w:r>
      <w:r>
        <w:t xml:space="preserve">PSP, PENASUN, ODHIV.</w:t>
      </w:r>
      <w:r>
        <w:t xml:space="preserve"> </w:t>
      </w:r>
      <w:r>
        <w:rPr>
          <w:iCs/>
          <w:i/>
        </w:rPr>
        <w:t xml:space="preserve">Hak:</w:t>
      </w:r>
      <w:r>
        <w:t xml:space="preserve"> </w:t>
      </w:r>
      <w:r>
        <w:t xml:space="preserve">H3, H1.</w:t>
      </w:r>
      <w:r>
        <w:t xml:space="preserve"> </w:t>
      </w:r>
      <w:r>
        <w:rPr>
          <w:iCs/>
          <w:i/>
        </w:rPr>
        <w:t xml:space="preserve">Mekanisme:</w:t>
      </w:r>
      <w:r>
        <w:t xml:space="preserve"> </w:t>
      </w:r>
      <w:r>
        <w:t xml:space="preserve">status dan identitas berpindah ke pihak non-klinis; kandidat ketegangan dengan UU 27/2022 yang memperlakukan data kesehatan sebagai data spesifik.</w:t>
      </w:r>
      <w:r>
        <w:t xml:space="preserve"> </w:t>
      </w:r>
      <w:r>
        <w:rPr>
          <w:iCs/>
          <w:i/>
        </w:rPr>
        <w:t xml:space="preserve">Bukti dibutuhkan:</w:t>
      </w:r>
      <w:r>
        <w:t xml:space="preserve"> </w:t>
      </w:r>
      <w:r>
        <w:t xml:space="preserve">formulir laporan pengelola, format laporan IPWL, SOP call center.</w:t>
      </w:r>
    </w:p>
    <w:p>
      <w:pPr>
        <w:pStyle w:val="BodyText"/>
      </w:pPr>
      <w:r>
        <w:rPr>
          <w:bCs/>
          <w:b/>
        </w:rPr>
        <w:t xml:space="preserve">4. Pemulangan atau pemindahan.</w:t>
      </w:r>
      <w:r>
        <w:t xml:space="preserve"> </w:t>
      </w:r>
      <w:r>
        <w:rPr>
          <w:iCs/>
          <w:i/>
        </w:rPr>
        <w:t xml:space="preserve">Norma:</w:t>
      </w:r>
      <w:r>
        <w:t xml:space="preserve"> </w:t>
      </w:r>
      <w:r>
        <w:t xml:space="preserve">pengelola lokasi wajib memulangkan penjaja seks dari luar Papua yang terinfeksi HIV dengan biaya pengelola (Perda Provinsi 10/2021 Pasal 6 ayat (1) huruf c). Perda kota tidak memuat ketentuan serupa, tetapi Perda provinsi berlaku di kota.</w:t>
      </w:r>
      <w:r>
        <w:t xml:space="preserve"> </w:t>
      </w:r>
      <w:r>
        <w:rPr>
          <w:iCs/>
          <w:i/>
        </w:rPr>
        <w:t xml:space="preserve">Terkena:</w:t>
      </w:r>
      <w:r>
        <w:t xml:space="preserve"> </w:t>
      </w:r>
      <w:r>
        <w:t xml:space="preserve">PSP pendatang, ODHIV, migran.</w:t>
      </w:r>
      <w:r>
        <w:t xml:space="preserve"> </w:t>
      </w:r>
      <w:r>
        <w:rPr>
          <w:iCs/>
          <w:i/>
        </w:rPr>
        <w:t xml:space="preserve">Hak:</w:t>
      </w:r>
      <w:r>
        <w:t xml:space="preserve"> </w:t>
      </w:r>
      <w:r>
        <w:t xml:space="preserve">H1, H2, H4, H6.</w:t>
      </w:r>
      <w:r>
        <w:t xml:space="preserve"> </w:t>
      </w:r>
      <w:r>
        <w:rPr>
          <w:iCs/>
          <w:i/>
        </w:rPr>
        <w:t xml:space="preserve">Mekanisme:</w:t>
      </w:r>
      <w:r>
        <w:t xml:space="preserve"> </w:t>
      </w:r>
      <w:r>
        <w:t xml:space="preserve">status HIV menjadi dasar pemindahan; risiko terputusnya ARV dan penghindaran layanan.</w:t>
      </w:r>
      <w:r>
        <w:t xml:space="preserve"> </w:t>
      </w:r>
      <w:r>
        <w:rPr>
          <w:iCs/>
          <w:i/>
        </w:rPr>
        <w:t xml:space="preserve">Bukti dibutuhkan:</w:t>
      </w:r>
      <w:r>
        <w:t xml:space="preserve"> </w:t>
      </w:r>
      <w:r>
        <w:t xml:space="preserve">data pemulangan dan kesinambungan ARV.</w:t>
      </w:r>
    </w:p>
    <w:p>
      <w:pPr>
        <w:pStyle w:val="BodyText"/>
      </w:pPr>
      <w:r>
        <w:rPr>
          <w:bCs/>
          <w:b/>
        </w:rPr>
        <w:t xml:space="preserve">5. Penertiban dan pengawasan.</w:t>
      </w:r>
      <w:r>
        <w:t xml:space="preserve"> </w:t>
      </w:r>
      <w:r>
        <w:rPr>
          <w:iCs/>
          <w:i/>
        </w:rPr>
        <w:t xml:space="preserve">Norma:</w:t>
      </w:r>
      <w:r>
        <w:t xml:space="preserve"> </w:t>
      </w:r>
      <w:r>
        <w:t xml:space="preserve">larangan menjadi penjaja seks (Perda Provinsi 8/2016 Pasal 30 ayat (2)); pengawasan Satpol PP berdasarkan "patut diduga" (Pasal 45); pemeriksaan kesehatan dihadiri Satpol PP (Perda Provinsi 10/2021 Pasal 6 ayat (2)). Instrumen ketertiban kota belum ditemukan.</w:t>
      </w:r>
      <w:r>
        <w:t xml:space="preserve"> </w:t>
      </w:r>
      <w:r>
        <w:rPr>
          <w:iCs/>
          <w:i/>
        </w:rPr>
        <w:t xml:space="preserve">Terkena:</w:t>
      </w:r>
      <w:r>
        <w:t xml:space="preserve"> </w:t>
      </w:r>
      <w:r>
        <w:t xml:space="preserve">PSP, transgender, LSL.</w:t>
      </w:r>
      <w:r>
        <w:t xml:space="preserve"> </w:t>
      </w:r>
      <w:r>
        <w:rPr>
          <w:iCs/>
          <w:i/>
        </w:rPr>
        <w:t xml:space="preserve">Hak:</w:t>
      </w:r>
      <w:r>
        <w:t xml:space="preserve"> </w:t>
      </w:r>
      <w:r>
        <w:t xml:space="preserve">H1, H4, H6.</w:t>
      </w:r>
      <w:r>
        <w:t xml:space="preserve"> </w:t>
      </w:r>
      <w:r>
        <w:rPr>
          <w:iCs/>
          <w:i/>
        </w:rPr>
        <w:t xml:space="preserve">Mekanisme:</w:t>
      </w:r>
      <w:r>
        <w:t xml:space="preserve"> </w:t>
      </w:r>
      <w:r>
        <w:t xml:space="preserve">lokasi sasaran layanan juga menjadi lokasi penertiban, sehingga kegiatan kesehatan dapat terbaca sebagai penindakan.</w:t>
      </w:r>
      <w:r>
        <w:t xml:space="preserve"> </w:t>
      </w:r>
      <w:r>
        <w:rPr>
          <w:iCs/>
          <w:i/>
        </w:rPr>
        <w:t xml:space="preserve">Bukti dibutuhkan:</w:t>
      </w:r>
      <w:r>
        <w:t xml:space="preserve"> </w:t>
      </w:r>
      <w:r>
        <w:t xml:space="preserve">laporan razia, catatan penyitaan kondom, SOP Satpol PP.</w:t>
      </w:r>
    </w:p>
    <w:p>
      <w:pPr>
        <w:pStyle w:val="BodyText"/>
      </w:pPr>
      <w:r>
        <w:rPr>
          <w:bCs/>
          <w:b/>
        </w:rPr>
        <w:t xml:space="preserve">6. Beban administratif dan persyaratan akses.</w:t>
      </w:r>
      <w:r>
        <w:t xml:space="preserve"> </w:t>
      </w:r>
      <w:r>
        <w:rPr>
          <w:iCs/>
          <w:i/>
        </w:rPr>
        <w:t xml:space="preserve">Norma:</w:t>
      </w:r>
      <w:r>
        <w:t xml:space="preserve"> </w:t>
      </w:r>
      <w:r>
        <w:t xml:space="preserve">kehadiran fisik pada jam kerja (Perwali 7/2024 Pasal 2); surat bebas napza bagi pelamar pegawai (Perda Provinsi 6/2018 Pasal 23); wajib lapor ke IPWL; formulir dan tes napza di tempat kerja dan asrama; wajib lapor tamu lebih dari 24 jam (Perda Provinsi 8/2016).</w:t>
      </w:r>
      <w:r>
        <w:t xml:space="preserve"> </w:t>
      </w:r>
      <w:r>
        <w:rPr>
          <w:iCs/>
          <w:i/>
        </w:rPr>
        <w:t xml:space="preserve">Terkena:</w:t>
      </w:r>
      <w:r>
        <w:t xml:space="preserve"> </w:t>
      </w:r>
      <w:r>
        <w:t xml:space="preserve">pasien PKR, pekerja, pecandu dan keluarganya.</w:t>
      </w:r>
      <w:r>
        <w:t xml:space="preserve"> </w:t>
      </w:r>
      <w:r>
        <w:rPr>
          <w:iCs/>
          <w:i/>
        </w:rPr>
        <w:t xml:space="preserve">Hak:</w:t>
      </w:r>
      <w:r>
        <w:t xml:space="preserve"> </w:t>
      </w:r>
      <w:r>
        <w:t xml:space="preserve">H1, H3, H4.</w:t>
      </w:r>
      <w:r>
        <w:t xml:space="preserve"> </w:t>
      </w:r>
      <w:r>
        <w:rPr>
          <w:iCs/>
          <w:i/>
        </w:rPr>
        <w:t xml:space="preserve">Mekanisme:</w:t>
      </w:r>
      <w:r>
        <w:t xml:space="preserve"> </w:t>
      </w:r>
      <w:r>
        <w:t xml:space="preserve">setiap syarat menambah titik pencatatan identitas atau status; orang yang takut diketahui dapat memilih tidak datang.</w:t>
      </w:r>
      <w:r>
        <w:t xml:space="preserve"> </w:t>
      </w:r>
      <w:r>
        <w:rPr>
          <w:iCs/>
          <w:i/>
        </w:rPr>
        <w:t xml:space="preserve">Bukti dibutuhkan:</w:t>
      </w:r>
      <w:r>
        <w:t xml:space="preserve"> </w:t>
      </w:r>
      <w:r>
        <w:t xml:space="preserve">kunjungan PKR per jam dan per kelompok.</w:t>
      </w:r>
    </w:p>
    <w:p>
      <w:pPr>
        <w:pStyle w:val="BodyText"/>
      </w:pPr>
      <w:r>
        <w:rPr>
          <w:bCs/>
          <w:b/>
        </w:rPr>
        <w:t xml:space="preserve">7. Regulatory silence.</w:t>
      </w:r>
      <w:r>
        <w:t xml:space="preserve"> </w:t>
      </w:r>
      <w:r>
        <w:rPr>
          <w:iCs/>
          <w:i/>
        </w:rPr>
        <w:t xml:space="preserve">Norma:</w:t>
      </w:r>
      <w:r>
        <w:t xml:space="preserve"> </w:t>
      </w:r>
      <w:r>
        <w:t xml:space="preserve">transgender tidak disebut; LASS dan terapi rumatan tidak diatur; kanal pengaduan dan keberatan tidak ditemukan.</w:t>
      </w:r>
      <w:r>
        <w:t xml:space="preserve"> </w:t>
      </w:r>
      <w:r>
        <w:rPr>
          <w:iCs/>
          <w:i/>
        </w:rPr>
        <w:t xml:space="preserve">Terkena:</w:t>
      </w:r>
      <w:r>
        <w:t xml:space="preserve"> </w:t>
      </w:r>
      <w:r>
        <w:t xml:space="preserve">transgender, PENASUN, semua yang ditindak.</w:t>
      </w:r>
      <w:r>
        <w:t xml:space="preserve"> </w:t>
      </w:r>
      <w:r>
        <w:rPr>
          <w:iCs/>
          <w:i/>
        </w:rPr>
        <w:t xml:space="preserve">Hak:</w:t>
      </w:r>
      <w:r>
        <w:t xml:space="preserve"> </w:t>
      </w:r>
      <w:r>
        <w:t xml:space="preserve">H1, H2, H6.</w:t>
      </w:r>
      <w:r>
        <w:t xml:space="preserve"> </w:t>
      </w:r>
      <w:r>
        <w:rPr>
          <w:iCs/>
          <w:i/>
        </w:rPr>
        <w:t xml:space="preserve">Mekanisme:</w:t>
      </w:r>
      <w:r>
        <w:t xml:space="preserve"> </w:t>
      </w:r>
      <w:r>
        <w:t xml:space="preserve">tanpa pengakuan tertulis, sasaran, indikator, dan anggaran sulit menjangkau kelompok yang tidak disebut.</w:t>
      </w:r>
      <w:r>
        <w:t xml:space="preserve"> </w:t>
      </w:r>
      <w:r>
        <w:rPr>
          <w:iCs/>
          <w:i/>
        </w:rPr>
        <w:t xml:space="preserve">Bukti dibutuhkan:</w:t>
      </w:r>
      <w:r>
        <w:t xml:space="preserve"> </w:t>
      </w:r>
      <w:r>
        <w:t xml:space="preserve">data layanan terpilah dan cakupan LASS; sebagian kekosongan mungkin diisi dokumen yang belum ditemukan.</w:t>
      </w:r>
    </w:p>
    <w:p>
      <w:pPr>
        <w:pStyle w:val="BodyText"/>
      </w:pPr>
      <w:r>
        <w:rPr>
          <w:bCs/>
          <w:b/>
        </w:rPr>
        <w:t xml:space="preserve">8. Hilangnya pengaman.</w:t>
      </w:r>
      <w:r>
        <w:t xml:space="preserve"> </w:t>
      </w:r>
      <w:r>
        <w:rPr>
          <w:iCs/>
          <w:i/>
        </w:rPr>
        <w:t xml:space="preserve">Norma:</w:t>
      </w:r>
      <w:r>
        <w:t xml:space="preserve"> </w:t>
      </w:r>
      <w:r>
        <w:t xml:space="preserve">syarat sukarela, persetujuan, dan konseling dalam Perda Kota 7/2006 Pasal 5 ayat (2) tidak lagi tertulis di Perda Kota 16/2011 Pasal 5; mandat alat steril tidak muncul lagi.</w:t>
      </w:r>
      <w:r>
        <w:t xml:space="preserve"> </w:t>
      </w:r>
      <w:r>
        <w:rPr>
          <w:iCs/>
          <w:i/>
        </w:rPr>
        <w:t xml:space="preserve">Terkena:</w:t>
      </w:r>
      <w:r>
        <w:t xml:space="preserve"> </w:t>
      </w:r>
      <w:r>
        <w:t xml:space="preserve">semua orang yang dites, PENASUN.</w:t>
      </w:r>
      <w:r>
        <w:t xml:space="preserve"> </w:t>
      </w:r>
      <w:r>
        <w:rPr>
          <w:iCs/>
          <w:i/>
        </w:rPr>
        <w:t xml:space="preserve">Hak:</w:t>
      </w:r>
      <w:r>
        <w:t xml:space="preserve"> </w:t>
      </w:r>
      <w:r>
        <w:t xml:space="preserve">H1, H3.</w:t>
      </w:r>
      <w:r>
        <w:t xml:space="preserve"> </w:t>
      </w:r>
      <w:r>
        <w:rPr>
          <w:iCs/>
          <w:i/>
        </w:rPr>
        <w:t xml:space="preserve">Mekanisme:</w:t>
      </w:r>
      <w:r>
        <w:t xml:space="preserve"> </w:t>
      </w:r>
      <w:r>
        <w:t xml:space="preserve">petugas tidak memiliki dasar Perda yang eksplisit untuk meminta persetujuan.</w:t>
      </w:r>
      <w:r>
        <w:t xml:space="preserve"> </w:t>
      </w:r>
      <w:r>
        <w:rPr>
          <w:iCs/>
          <w:i/>
        </w:rPr>
        <w:t xml:space="preserve">Bukti dibutuhkan:</w:t>
      </w:r>
      <w:r>
        <w:t xml:space="preserve"> </w:t>
      </w:r>
      <w:r>
        <w:t xml:space="preserve">pedoman PITC yang dirujuk; bila memuat hak menolak, pengaman mungkin terbawa secara tidak langsung.</w:t>
      </w:r>
    </w:p>
    <w:p>
      <w:pPr>
        <w:pStyle w:val="BodyText"/>
      </w:pPr>
      <w:r>
        <w:rPr>
          <w:bCs/>
          <w:b/>
        </w:rPr>
        <w:t xml:space="preserve">9. Partisipasi kelembagaan.</w:t>
      </w:r>
      <w:r>
        <w:t xml:space="preserve"> </w:t>
      </w:r>
      <w:r>
        <w:rPr>
          <w:iCs/>
          <w:i/>
        </w:rPr>
        <w:t xml:space="preserve">Norma:</w:t>
      </w:r>
      <w:r>
        <w:t xml:space="preserve"> </w:t>
      </w:r>
      <w:r>
        <w:t xml:space="preserve">KPA Provinsi dengan Divisi Kerohanian tanpa wakil komunitas (Perda Provinsi 10/2021 Pasal 26); KPA Kota via Keputusan Walikota (Perda Kota 16/2011 Pasal 3 ayat (1)) yang belum ditemukan.</w:t>
      </w:r>
      <w:r>
        <w:t xml:space="preserve"> </w:t>
      </w:r>
      <w:r>
        <w:rPr>
          <w:iCs/>
          <w:i/>
        </w:rPr>
        <w:t xml:space="preserve">Terkena:</w:t>
      </w:r>
      <w:r>
        <w:t xml:space="preserve"> </w:t>
      </w:r>
      <w:r>
        <w:t xml:space="preserve">semua kelompok kunci.</w:t>
      </w:r>
      <w:r>
        <w:t xml:space="preserve"> </w:t>
      </w:r>
      <w:r>
        <w:rPr>
          <w:iCs/>
          <w:i/>
        </w:rPr>
        <w:t xml:space="preserve">Hak:</w:t>
      </w:r>
      <w:r>
        <w:t xml:space="preserve"> </w:t>
      </w:r>
      <w:r>
        <w:t xml:space="preserve">H7.</w:t>
      </w:r>
      <w:r>
        <w:t xml:space="preserve"> </w:t>
      </w:r>
      <w:r>
        <w:rPr>
          <w:iCs/>
          <w:i/>
        </w:rPr>
        <w:t xml:space="preserve">Mekanisme:</w:t>
      </w:r>
      <w:r>
        <w:t xml:space="preserve"> </w:t>
      </w:r>
      <w:r>
        <w:t xml:space="preserve">keputusan program diambil tanpa suara kelompok terdampak.</w:t>
      </w:r>
      <w:r>
        <w:t xml:space="preserve"> </w:t>
      </w:r>
      <w:r>
        <w:rPr>
          <w:iCs/>
          <w:i/>
        </w:rPr>
        <w:t xml:space="preserve">Bukti dibutuhkan:</w:t>
      </w:r>
      <w:r>
        <w:t xml:space="preserve"> </w:t>
      </w:r>
      <w:r>
        <w:t xml:space="preserve">Keputusan Walikota/Gubernur tentang KPA dan daftar anggotanya.</w:t>
      </w:r>
    </w:p>
    <w:p>
      <w:pPr>
        <w:pStyle w:val="BodyText"/>
      </w:pPr>
      <w:r>
        <w:rPr>
          <w:bCs/>
          <w:b/>
        </w:rPr>
        <w:t xml:space="preserve">Batas klaim.</w:t>
      </w:r>
      <w:r>
        <w:t xml:space="preserve"> </w:t>
      </w:r>
      <w:r>
        <w:t xml:space="preserve">Mekanisme ini menjelaskan bagaimana norma</w:t>
      </w:r>
      <w:r>
        <w:t xml:space="preserve"> </w:t>
      </w:r>
      <w:r>
        <w:rPr>
          <w:iCs/>
          <w:i/>
        </w:rPr>
        <w:t xml:space="preserve">dapat</w:t>
      </w:r>
      <w:r>
        <w:t xml:space="preserve"> </w:t>
      </w:r>
      <w:r>
        <w:t xml:space="preserve">bekerja; hitungan syarat atau pasal tidak menunjukkan besarnya beban. Laporan sumber mencatat penjelasan alternatif: pemeriksaan di lokasi mungkin dilakukan fasilitas kesehatan dengan persetujuan, dan "penyerahan ke KPA" mungkin dimaksudkan sebagai rujukan layanan. Karena teks tidak menyebut syarat persetujuan maupun kerahasiaan, kemungkinan ini harus diuji dengan formulir dan praktik.</w:t>
      </w:r>
    </w:p>
    <w:bookmarkEnd w:id="25"/>
    <w:bookmarkStart w:id="26" w:name="X0f2f5dfb5af0d585122fc01bc8ca3bddb4d992d"/>
    <w:p>
      <w:pPr>
        <w:pStyle w:val="Heading3"/>
      </w:pPr>
      <w:r>
        <w:t xml:space="preserve">4.1.7 Pengaman Regulatif yang Perlu Dipertahankan</w:t>
      </w:r>
    </w:p>
    <w:p>
      <w:pPr>
        <w:pStyle w:val="FirstParagraph"/>
      </w:pPr>
      <w:r>
        <w:rPr>
          <w:bCs/>
          <w:b/>
        </w:rPr>
        <w:t xml:space="preserve">Temuan utama.</w:t>
      </w:r>
      <w:r>
        <w:t xml:space="preserve"> </w:t>
      </w:r>
      <w:r>
        <w:t xml:space="preserve">Korpus Jayapura memuat pengaman yang bernilai, sebagian besar di Perda Kota 16/2011, yaitu Perda yang sama yang juga memuat pembebanan.</w:t>
      </w:r>
    </w:p>
    <w:p>
      <w:pPr>
        <w:pStyle w:val="BodyText"/>
      </w:pPr>
      <w:r>
        <w:t xml:space="preserve">Pengaman yang secara analitik perlu dijaga:</w:t>
      </w:r>
    </w:p>
    <w:p>
      <w:pPr>
        <w:numPr>
          <w:ilvl w:val="0"/>
          <w:numId w:val="1001"/>
        </w:numPr>
        <w:pStyle w:val="Compact"/>
      </w:pPr>
      <w:r>
        <w:rPr>
          <w:bCs/>
          <w:b/>
        </w:rPr>
        <w:t xml:space="preserve">Konfidensialitas "secara universal"</w:t>
      </w:r>
      <w:r>
        <w:t xml:space="preserve"> </w:t>
      </w:r>
      <w:r>
        <w:t xml:space="preserve">oleh tenaga kesehatan (Perda Kota 16/2011 Pasal 5 ayat (4)–(5)), satu-satunya norma kerahasiaan HIV tingkat daerah dalam paket.</w:t>
      </w:r>
    </w:p>
    <w:p>
      <w:pPr>
        <w:numPr>
          <w:ilvl w:val="0"/>
          <w:numId w:val="1001"/>
        </w:numPr>
        <w:pStyle w:val="Compact"/>
      </w:pPr>
      <w:r>
        <w:rPr>
          <w:bCs/>
          <w:b/>
        </w:rPr>
        <w:t xml:space="preserve">Kesetaraan pasien dan larangan stigma</w:t>
      </w:r>
      <w:r>
        <w:t xml:space="preserve"> </w:t>
      </w:r>
      <w:r>
        <w:t xml:space="preserve">(Pasal 6 ayat (2)–(3); Pasal 7 ayat (5) huruf d), sejalan dengan penghapusan stigma dalam Permenkes 3/2026 Pasal 2 huruf d.</w:t>
      </w:r>
    </w:p>
    <w:p>
      <w:pPr>
        <w:numPr>
          <w:ilvl w:val="0"/>
          <w:numId w:val="1001"/>
        </w:numPr>
        <w:pStyle w:val="Compact"/>
      </w:pPr>
      <w:r>
        <w:rPr>
          <w:bCs/>
          <w:b/>
        </w:rPr>
        <w:t xml:space="preserve">Hak akses layanan populasi risiko tinggi</w:t>
      </w:r>
      <w:r>
        <w:t xml:space="preserve"> </w:t>
      </w:r>
      <w:r>
        <w:t xml:space="preserve">(Pasal 7 ayat (1)).</w:t>
      </w:r>
    </w:p>
    <w:p>
      <w:pPr>
        <w:numPr>
          <w:ilvl w:val="0"/>
          <w:numId w:val="1001"/>
        </w:numPr>
        <w:pStyle w:val="Compact"/>
      </w:pPr>
      <w:r>
        <w:rPr>
          <w:bCs/>
          <w:b/>
        </w:rPr>
        <w:t xml:space="preserve">Kondom dan pelicin</w:t>
      </w:r>
      <w:r>
        <w:t xml:space="preserve"> </w:t>
      </w:r>
      <w:r>
        <w:t xml:space="preserve">(Pasal 7 ayat (3)–(4)) serta</w:t>
      </w:r>
      <w:r>
        <w:t xml:space="preserve"> </w:t>
      </w:r>
      <w:r>
        <w:rPr>
          <w:bCs/>
          <w:b/>
        </w:rPr>
        <w:t xml:space="preserve">pembiayaan sampai tingkat kampung</w:t>
      </w:r>
      <w:r>
        <w:t xml:space="preserve"> </w:t>
      </w:r>
      <w:r>
        <w:t xml:space="preserve">melalui ADKK (Pasal 7 ayat (7)).</w:t>
      </w:r>
    </w:p>
    <w:p>
      <w:pPr>
        <w:numPr>
          <w:ilvl w:val="0"/>
          <w:numId w:val="1001"/>
        </w:numPr>
        <w:pStyle w:val="Compact"/>
      </w:pPr>
      <w:r>
        <w:rPr>
          <w:bCs/>
          <w:b/>
        </w:rPr>
        <w:t xml:space="preserve">KIE dan peran lembaga adat</w:t>
      </w:r>
      <w:r>
        <w:t xml:space="preserve"> </w:t>
      </w:r>
      <w:r>
        <w:t xml:space="preserve">(Pasal 7 ayat (9)–(10)) sebagai adaptasi lokal Papua, serta</w:t>
      </w:r>
      <w:r>
        <w:t xml:space="preserve"> </w:t>
      </w:r>
      <w:r>
        <w:rPr>
          <w:bCs/>
          <w:b/>
        </w:rPr>
        <w:t xml:space="preserve">pendidikan HIV dan kesehatan reproduksi</w:t>
      </w:r>
      <w:r>
        <w:t xml:space="preserve"> </w:t>
      </w:r>
      <w:r>
        <w:t xml:space="preserve">di setiap satuan pendidikan (Pasal 2 ayat (4)).</w:t>
      </w:r>
    </w:p>
    <w:p>
      <w:pPr>
        <w:numPr>
          <w:ilvl w:val="0"/>
          <w:numId w:val="1001"/>
        </w:numPr>
        <w:pStyle w:val="Compact"/>
      </w:pPr>
      <w:r>
        <w:rPr>
          <w:bCs/>
          <w:b/>
        </w:rPr>
        <w:t xml:space="preserve">Kerahasiaan asesmen napza</w:t>
      </w:r>
      <w:r>
        <w:t xml:space="preserve"> </w:t>
      </w:r>
      <w:r>
        <w:t xml:space="preserve">(Perda Provinsi 6/2018 Pasal 31–32) dan</w:t>
      </w:r>
      <w:r>
        <w:t xml:space="preserve"> </w:t>
      </w:r>
      <w:r>
        <w:rPr>
          <w:bCs/>
          <w:b/>
        </w:rPr>
        <w:t xml:space="preserve">dukungan kerja dan pendidikan pascarehabilitasi</w:t>
      </w:r>
      <w:r>
        <w:t xml:space="preserve"> </w:t>
      </w:r>
      <w:r>
        <w:t xml:space="preserve">(Pasal 41).</w:t>
      </w:r>
    </w:p>
    <w:p>
      <w:pPr>
        <w:numPr>
          <w:ilvl w:val="0"/>
          <w:numId w:val="1001"/>
        </w:numPr>
        <w:pStyle w:val="Compact"/>
      </w:pPr>
      <w:r>
        <w:rPr>
          <w:bCs/>
          <w:b/>
        </w:rPr>
        <w:t xml:space="preserve">Pengaman tambahan provinsi</w:t>
      </w:r>
      <w:r>
        <w:t xml:space="preserve">: jaminan sosial bagi petugas yang merawat ODHIV dan sirkumsisi sebagai pilihan (Perda Provinsi 10/2021).</w:t>
      </w:r>
    </w:p>
    <w:p>
      <w:pPr>
        <w:numPr>
          <w:ilvl w:val="0"/>
          <w:numId w:val="1001"/>
        </w:numPr>
        <w:pStyle w:val="Compact"/>
      </w:pPr>
      <w:r>
        <w:rPr>
          <w:bCs/>
          <w:b/>
        </w:rPr>
        <w:t xml:space="preserve">Call center 24 jam</w:t>
      </w:r>
      <w:r>
        <w:t xml:space="preserve"> </w:t>
      </w:r>
      <w:r>
        <w:t xml:space="preserve">(Perwali 7/2024), yang dapat menjadi pengaman bila kerahasiaannya diatur.</w:t>
      </w:r>
    </w:p>
    <w:p>
      <w:pPr>
        <w:pStyle w:val="FirstParagraph"/>
      </w:pPr>
      <w:r>
        <w:rPr>
          <w:bCs/>
          <w:b/>
        </w:rPr>
        <w:t xml:space="preserve">Analisis.</w:t>
      </w:r>
      <w:r>
        <w:t xml:space="preserve"> </w:t>
      </w:r>
      <w:r>
        <w:t xml:space="preserve">Perda Kota 16/2011 memuat pengaman di atas, tetapi juga PITC tanpa syarat sukarela, larangan mempekerjakan pengidap HIV, dan pidana atas kewajiban perilaku; Perda Provinsi 6/2018 menjamin kerahasiaan asesmen sekaligus mengatur laporan identitas. Penilaian "baik" atau "buruk" atas satu Perda akan kehilangan salah satu sisi. Pembacaan pasal demi pasal memungkinkan pengaman dikenali dan dijaga, sementara pembebanan diperiksa tersendiri.</w:t>
      </w:r>
    </w:p>
    <w:bookmarkEnd w:id="26"/>
    <w:bookmarkStart w:id="27" w:name="X7023fc915e614148c1bae9a7003b05d128556a5"/>
    <w:p>
      <w:pPr>
        <w:pStyle w:val="Heading3"/>
      </w:pPr>
      <w:r>
        <w:t xml:space="preserve">4.1.8 Sintesis Dampak Normatif dan Celah Bukti</w:t>
      </w:r>
    </w:p>
    <w:p>
      <w:pPr>
        <w:pStyle w:val="FirstParagraph"/>
      </w:pPr>
      <w:r>
        <w:t xml:space="preserve">Regulasi yang berlaku di Kota Jayapura tidak dapat diringkas sebagai melindungi atau membatasi. Pengaman dan pembebanan hadir bersamaan, sering dalam instrumen yang sama, dan tersebar di dua lapis pemerintahan. Untuk menjaga disiplin klaim, temuan subbab 4.1 dipisahkan ke dalam empat kategori.</w:t>
      </w:r>
    </w:p>
    <w:p>
      <w:pPr>
        <w:pStyle w:val="BodyText"/>
      </w:pPr>
      <w:r>
        <w:rPr>
          <w:bCs/>
          <w:b/>
        </w:rPr>
        <w:t xml:space="preserve">Temuan normatif (dapat ditunjukkan dari teks).</w:t>
      </w:r>
      <w:r>
        <w:t xml:space="preserve"> </w:t>
      </w:r>
      <w:r>
        <w:t xml:space="preserve">Syarat sukarela, persetujuan, dan konseling tidak lagi tertulis dalam norma tes sejak Perda 2011. Transgender tidak disebut di satu pun instrumen paket. LASS dan terapi rumatan tidak diatur. KPA Provinsi tidak memuat wakil ODHIV atau komunitas. Kerahasiaan call center PKR tidak diatur. Pasal pidana kota dan provinsi menjangkau kewajiban populasi kunci dan ODHIV, tetapi tidak kewajiban pemerintah, sektor kesehatan, atau lembaga adat. Enam instrumen daerah yang berlaku masih merujuk aturan yang sudah dicabut atau diubah.</w:t>
      </w:r>
    </w:p>
    <w:p>
      <w:pPr>
        <w:pStyle w:val="BodyText"/>
      </w:pPr>
      <w:r>
        <w:rPr>
          <w:bCs/>
          <w:b/>
        </w:rPr>
        <w:t xml:space="preserve">Kandidat ketegangan (membutuhkan telaah hukum tambahan).</w:t>
      </w:r>
      <w:r>
        <w:t xml:space="preserve"> </w:t>
      </w:r>
      <w:r>
        <w:t xml:space="preserve">Pemeriksaan dan pelaporan PSK dalam Perda Provinsi 10/2021 berhadapan dengan pengaman persetujuan dan kerahasiaan nasional. Pemeriksaan pekerja di kedua tingkat berhadapan dengan Kepmenakertrans 68/2004 Pasal 5. Laporan identitas dalam Perda NAPZA berhadapan dengan UU 27/2022. Larangan menjadi penjaja seks dalam Perda Ketertiban berhadapan dengan kewajiban pengelola lokasi dalam Perda HIV provinsi.</w:t>
      </w:r>
    </w:p>
    <w:p>
      <w:pPr>
        <w:pStyle w:val="BodyText"/>
      </w:pPr>
      <w:r>
        <w:rPr>
          <w:bCs/>
          <w:b/>
        </w:rPr>
        <w:t xml:space="preserve">Risiko yang perlu dibuktikan (membutuhkan bukti pelaksanaan).</w:t>
      </w:r>
      <w:r>
        <w:t xml:space="preserve"> </w:t>
      </w:r>
      <w:r>
        <w:t xml:space="preserve">ODHIV menghindari kontrol berkala karena ancaman pidana kepatuhan ARV; PSP menghindari layanan atau terputus dari ARV setelah dipulangkan; pekerja malam sulit mengakses PKR; penelepon ragu memakai call center bersama PSC 119; orang yang takut identitasnya tercatat tidak datang ke layanan. Tidak satu pun dapat dinyatakan sebagai fakta sebelum data R-2 sampai R-5 tersedia.</w:t>
      </w:r>
    </w:p>
    <w:p>
      <w:pPr>
        <w:pStyle w:val="BodyText"/>
      </w:pPr>
      <w:r>
        <w:rPr>
          <w:bCs/>
          <w:b/>
        </w:rPr>
        <w:t xml:space="preserve">Belum dapat dinilai (dokumen atau bukti dasar belum tersedia).</w:t>
      </w:r>
      <w:r>
        <w:t xml:space="preserve"> </w:t>
      </w:r>
      <w:r>
        <w:t xml:space="preserve">Pasal Perda Provinsi 8/2010 yang tidak diubah; apakah hak menolak tes terbawa melalui pedoman PITC; susunan KPA Kota; status hukum tiga instrumen; dan dampak pemekaran Papua terhadap wilayah berlakunya Perda provinsi.</w:t>
      </w:r>
    </w:p>
    <w:p>
      <w:pPr>
        <w:pStyle w:val="BodyText"/>
      </w:pPr>
      <w:r>
        <w:t xml:space="preserve">Pemisahan ini penting bagi pembaca kebijakan. Temuan normatif dapat ditindaklanjuti dengan membaca ulang teks, kandidat ketegangan memerlukan telaah hukum, risiko memerlukan data lapangan, dan kekosongan dokumen memerlukan penelusuran arsip. Mencampur keempatnya akan membuat kesimpulan tampak lebih pasti daripada bukti yang tersedia.</w:t>
      </w:r>
    </w:p>
    <w:p>
      <w:pPr>
        <w:pStyle w:val="BodyText"/>
      </w:pPr>
      <w:r>
        <w:t xml:space="preserve">Pertanyaan berikutnya bukan lagi semata-mata apa yang tertulis, tetapi bagaimana norma-norma tersebut berinteraksi dalam hirarki hukum nasional–provinsi–kota.</w:t>
      </w:r>
    </w:p>
    <w:bookmarkEnd w:id="27"/>
    <w:bookmarkEnd w:id="28"/>
    <w:bookmarkStart w:id="36" w:name="X130d5781c98566a1f2bb5bcbd3ac84c7ce34b79"/>
    <w:p>
      <w:pPr>
        <w:pStyle w:val="Heading2"/>
      </w:pPr>
      <w:r>
        <w:t xml:space="preserve">4.2 Interaksi Regulasi Daerah dengan Hukum Nasional</w:t>
      </w:r>
    </w:p>
    <w:bookmarkStart w:id="29" w:name="X04984b71d91917fadf991208d373b2d3c4e1151"/>
    <w:p>
      <w:pPr>
        <w:pStyle w:val="Heading3"/>
      </w:pPr>
      <w:r>
        <w:t xml:space="preserve">4.2.1 Arsitektur Cascading Nasional → Provinsi → Kota</w:t>
      </w:r>
    </w:p>
    <w:p>
      <w:pPr>
        <w:pStyle w:val="FirstParagraph"/>
      </w:pPr>
      <w:r>
        <w:rPr>
          <w:bCs/>
          <w:b/>
        </w:rPr>
        <w:t xml:space="preserve">Temuan utama.</w:t>
      </w:r>
      <w:r>
        <w:t xml:space="preserve"> </w:t>
      </w:r>
      <w:r>
        <w:t xml:space="preserve">Hubungan antartingkat di Jayapura lemah secara tekstual. Rantai teks yang lengkap hanya satu, yaitu Permenkes 43/2019 ke Perwali 7/2024. Hubungan HIV provinsi ke kota berupa rujukan dasar hukum, bukan delegasi. Tidak ada relasi teks dari kerangka nasional 2022–2026 ke instrumen Papua atau Jayapura.</w:t>
      </w:r>
    </w:p>
    <w:p>
      <w:pPr>
        <w:pStyle w:val="BodyText"/>
      </w:pPr>
      <w:r>
        <w:t xml:space="preserve">Tidak semua hubungan antaraturan adalah "turunan". Laporan sumber membedakan beberapa jenis relasi:</w:t>
      </w:r>
    </w:p>
    <w:p>
      <w:pPr>
        <w:numPr>
          <w:ilvl w:val="0"/>
          <w:numId w:val="1002"/>
        </w:numPr>
        <w:pStyle w:val="Compact"/>
      </w:pPr>
      <w:r>
        <w:rPr>
          <w:bCs/>
          <w:b/>
        </w:rPr>
        <w:t xml:space="preserve">Delegasi</w:t>
      </w:r>
      <w:r>
        <w:t xml:space="preserve">: Permenkes 3/2026 Pasal 96 huruf a mendelegasikan pedoman teknis HIV. Di daerah, ada lima delegasi tanpa turunan yang ditemukan, antara lain KPA Kota melalui Keputusan Walikota (Perda Kota 16/2011 Pasal 3 ayat (1)), pengurus KPA melalui Keputusan Gubernur (Perda Provinsi 10/2021 Pasal 26 ayat (2)), dan dua Pergub turunan Perda NAPZA (Pasal 10 dan 46 ayat (3)).</w:t>
      </w:r>
    </w:p>
    <w:p>
      <w:pPr>
        <w:numPr>
          <w:ilvl w:val="0"/>
          <w:numId w:val="1002"/>
        </w:numPr>
        <w:pStyle w:val="Compact"/>
      </w:pPr>
      <w:r>
        <w:rPr>
          <w:bCs/>
          <w:b/>
        </w:rPr>
        <w:t xml:space="preserve">Aturan pelaksana</w:t>
      </w:r>
      <w:r>
        <w:t xml:space="preserve">: Perwali 7/2024 terhadap Permenkes 43/2019; isi Pasal 7 huruf a Permenkes itu belum dicocokkan, sehingga kesesuaiannya belum dapat dinilai.</w:t>
      </w:r>
    </w:p>
    <w:p>
      <w:pPr>
        <w:numPr>
          <w:ilvl w:val="0"/>
          <w:numId w:val="1002"/>
        </w:numPr>
        <w:pStyle w:val="Compact"/>
      </w:pPr>
      <w:r>
        <w:rPr>
          <w:bCs/>
          <w:b/>
        </w:rPr>
        <w:t xml:space="preserve">Rujukan dasar hukum</w:t>
      </w:r>
      <w:r>
        <w:t xml:space="preserve">: Perda Kota 16/2011 merujuk Perda Provinsi 8/2010 sebagai dasar hukum, bukan sebagai delegasi; Perda Provinsi 10/2021 merujuk Permenkes 21/2013 yang sudah dicabut.</w:t>
      </w:r>
    </w:p>
    <w:p>
      <w:pPr>
        <w:numPr>
          <w:ilvl w:val="0"/>
          <w:numId w:val="1002"/>
        </w:numPr>
        <w:pStyle w:val="Compact"/>
      </w:pPr>
      <w:r>
        <w:rPr>
          <w:bCs/>
          <w:b/>
        </w:rPr>
        <w:t xml:space="preserve">Perubahan</w:t>
      </w:r>
      <w:r>
        <w:t xml:space="preserve">: Perda Provinsi 10/2021 mengubah Perda 8/2010, tetapi Perda kota tidak diperbarui sesudahnya.</w:t>
      </w:r>
    </w:p>
    <w:p>
      <w:pPr>
        <w:numPr>
          <w:ilvl w:val="0"/>
          <w:numId w:val="1002"/>
        </w:numPr>
        <w:pStyle w:val="Compact"/>
      </w:pPr>
      <w:r>
        <w:rPr>
          <w:bCs/>
          <w:b/>
        </w:rPr>
        <w:t xml:space="preserve">Pencabutan</w:t>
      </w:r>
      <w:r>
        <w:t xml:space="preserve">: Perda Kota 16/2011 Pasal 11 mencabut Perda 7/2006; Permenkes 3/2026 mencabut Permenkes 23/2022 kecuali Pasal 41 dan Lampiran.</w:t>
      </w:r>
    </w:p>
    <w:p>
      <w:pPr>
        <w:numPr>
          <w:ilvl w:val="0"/>
          <w:numId w:val="1002"/>
        </w:numPr>
        <w:pStyle w:val="Compact"/>
      </w:pPr>
      <w:r>
        <w:rPr>
          <w:bCs/>
          <w:b/>
        </w:rPr>
        <w:t xml:space="preserve">Hubungan substantif</w:t>
      </w:r>
      <w:r>
        <w:t xml:space="preserve">: pedoman PITC yang dirujuk Pasal 5 Perda Kota 16/2011 dicatat sebagai standar substantif kandidat (kemungkinan Permenkes 21/2013), tetapi tidak dapat dinilai karena Perda lebih tua dari Permenkes itu.</w:t>
      </w:r>
    </w:p>
    <w:p>
      <w:pPr>
        <w:numPr>
          <w:ilvl w:val="0"/>
          <w:numId w:val="1002"/>
        </w:numPr>
        <w:pStyle w:val="Compact"/>
      </w:pPr>
      <w:r>
        <w:rPr>
          <w:bCs/>
          <w:b/>
        </w:rPr>
        <w:t xml:space="preserve">Hubungan tematik tanpa relasi teks</w:t>
      </w:r>
      <w:r>
        <w:t xml:space="preserve">: Lampiran Permenkes 23/2022 terhadap Perda HIV provinsi dan kota (keduanya lebih tua; laporan sumber menyebutnya PRE-PARENT); UU 27/2022 terhadap Perda NAPZA dan Perda HIV provinsi; Permendagri 59/2021 tentang standar pelayanan minimal terhadap Perwali 7/2024.</w:t>
      </w:r>
    </w:p>
    <w:p>
      <w:pPr>
        <w:pStyle w:val="FirstParagraph"/>
      </w:pPr>
      <w:r>
        <w:rPr>
          <w:bCs/>
          <w:b/>
        </w:rPr>
        <w:t xml:space="preserve">Analisis.</w:t>
      </w:r>
      <w:r>
        <w:t xml:space="preserve"> </w:t>
      </w:r>
      <w:r>
        <w:t xml:space="preserve">Pengaman nasional tidak "mengalir" ke Jayapura melalui teks; persetujuan menurut UU 17/2023 Pasal 293, misalnya, tidak dirujuk instrumen daerah mana pun. Sebaliknya, Perda provinsi berlaku langsung di kota tanpa perlu dirujuk Perda kota. Karena itu, analisis Kota Jayapura tidak dapat berhenti pada Perda kota: Dinas Kesehatan Kota dan pengelola lokasi menghadapi kewajiban kota dan kewajiban provinsi sekaligus.</w:t>
      </w:r>
    </w:p>
    <w:bookmarkEnd w:id="29"/>
    <w:bookmarkStart w:id="30" w:name="Xc6af05eb9822f9d51ae40d50e326a4046bbbd01"/>
    <w:p>
      <w:pPr>
        <w:pStyle w:val="Heading3"/>
      </w:pPr>
      <w:r>
        <w:t xml:space="preserve">4.2.2 Alignment Pengaman HAM antar-Tingkat</w:t>
      </w:r>
    </w:p>
    <w:p>
      <w:pPr>
        <w:pStyle w:val="FirstParagraph"/>
      </w:pPr>
      <w:r>
        <w:rPr>
          <w:bCs/>
          <w:b/>
        </w:rPr>
        <w:t xml:space="preserve">Temuan utama.</w:t>
      </w:r>
      <w:r>
        <w:t xml:space="preserve"> </w:t>
      </w:r>
      <w:r>
        <w:t xml:space="preserve">Pengaman yang sampai ke Jayapura dalam bentuk teks hanya kerahasiaan (dengan subjek menyempit), kesetaraan pasien, kondom dan pelicin, serta partisipasi adat. Persetujuan dan konseling tes, alat suntik steril, pengakuan transgender, kursi komunitas, notifikasi pasangan, dan kanal pengaduan tidak sampai. Pembebanan paling banyak ditambahkan di tingkat provinsi.</w:t>
      </w:r>
    </w:p>
    <w:p>
      <w:pPr>
        <w:pStyle w:val="BodyText"/>
      </w:pPr>
      <w:r>
        <w:t xml:space="preserve">Kategori arah perubahan:</w:t>
      </w:r>
      <w:r>
        <w:t xml:space="preserve"> </w:t>
      </w:r>
      <w:r>
        <w:rPr>
          <w:bCs/>
          <w:b/>
        </w:rPr>
        <w:t xml:space="preserve">Dipertahankan</w:t>
      </w:r>
      <w:r>
        <w:t xml:space="preserve"> </w:t>
      </w:r>
      <w:r>
        <w:t xml:space="preserve">(pengaman nasional muncul kembali),</w:t>
      </w:r>
      <w:r>
        <w:t xml:space="preserve"> </w:t>
      </w:r>
      <w:r>
        <w:rPr>
          <w:bCs/>
          <w:b/>
        </w:rPr>
        <w:t xml:space="preserve">Menyempit</w:t>
      </w:r>
      <w:r>
        <w:t xml:space="preserve"> </w:t>
      </w:r>
      <w:r>
        <w:t xml:space="preserve">(muncul dengan cakupan lebih sempit),</w:t>
      </w:r>
      <w:r>
        <w:t xml:space="preserve"> </w:t>
      </w:r>
      <w:r>
        <w:rPr>
          <w:bCs/>
          <w:b/>
        </w:rPr>
        <w:t xml:space="preserve">Hilang</w:t>
      </w:r>
      <w:r>
        <w:t xml:space="preserve"> </w:t>
      </w:r>
      <w:r>
        <w:t xml:space="preserve">(tidak muncul),</w:t>
      </w:r>
      <w:r>
        <w:t xml:space="preserve"> </w:t>
      </w:r>
      <w:r>
        <w:rPr>
          <w:bCs/>
          <w:b/>
        </w:rPr>
        <w:t xml:space="preserve">Ditambah di daerah</w:t>
      </w:r>
      <w:r>
        <w:t xml:space="preserve"> </w:t>
      </w:r>
      <w:r>
        <w:t xml:space="preserve">(norma baru, pengaman atau beban),</w:t>
      </w:r>
      <w:r>
        <w:t xml:space="preserve"> </w:t>
      </w:r>
      <w:r>
        <w:rPr>
          <w:bCs/>
          <w:b/>
        </w:rPr>
        <w:t xml:space="preserve">Bertentangan (kandidat)</w:t>
      </w:r>
      <w:r>
        <w:t xml:space="preserve"> </w:t>
      </w:r>
      <w:r>
        <w:t xml:space="preserve">(berpotensi berlawanan dengan pengaman nasional), dan</w:t>
      </w:r>
      <w:r>
        <w:t xml:space="preserve"> </w:t>
      </w:r>
      <w:r>
        <w:rPr>
          <w:bCs/>
          <w:b/>
        </w:rPr>
        <w:t xml:space="preserve">Belum ditemukan</w:t>
      </w:r>
      <w:r>
        <w:t xml:space="preserve"> </w:t>
      </w:r>
      <w:r>
        <w:t xml:space="preserve">(dokumen relevan belum tersedia). Semua adalah kandidat berbasis teks.</w:t>
      </w:r>
    </w:p>
    <w:p>
      <w:pPr>
        <w:pStyle w:val="BodyText"/>
      </w:pPr>
      <w:r>
        <w:rPr>
          <w:bCs/>
          <w:b/>
        </w:rPr>
        <w:t xml:space="preserve">Exhibit 4.4. Alignment pengaman: Nasional → Provinsi Papua → Kota Jayapura</w:t>
      </w:r>
    </w:p>
    <w:tbl>
      <w:tblPr>
        <w:tblStyle w:val="Table"/>
        <w:tblW w:type="dxa" w:w="8787"/>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12"/>
        <w:gridCol w:w="1454"/>
        <w:gridCol w:w="1537"/>
        <w:gridCol w:w="1575"/>
        <w:gridCol w:w="1314"/>
        <w:gridCol w:w="1193"/>
      </w:tblGrid>
      <w:tr>
        <w:trPr>
          <w:tblHeader w:val="true"/>
        </w:trPr>
        <w:tc>
          <w:tcPr>
            <w:tcW w:type="dxa" w:w="1712"/>
          </w:tcPr>
          <w:p>
            <w:pPr>
              <w:pStyle w:val="Compact"/>
              <w:spacing w:line="240" w:lineRule="auto" w:after="20" w:before="20"/>
              <w:jc w:val="left"/>
            </w:pPr>
            <w:r>
              <w:rPr>
                <w:rFonts w:ascii="Times New Roman" w:hAnsi="Times New Roman"/>
                <w:b/>
                <w:sz w:val="18"/>
              </w:rPr>
              <w:t xml:space="preserve">Pengaman</w:t>
            </w:r>
          </w:p>
        </w:tc>
        <w:tc>
          <w:tcPr>
            <w:tcW w:type="dxa" w:w="1454"/>
          </w:tcPr>
          <w:p>
            <w:pPr>
              <w:pStyle w:val="Compact"/>
              <w:spacing w:line="240" w:lineRule="auto" w:after="20" w:before="20"/>
              <w:jc w:val="left"/>
            </w:pPr>
            <w:r>
              <w:rPr>
                <w:rFonts w:ascii="Times New Roman" w:hAnsi="Times New Roman"/>
                <w:b/>
                <w:sz w:val="18"/>
              </w:rPr>
              <w:t xml:space="preserve">Nasional</w:t>
            </w:r>
          </w:p>
        </w:tc>
        <w:tc>
          <w:tcPr>
            <w:tcW w:type="dxa" w:w="1538"/>
          </w:tcPr>
          <w:p>
            <w:pPr>
              <w:pStyle w:val="Compact"/>
              <w:spacing w:line="240" w:lineRule="auto" w:after="20" w:before="20"/>
              <w:jc w:val="left"/>
            </w:pPr>
            <w:r>
              <w:rPr>
                <w:rFonts w:ascii="Times New Roman" w:hAnsi="Times New Roman"/>
                <w:b/>
                <w:sz w:val="18"/>
              </w:rPr>
              <w:t xml:space="preserve">Provinsi Papua</w:t>
            </w:r>
          </w:p>
        </w:tc>
        <w:tc>
          <w:tcPr>
            <w:tcW w:type="dxa" w:w="1576"/>
          </w:tcPr>
          <w:p>
            <w:pPr>
              <w:pStyle w:val="Compact"/>
              <w:spacing w:line="240" w:lineRule="auto" w:after="20" w:before="20"/>
              <w:jc w:val="left"/>
            </w:pPr>
            <w:r>
              <w:rPr>
                <w:rFonts w:ascii="Times New Roman" w:hAnsi="Times New Roman"/>
                <w:b/>
                <w:sz w:val="18"/>
              </w:rPr>
              <w:t xml:space="preserve">Kota Jayapura</w:t>
            </w:r>
          </w:p>
        </w:tc>
        <w:tc>
          <w:tcPr>
            <w:tcW w:type="dxa" w:w="1315"/>
          </w:tcPr>
          <w:p>
            <w:pPr>
              <w:pStyle w:val="Compact"/>
              <w:spacing w:line="240" w:lineRule="auto" w:after="20" w:before="20"/>
              <w:jc w:val="left"/>
            </w:pPr>
            <w:r>
              <w:rPr>
                <w:rFonts w:ascii="Times New Roman" w:hAnsi="Times New Roman"/>
                <w:b/>
                <w:sz w:val="18"/>
              </w:rPr>
              <w:t xml:space="preserve">Arah perubahan</w:t>
            </w:r>
          </w:p>
        </w:tc>
        <w:tc>
          <w:tcPr>
            <w:tcW w:type="dxa" w:w="1193"/>
          </w:tcPr>
          <w:p>
            <w:pPr>
              <w:pStyle w:val="Compact"/>
              <w:spacing w:line="240" w:lineRule="auto" w:after="20" w:before="20"/>
              <w:jc w:val="left"/>
            </w:pPr>
            <w:r>
              <w:rPr>
                <w:rFonts w:ascii="Times New Roman" w:hAnsi="Times New Roman"/>
                <w:b/>
                <w:sz w:val="18"/>
              </w:rPr>
              <w:t xml:space="preserve">Status keyakinan</w:t>
            </w:r>
          </w:p>
        </w:tc>
      </w:tr>
      <w:tr>
        <w:tc>
          <w:tcPr>
            <w:tcW w:type="dxa" w:w="1712"/>
          </w:tcPr>
          <w:p>
            <w:pPr>
              <w:pStyle w:val="Compact"/>
              <w:spacing w:line="240" w:lineRule="auto" w:after="20" w:before="20"/>
              <w:jc w:val="left"/>
            </w:pPr>
            <w:r>
              <w:rPr>
                <w:rFonts w:ascii="Times New Roman" w:hAnsi="Times New Roman"/>
                <w:sz w:val="18"/>
              </w:rPr>
              <w:t xml:space="preserve">Persetujuan tes</w:t>
            </w:r>
          </w:p>
        </w:tc>
        <w:tc>
          <w:tcPr>
            <w:tcW w:type="dxa" w:w="1454"/>
          </w:tcPr>
          <w:p>
            <w:pPr>
              <w:pStyle w:val="Compact"/>
              <w:spacing w:line="240" w:lineRule="auto" w:after="20" w:before="20"/>
              <w:jc w:val="left"/>
            </w:pPr>
            <w:r>
              <w:rPr>
                <w:rFonts w:ascii="Times New Roman" w:hAnsi="Times New Roman"/>
                <w:sz w:val="18"/>
              </w:rPr>
              <w:t xml:space="preserve">UU 17/2023 Ps 293; pengecualian Ps 295, 276 huruf d</w:t>
            </w:r>
          </w:p>
        </w:tc>
        <w:tc>
          <w:tcPr>
            <w:tcW w:type="dxa" w:w="1538"/>
          </w:tcPr>
          <w:p>
            <w:pPr>
              <w:pStyle w:val="Compact"/>
              <w:spacing w:line="240" w:lineRule="auto" w:after="20" w:before="20"/>
              <w:jc w:val="left"/>
            </w:pPr>
            <w:r>
              <w:rPr>
                <w:rFonts w:ascii="Times New Roman" w:hAnsi="Times New Roman"/>
                <w:sz w:val="18"/>
              </w:rPr>
              <w:t xml:space="preserve">Pemeriksaan PSK tanpa syarat persetujuan (Ps 6 ayat (1) huruf a, i)</w:t>
            </w:r>
          </w:p>
        </w:tc>
        <w:tc>
          <w:tcPr>
            <w:tcW w:type="dxa" w:w="1576"/>
          </w:tcPr>
          <w:p>
            <w:pPr>
              <w:pStyle w:val="Compact"/>
              <w:spacing w:line="240" w:lineRule="auto" w:after="20" w:before="20"/>
              <w:jc w:val="left"/>
            </w:pPr>
            <w:r>
              <w:rPr>
                <w:rFonts w:ascii="Times New Roman" w:hAnsi="Times New Roman"/>
                <w:sz w:val="18"/>
              </w:rPr>
              <w:t xml:space="preserve">PITC "sesuai pedoman" (Ps 5); dulu sukarela (Perda 2006)</w:t>
            </w:r>
          </w:p>
        </w:tc>
        <w:tc>
          <w:tcPr>
            <w:tcW w:type="dxa" w:w="1315"/>
          </w:tcPr>
          <w:p>
            <w:pPr>
              <w:pStyle w:val="Compact"/>
              <w:spacing w:line="240" w:lineRule="auto" w:after="20" w:before="20"/>
              <w:jc w:val="left"/>
            </w:pPr>
            <w:r>
              <w:rPr>
                <w:rFonts w:ascii="Times New Roman" w:hAnsi="Times New Roman"/>
                <w:sz w:val="18"/>
              </w:rPr>
              <w:t xml:space="preserve">Prov: bertentangan. Kota: menyempit</w:t>
            </w:r>
          </w:p>
        </w:tc>
        <w:tc>
          <w:tcPr>
            <w:tcW w:type="dxa" w:w="1193"/>
          </w:tcPr>
          <w:p>
            <w:pPr>
              <w:pStyle w:val="Compact"/>
              <w:spacing w:line="240" w:lineRule="auto" w:after="20" w:before="20"/>
              <w:jc w:val="left"/>
            </w:pPr>
            <w:r>
              <w:rPr>
                <w:rFonts w:ascii="Times New Roman" w:hAnsi="Times New Roman"/>
                <w:sz w:val="18"/>
              </w:rPr>
              <w:t xml:space="preserve">Kandidat; pedoman PITC belum ditemukan</w:t>
            </w:r>
          </w:p>
        </w:tc>
      </w:tr>
      <w:tr>
        <w:tc>
          <w:tcPr>
            <w:tcW w:type="dxa" w:w="1712"/>
          </w:tcPr>
          <w:p>
            <w:pPr>
              <w:pStyle w:val="Compact"/>
              <w:spacing w:line="240" w:lineRule="auto" w:after="20" w:before="20"/>
              <w:jc w:val="left"/>
            </w:pPr>
            <w:r>
              <w:rPr>
                <w:rFonts w:ascii="Times New Roman" w:hAnsi="Times New Roman"/>
                <w:sz w:val="18"/>
              </w:rPr>
              <w:t xml:space="preserve">Konseling</w:t>
            </w:r>
          </w:p>
        </w:tc>
        <w:tc>
          <w:tcPr>
            <w:tcW w:type="dxa" w:w="1454"/>
          </w:tcPr>
          <w:p>
            <w:pPr>
              <w:pStyle w:val="Compact"/>
              <w:spacing w:line="240" w:lineRule="auto" w:after="20" w:before="20"/>
              <w:jc w:val="left"/>
            </w:pPr>
            <w:r>
              <w:rPr>
                <w:rFonts w:ascii="Times New Roman" w:hAnsi="Times New Roman"/>
                <w:sz w:val="18"/>
              </w:rPr>
              <w:t xml:space="preserve">Lampiran 23/2022</w:t>
            </w:r>
          </w:p>
        </w:tc>
        <w:tc>
          <w:tcPr>
            <w:tcW w:type="dxa" w:w="1538"/>
          </w:tcPr>
          <w:p>
            <w:pPr>
              <w:pStyle w:val="Compact"/>
              <w:spacing w:line="240" w:lineRule="auto" w:after="20" w:before="20"/>
              <w:jc w:val="left"/>
            </w:pPr>
            <w:r>
              <w:rPr>
                <w:rFonts w:ascii="Times New Roman" w:hAnsi="Times New Roman"/>
                <w:sz w:val="18"/>
              </w:rPr>
              <w:t xml:space="preserve">Belum ditemukan di teks 2021</w:t>
            </w:r>
          </w:p>
        </w:tc>
        <w:tc>
          <w:tcPr>
            <w:tcW w:type="dxa" w:w="1576"/>
          </w:tcPr>
          <w:p>
            <w:pPr>
              <w:pStyle w:val="Compact"/>
              <w:spacing w:line="240" w:lineRule="auto" w:after="20" w:before="20"/>
              <w:jc w:val="left"/>
            </w:pPr>
            <w:r>
              <w:rPr>
                <w:rFonts w:ascii="Times New Roman" w:hAnsi="Times New Roman"/>
                <w:sz w:val="18"/>
              </w:rPr>
              <w:t xml:space="preserve">Hanya di definisi (Ps 1 angka 22)</w:t>
            </w:r>
          </w:p>
        </w:tc>
        <w:tc>
          <w:tcPr>
            <w:tcW w:type="dxa" w:w="1315"/>
          </w:tcPr>
          <w:p>
            <w:pPr>
              <w:pStyle w:val="Compact"/>
              <w:spacing w:line="240" w:lineRule="auto" w:after="20" w:before="20"/>
              <w:jc w:val="left"/>
            </w:pPr>
            <w:r>
              <w:rPr>
                <w:rFonts w:ascii="Times New Roman" w:hAnsi="Times New Roman"/>
                <w:sz w:val="18"/>
              </w:rPr>
              <w:t xml:space="preserve">Kota: menyempit</w:t>
            </w:r>
          </w:p>
        </w:tc>
        <w:tc>
          <w:tcPr>
            <w:tcW w:type="dxa" w:w="1193"/>
          </w:tcPr>
          <w:p>
            <w:pPr>
              <w:pStyle w:val="Compact"/>
              <w:spacing w:line="240" w:lineRule="auto" w:after="20" w:before="20"/>
              <w:jc w:val="left"/>
            </w:pPr>
            <w:r>
              <w:rPr>
                <w:rFonts w:ascii="Times New Roman" w:hAnsi="Times New Roman"/>
                <w:sz w:val="18"/>
              </w:rPr>
              <w:t xml:space="preserve">Kandidat; pedoman PITC belum ditemukan</w:t>
            </w:r>
          </w:p>
        </w:tc>
      </w:tr>
      <w:tr>
        <w:tc>
          <w:tcPr>
            <w:tcW w:type="dxa" w:w="1712"/>
          </w:tcPr>
          <w:p>
            <w:pPr>
              <w:pStyle w:val="Compact"/>
              <w:spacing w:line="240" w:lineRule="auto" w:after="20" w:before="20"/>
              <w:jc w:val="left"/>
            </w:pPr>
            <w:r>
              <w:rPr>
                <w:rFonts w:ascii="Times New Roman" w:hAnsi="Times New Roman"/>
                <w:sz w:val="18"/>
              </w:rPr>
              <w:t xml:space="preserve">Kerahasiaan</w:t>
            </w:r>
          </w:p>
        </w:tc>
        <w:tc>
          <w:tcPr>
            <w:tcW w:type="dxa" w:w="1454"/>
          </w:tcPr>
          <w:p>
            <w:pPr>
              <w:pStyle w:val="Compact"/>
              <w:spacing w:line="240" w:lineRule="auto" w:after="20" w:before="20"/>
              <w:jc w:val="left"/>
            </w:pPr>
            <w:r>
              <w:rPr>
                <w:rFonts w:ascii="Times New Roman" w:hAnsi="Times New Roman"/>
                <w:sz w:val="18"/>
              </w:rPr>
              <w:t xml:space="preserve">UU 17/2023 Ps 4, 177, 301; PP 28/2024 Ps 735, 788–792</w:t>
            </w:r>
          </w:p>
        </w:tc>
        <w:tc>
          <w:tcPr>
            <w:tcW w:type="dxa" w:w="1538"/>
          </w:tcPr>
          <w:p>
            <w:pPr>
              <w:pStyle w:val="Compact"/>
              <w:spacing w:line="240" w:lineRule="auto" w:after="20" w:before="20"/>
              <w:jc w:val="left"/>
            </w:pPr>
            <w:r>
              <w:rPr>
                <w:rFonts w:ascii="Times New Roman" w:hAnsi="Times New Roman"/>
                <w:sz w:val="18"/>
              </w:rPr>
              <w:t xml:space="preserve">Pelaporan PSK ke KPA; laporan identitas pecandu</w:t>
            </w:r>
          </w:p>
        </w:tc>
        <w:tc>
          <w:tcPr>
            <w:tcW w:type="dxa" w:w="1576"/>
          </w:tcPr>
          <w:p>
            <w:pPr>
              <w:pStyle w:val="Compact"/>
              <w:spacing w:line="240" w:lineRule="auto" w:after="20" w:before="20"/>
              <w:jc w:val="left"/>
            </w:pPr>
            <w:r>
              <w:rPr>
                <w:rFonts w:ascii="Times New Roman" w:hAnsi="Times New Roman"/>
                <w:sz w:val="18"/>
              </w:rPr>
              <w:t xml:space="preserve">Konfidensialitas universal (Ps 5); lapor teman sebaya; call center bersama</w:t>
            </w:r>
          </w:p>
        </w:tc>
        <w:tc>
          <w:tcPr>
            <w:tcW w:type="dxa" w:w="1315"/>
          </w:tcPr>
          <w:p>
            <w:pPr>
              <w:pStyle w:val="Compact"/>
              <w:spacing w:line="240" w:lineRule="auto" w:after="20" w:before="20"/>
              <w:jc w:val="left"/>
            </w:pPr>
            <w:r>
              <w:rPr>
                <w:rFonts w:ascii="Times New Roman" w:hAnsi="Times New Roman"/>
                <w:sz w:val="18"/>
              </w:rPr>
              <w:t xml:space="preserve">Prov: bertentangan. Kota: dipertahankan sebagian</w:t>
            </w:r>
          </w:p>
        </w:tc>
        <w:tc>
          <w:tcPr>
            <w:tcW w:type="dxa" w:w="1193"/>
          </w:tcPr>
          <w:p>
            <w:pPr>
              <w:pStyle w:val="Compact"/>
              <w:spacing w:line="240" w:lineRule="auto" w:after="20" w:before="20"/>
              <w:jc w:val="left"/>
            </w:pPr>
            <w:r>
              <w:rPr>
                <w:rFonts w:ascii="Times New Roman" w:hAnsi="Times New Roman"/>
                <w:sz w:val="18"/>
              </w:rPr>
              <w:t xml:space="preserve">Kandidat</w:t>
            </w:r>
          </w:p>
        </w:tc>
      </w:tr>
      <w:tr>
        <w:tc>
          <w:tcPr>
            <w:tcW w:type="dxa" w:w="1712"/>
          </w:tcPr>
          <w:p>
            <w:pPr>
              <w:pStyle w:val="Compact"/>
              <w:spacing w:line="240" w:lineRule="auto" w:after="20" w:before="20"/>
              <w:jc w:val="left"/>
            </w:pPr>
            <w:r>
              <w:rPr>
                <w:rFonts w:ascii="Times New Roman" w:hAnsi="Times New Roman"/>
                <w:sz w:val="18"/>
              </w:rPr>
              <w:t xml:space="preserve">Non-diskriminasi</w:t>
            </w:r>
          </w:p>
        </w:tc>
        <w:tc>
          <w:tcPr>
            <w:tcW w:type="dxa" w:w="1454"/>
          </w:tcPr>
          <w:p>
            <w:pPr>
              <w:pStyle w:val="Compact"/>
              <w:spacing w:line="240" w:lineRule="auto" w:after="20" w:before="20"/>
              <w:jc w:val="left"/>
            </w:pPr>
            <w:r>
              <w:rPr>
                <w:rFonts w:ascii="Times New Roman" w:hAnsi="Times New Roman"/>
                <w:sz w:val="18"/>
              </w:rPr>
              <w:t xml:space="preserve">UU 17/2023 Ps 174; Permenkes 3/2026 Ps 2 huruf d</w:t>
            </w:r>
          </w:p>
        </w:tc>
        <w:tc>
          <w:tcPr>
            <w:tcW w:type="dxa" w:w="1538"/>
          </w:tcPr>
          <w:p>
            <w:pPr>
              <w:pStyle w:val="Compact"/>
              <w:spacing w:line="240" w:lineRule="auto" w:after="20" w:before="20"/>
              <w:jc w:val="left"/>
            </w:pPr>
            <w:r>
              <w:rPr>
                <w:rFonts w:ascii="Times New Roman" w:hAnsi="Times New Roman"/>
                <w:sz w:val="18"/>
              </w:rPr>
              <w:t xml:space="preserve">Pemulangan berbasis status dan asal</w:t>
            </w:r>
          </w:p>
        </w:tc>
        <w:tc>
          <w:tcPr>
            <w:tcW w:type="dxa" w:w="1576"/>
          </w:tcPr>
          <w:p>
            <w:pPr>
              <w:pStyle w:val="Compact"/>
              <w:spacing w:line="240" w:lineRule="auto" w:after="20" w:before="20"/>
              <w:jc w:val="left"/>
            </w:pPr>
            <w:r>
              <w:rPr>
                <w:rFonts w:ascii="Times New Roman" w:hAnsi="Times New Roman"/>
                <w:sz w:val="18"/>
              </w:rPr>
              <w:t xml:space="preserve">Kesetaraan (Ps 6), tetapi larangan mempekerjakan (Ps 7 ayat (3) huruf c)</w:t>
            </w:r>
          </w:p>
        </w:tc>
        <w:tc>
          <w:tcPr>
            <w:tcW w:type="dxa" w:w="1315"/>
          </w:tcPr>
          <w:p>
            <w:pPr>
              <w:pStyle w:val="Compact"/>
              <w:spacing w:line="240" w:lineRule="auto" w:after="20" w:before="20"/>
              <w:jc w:val="left"/>
            </w:pPr>
            <w:r>
              <w:rPr>
                <w:rFonts w:ascii="Times New Roman" w:hAnsi="Times New Roman"/>
                <w:sz w:val="18"/>
              </w:rPr>
              <w:t xml:space="preserve">Prov: bertentangan. Kota: dipertahankan dengan pengecualian</w:t>
            </w:r>
          </w:p>
        </w:tc>
        <w:tc>
          <w:tcPr>
            <w:tcW w:type="dxa" w:w="1193"/>
          </w:tcPr>
          <w:p>
            <w:pPr>
              <w:pStyle w:val="Compact"/>
              <w:spacing w:line="240" w:lineRule="auto" w:after="20" w:before="20"/>
              <w:jc w:val="left"/>
            </w:pPr>
            <w:r>
              <w:rPr>
                <w:rFonts w:ascii="Times New Roman" w:hAnsi="Times New Roman"/>
                <w:sz w:val="18"/>
              </w:rPr>
              <w:t xml:space="preserve">Kandidat</w:t>
            </w:r>
          </w:p>
        </w:tc>
      </w:tr>
      <w:tr>
        <w:tc>
          <w:tcPr>
            <w:tcW w:type="dxa" w:w="1712"/>
          </w:tcPr>
          <w:p>
            <w:pPr>
              <w:pStyle w:val="Compact"/>
              <w:spacing w:line="240" w:lineRule="auto" w:after="20" w:before="20"/>
              <w:jc w:val="left"/>
            </w:pPr>
            <w:r>
              <w:rPr>
                <w:rFonts w:ascii="Times New Roman" w:hAnsi="Times New Roman"/>
                <w:sz w:val="18"/>
              </w:rPr>
              <w:t xml:space="preserve">Harm reduction</w:t>
            </w:r>
          </w:p>
        </w:tc>
        <w:tc>
          <w:tcPr>
            <w:tcW w:type="dxa" w:w="1454"/>
          </w:tcPr>
          <w:p>
            <w:pPr>
              <w:pStyle w:val="Compact"/>
              <w:spacing w:line="240" w:lineRule="auto" w:after="20" w:before="20"/>
              <w:jc w:val="left"/>
            </w:pPr>
            <w:r>
              <w:rPr>
                <w:rFonts w:ascii="Times New Roman" w:hAnsi="Times New Roman"/>
                <w:sz w:val="18"/>
              </w:rPr>
              <w:t xml:space="preserve">Lampiran Bab V huruf G; PP 28/2024 Ps 158</w:t>
            </w:r>
          </w:p>
        </w:tc>
        <w:tc>
          <w:tcPr>
            <w:tcW w:type="dxa" w:w="1538"/>
          </w:tcPr>
          <w:p>
            <w:pPr>
              <w:pStyle w:val="Compact"/>
              <w:spacing w:line="240" w:lineRule="auto" w:after="20" w:before="20"/>
              <w:jc w:val="left"/>
            </w:pPr>
            <w:r>
              <w:rPr>
                <w:rFonts w:ascii="Times New Roman" w:hAnsi="Times New Roman"/>
                <w:sz w:val="18"/>
              </w:rPr>
              <w:t xml:space="preserve">Individu "meminta" alat suntik, bersanksi; Perda NAPZA hanya rehabilitasi</w:t>
            </w:r>
          </w:p>
        </w:tc>
        <w:tc>
          <w:tcPr>
            <w:tcW w:type="dxa" w:w="1576"/>
          </w:tcPr>
          <w:p>
            <w:pPr>
              <w:pStyle w:val="Compact"/>
              <w:spacing w:line="240" w:lineRule="auto" w:after="20" w:before="20"/>
              <w:jc w:val="left"/>
            </w:pPr>
            <w:r>
              <w:rPr>
                <w:rFonts w:ascii="Times New Roman" w:hAnsi="Times New Roman"/>
                <w:sz w:val="18"/>
              </w:rPr>
              <w:t xml:space="preserve">Hanya kondom/pelicin; alat steril 2006 hilang</w:t>
            </w:r>
          </w:p>
        </w:tc>
        <w:tc>
          <w:tcPr>
            <w:tcW w:type="dxa" w:w="1315"/>
          </w:tcPr>
          <w:p>
            <w:pPr>
              <w:pStyle w:val="Compact"/>
              <w:spacing w:line="240" w:lineRule="auto" w:after="20" w:before="20"/>
              <w:jc w:val="left"/>
            </w:pPr>
            <w:r>
              <w:rPr>
                <w:rFonts w:ascii="Times New Roman" w:hAnsi="Times New Roman"/>
                <w:sz w:val="18"/>
              </w:rPr>
              <w:t xml:space="preserve">Prov: menyempit. Kota: hilang (kandidat)</w:t>
            </w:r>
          </w:p>
        </w:tc>
        <w:tc>
          <w:tcPr>
            <w:tcW w:type="dxa" w:w="1193"/>
          </w:tcPr>
          <w:p>
            <w:pPr>
              <w:pStyle w:val="Compact"/>
              <w:spacing w:line="240" w:lineRule="auto" w:after="20" w:before="20"/>
              <w:jc w:val="left"/>
            </w:pPr>
            <w:r>
              <w:rPr>
                <w:rFonts w:ascii="Times New Roman" w:hAnsi="Times New Roman"/>
                <w:sz w:val="18"/>
              </w:rPr>
              <w:t xml:space="preserve">Temuan normatif; kandidat ketegangan</w:t>
            </w:r>
          </w:p>
        </w:tc>
      </w:tr>
      <w:tr>
        <w:tc>
          <w:tcPr>
            <w:tcW w:type="dxa" w:w="1712"/>
          </w:tcPr>
          <w:p>
            <w:pPr>
              <w:pStyle w:val="Compact"/>
              <w:spacing w:line="240" w:lineRule="auto" w:after="20" w:before="20"/>
              <w:jc w:val="left"/>
            </w:pPr>
            <w:r>
              <w:rPr>
                <w:rFonts w:ascii="Times New Roman" w:hAnsi="Times New Roman"/>
                <w:sz w:val="18"/>
              </w:rPr>
              <w:t xml:space="preserve">Pengakuan TG</w:t>
            </w:r>
          </w:p>
        </w:tc>
        <w:tc>
          <w:tcPr>
            <w:tcW w:type="dxa" w:w="1454"/>
          </w:tcPr>
          <w:p>
            <w:pPr>
              <w:pStyle w:val="Compact"/>
              <w:spacing w:line="240" w:lineRule="auto" w:after="20" w:before="20"/>
              <w:jc w:val="left"/>
            </w:pPr>
            <w:r>
              <w:rPr>
                <w:rFonts w:ascii="Times New Roman" w:hAnsi="Times New Roman"/>
                <w:sz w:val="18"/>
              </w:rPr>
              <w:t xml:space="preserve">Lampiran 23/2022: waria = transgender, transpuan</w:t>
            </w:r>
          </w:p>
        </w:tc>
        <w:tc>
          <w:tcPr>
            <w:tcW w:type="dxa" w:w="1538"/>
          </w:tcPr>
          <w:p>
            <w:pPr>
              <w:pStyle w:val="Compact"/>
              <w:spacing w:line="240" w:lineRule="auto" w:after="20" w:before="20"/>
              <w:jc w:val="left"/>
            </w:pPr>
            <w:r>
              <w:rPr>
                <w:rFonts w:ascii="Times New Roman" w:hAnsi="Times New Roman"/>
                <w:sz w:val="18"/>
              </w:rPr>
              <w:t xml:space="preserve">"Orang berisiko tinggi" (Ps 4)</w:t>
            </w:r>
          </w:p>
        </w:tc>
        <w:tc>
          <w:tcPr>
            <w:tcW w:type="dxa" w:w="1576"/>
          </w:tcPr>
          <w:p>
            <w:pPr>
              <w:pStyle w:val="Compact"/>
              <w:spacing w:line="240" w:lineRule="auto" w:after="20" w:before="20"/>
              <w:jc w:val="left"/>
            </w:pPr>
            <w:r>
              <w:rPr>
                <w:rFonts w:ascii="Times New Roman" w:hAnsi="Times New Roman"/>
                <w:sz w:val="18"/>
              </w:rPr>
              <w:t xml:space="preserve">Daftar kelompok tanpa TG (Ps 1 angka 13–14)</w:t>
            </w:r>
          </w:p>
        </w:tc>
        <w:tc>
          <w:tcPr>
            <w:tcW w:type="dxa" w:w="1315"/>
          </w:tcPr>
          <w:p>
            <w:pPr>
              <w:pStyle w:val="Compact"/>
              <w:spacing w:line="240" w:lineRule="auto" w:after="20" w:before="20"/>
              <w:jc w:val="left"/>
            </w:pPr>
            <w:r>
              <w:rPr>
                <w:rFonts w:ascii="Times New Roman" w:hAnsi="Times New Roman"/>
                <w:sz w:val="18"/>
              </w:rPr>
              <w:t xml:space="preserve">Hilang (kedua tingkat)</w:t>
            </w:r>
          </w:p>
        </w:tc>
        <w:tc>
          <w:tcPr>
            <w:tcW w:type="dxa" w:w="1193"/>
          </w:tcPr>
          <w:p>
            <w:pPr>
              <w:pStyle w:val="Compact"/>
              <w:spacing w:line="240" w:lineRule="auto" w:after="20" w:before="20"/>
              <w:jc w:val="left"/>
            </w:pPr>
            <w:r>
              <w:rPr>
                <w:rFonts w:ascii="Times New Roman" w:hAnsi="Times New Roman"/>
                <w:sz w:val="18"/>
              </w:rPr>
              <w:t xml:space="preserve">Temuan normatif</w:t>
            </w:r>
          </w:p>
        </w:tc>
      </w:tr>
      <w:tr>
        <w:tc>
          <w:tcPr>
            <w:tcW w:type="dxa" w:w="1712"/>
          </w:tcPr>
          <w:p>
            <w:pPr>
              <w:pStyle w:val="Compact"/>
              <w:spacing w:line="240" w:lineRule="auto" w:after="20" w:before="20"/>
              <w:jc w:val="left"/>
            </w:pPr>
            <w:r>
              <w:rPr>
                <w:rFonts w:ascii="Times New Roman" w:hAnsi="Times New Roman"/>
                <w:sz w:val="18"/>
              </w:rPr>
              <w:t xml:space="preserve">Forum koordinasi</w:t>
            </w:r>
          </w:p>
        </w:tc>
        <w:tc>
          <w:tcPr>
            <w:tcW w:type="dxa" w:w="1454"/>
          </w:tcPr>
          <w:p>
            <w:pPr>
              <w:pStyle w:val="Compact"/>
              <w:spacing w:line="240" w:lineRule="auto" w:after="20" w:before="20"/>
              <w:jc w:val="left"/>
            </w:pPr>
            <w:r>
              <w:rPr>
                <w:rFonts w:ascii="Times New Roman" w:hAnsi="Times New Roman"/>
                <w:sz w:val="18"/>
              </w:rPr>
              <w:t xml:space="preserve">Lampiran C037–C038; Permenkes 3/2026 Ps 83, 86</w:t>
            </w:r>
          </w:p>
        </w:tc>
        <w:tc>
          <w:tcPr>
            <w:tcW w:type="dxa" w:w="1538"/>
          </w:tcPr>
          <w:p>
            <w:pPr>
              <w:pStyle w:val="Compact"/>
              <w:spacing w:line="240" w:lineRule="auto" w:after="20" w:before="20"/>
              <w:jc w:val="left"/>
            </w:pPr>
            <w:r>
              <w:rPr>
                <w:rFonts w:ascii="Times New Roman" w:hAnsi="Times New Roman"/>
                <w:sz w:val="18"/>
              </w:rPr>
              <w:t xml:space="preserve">KPA dengan Divisi Kerohanian, tanpa komunitas (Ps 26)</w:t>
            </w:r>
          </w:p>
        </w:tc>
        <w:tc>
          <w:tcPr>
            <w:tcW w:type="dxa" w:w="1576"/>
          </w:tcPr>
          <w:p>
            <w:pPr>
              <w:pStyle w:val="Compact"/>
              <w:spacing w:line="240" w:lineRule="auto" w:after="20" w:before="20"/>
              <w:jc w:val="left"/>
            </w:pPr>
            <w:r>
              <w:rPr>
                <w:rFonts w:ascii="Times New Roman" w:hAnsi="Times New Roman"/>
                <w:sz w:val="18"/>
              </w:rPr>
              <w:t xml:space="preserve">KPA via Kepwali (belum ditemukan); adat, agama (Ps 3)</w:t>
            </w:r>
          </w:p>
        </w:tc>
        <w:tc>
          <w:tcPr>
            <w:tcW w:type="dxa" w:w="1315"/>
          </w:tcPr>
          <w:p>
            <w:pPr>
              <w:pStyle w:val="Compact"/>
              <w:spacing w:line="240" w:lineRule="auto" w:after="20" w:before="20"/>
              <w:jc w:val="left"/>
            </w:pPr>
            <w:r>
              <w:rPr>
                <w:rFonts w:ascii="Times New Roman" w:hAnsi="Times New Roman"/>
                <w:sz w:val="18"/>
              </w:rPr>
              <w:t xml:space="preserve">Komunitas: hilang. Adat: ditambah</w:t>
            </w:r>
          </w:p>
        </w:tc>
        <w:tc>
          <w:tcPr>
            <w:tcW w:type="dxa" w:w="1193"/>
          </w:tcPr>
          <w:p>
            <w:pPr>
              <w:pStyle w:val="Compact"/>
              <w:spacing w:line="240" w:lineRule="auto" w:after="20" w:before="20"/>
              <w:jc w:val="left"/>
            </w:pPr>
            <w:r>
              <w:rPr>
                <w:rFonts w:ascii="Times New Roman" w:hAnsi="Times New Roman"/>
                <w:sz w:val="18"/>
              </w:rPr>
              <w:t xml:space="preserve">Temuan normatif; Kepwali belum dinilai</w:t>
            </w:r>
          </w:p>
        </w:tc>
      </w:tr>
      <w:tr>
        <w:tc>
          <w:tcPr>
            <w:tcW w:type="dxa" w:w="1712"/>
          </w:tcPr>
          <w:p>
            <w:pPr>
              <w:pStyle w:val="Compact"/>
              <w:spacing w:line="240" w:lineRule="auto" w:after="20" w:before="20"/>
              <w:jc w:val="left"/>
            </w:pPr>
            <w:r>
              <w:rPr>
                <w:rFonts w:ascii="Times New Roman" w:hAnsi="Times New Roman"/>
                <w:sz w:val="18"/>
              </w:rPr>
              <w:t xml:space="preserve">Pembiayaan</w:t>
            </w:r>
          </w:p>
        </w:tc>
        <w:tc>
          <w:tcPr>
            <w:tcW w:type="dxa" w:w="1454"/>
          </w:tcPr>
          <w:p>
            <w:pPr>
              <w:pStyle w:val="Compact"/>
              <w:spacing w:line="240" w:lineRule="auto" w:after="20" w:before="20"/>
              <w:jc w:val="left"/>
            </w:pPr>
            <w:r>
              <w:rPr>
                <w:rFonts w:ascii="Times New Roman" w:hAnsi="Times New Roman"/>
                <w:sz w:val="18"/>
              </w:rPr>
              <w:t xml:space="preserve">Permendagri 59/2021 (tidak dirujuk)</w:t>
            </w:r>
          </w:p>
        </w:tc>
        <w:tc>
          <w:tcPr>
            <w:tcW w:type="dxa" w:w="1538"/>
          </w:tcPr>
          <w:p>
            <w:pPr>
              <w:pStyle w:val="Compact"/>
              <w:spacing w:line="240" w:lineRule="auto" w:after="20" w:before="20"/>
              <w:jc w:val="left"/>
            </w:pPr>
            <w:r>
              <w:rPr>
                <w:rFonts w:ascii="Times New Roman" w:hAnsi="Times New Roman"/>
                <w:sz w:val="18"/>
              </w:rPr>
              <w:t xml:space="preserve">Biaya pemulangan pada pengelola</w:t>
            </w:r>
          </w:p>
        </w:tc>
        <w:tc>
          <w:tcPr>
            <w:tcW w:type="dxa" w:w="1576"/>
          </w:tcPr>
          <w:p>
            <w:pPr>
              <w:pStyle w:val="Compact"/>
              <w:spacing w:line="240" w:lineRule="auto" w:after="20" w:before="20"/>
              <w:jc w:val="left"/>
            </w:pPr>
            <w:r>
              <w:rPr>
                <w:rFonts w:ascii="Times New Roman" w:hAnsi="Times New Roman"/>
                <w:sz w:val="18"/>
              </w:rPr>
              <w:t xml:space="preserve">ADKK (Ps 7 ayat (7)); pemberi kerja membiayai pengobatan</w:t>
            </w:r>
          </w:p>
        </w:tc>
        <w:tc>
          <w:tcPr>
            <w:tcW w:type="dxa" w:w="1315"/>
          </w:tcPr>
          <w:p>
            <w:pPr>
              <w:pStyle w:val="Compact"/>
              <w:spacing w:line="240" w:lineRule="auto" w:after="20" w:before="20"/>
              <w:jc w:val="left"/>
            </w:pPr>
            <w:r>
              <w:rPr>
                <w:rFonts w:ascii="Times New Roman" w:hAnsi="Times New Roman"/>
                <w:sz w:val="18"/>
              </w:rPr>
              <w:t xml:space="preserve">Tarif: belum ditemukan. ADKK: ditambah</w:t>
            </w:r>
          </w:p>
        </w:tc>
        <w:tc>
          <w:tcPr>
            <w:tcW w:type="dxa" w:w="1193"/>
          </w:tcPr>
          <w:p>
            <w:pPr>
              <w:pStyle w:val="Compact"/>
              <w:spacing w:line="240" w:lineRule="auto" w:after="20" w:before="20"/>
              <w:jc w:val="left"/>
            </w:pPr>
            <w:r>
              <w:rPr>
                <w:rFonts w:ascii="Times New Roman" w:hAnsi="Times New Roman"/>
                <w:sz w:val="18"/>
              </w:rPr>
              <w:t xml:space="preserve">Belum dapat dinilai (tarif)</w:t>
            </w:r>
          </w:p>
        </w:tc>
      </w:tr>
      <w:tr>
        <w:tc>
          <w:tcPr>
            <w:tcW w:type="dxa" w:w="1712"/>
          </w:tcPr>
          <w:p>
            <w:pPr>
              <w:pStyle w:val="Compact"/>
              <w:spacing w:line="240" w:lineRule="auto" w:after="20" w:before="20"/>
              <w:jc w:val="left"/>
            </w:pPr>
            <w:r>
              <w:rPr>
                <w:rFonts w:ascii="Times New Roman" w:hAnsi="Times New Roman"/>
                <w:sz w:val="18"/>
              </w:rPr>
              <w:t xml:space="preserve">Pengaduan</w:t>
            </w:r>
          </w:p>
        </w:tc>
        <w:tc>
          <w:tcPr>
            <w:tcW w:type="dxa" w:w="1454"/>
          </w:tcPr>
          <w:p>
            <w:pPr>
              <w:pStyle w:val="Compact"/>
              <w:spacing w:line="240" w:lineRule="auto" w:after="20" w:before="20"/>
              <w:jc w:val="left"/>
            </w:pPr>
            <w:r>
              <w:rPr>
                <w:rFonts w:ascii="Times New Roman" w:hAnsi="Times New Roman"/>
                <w:sz w:val="18"/>
              </w:rPr>
              <w:t xml:space="preserve">Permenkes 3/2026 Ps 86; UU 17/2023 Ps 4</w:t>
            </w:r>
          </w:p>
        </w:tc>
        <w:tc>
          <w:tcPr>
            <w:tcW w:type="dxa" w:w="1538"/>
          </w:tcPr>
          <w:p>
            <w:pPr>
              <w:pStyle w:val="Compact"/>
              <w:spacing w:line="240" w:lineRule="auto" w:after="20" w:before="20"/>
              <w:jc w:val="left"/>
            </w:pPr>
            <w:r>
              <w:rPr>
                <w:rFonts w:ascii="Times New Roman" w:hAnsi="Times New Roman"/>
                <w:sz w:val="18"/>
              </w:rPr>
              <w:t xml:space="preserve">Belum ditemukan</w:t>
            </w:r>
          </w:p>
        </w:tc>
        <w:tc>
          <w:tcPr>
            <w:tcW w:type="dxa" w:w="1576"/>
          </w:tcPr>
          <w:p>
            <w:pPr>
              <w:pStyle w:val="Compact"/>
              <w:spacing w:line="240" w:lineRule="auto" w:after="20" w:before="20"/>
              <w:jc w:val="left"/>
            </w:pPr>
            <w:r>
              <w:rPr>
                <w:rFonts w:ascii="Times New Roman" w:hAnsi="Times New Roman"/>
                <w:sz w:val="18"/>
              </w:rPr>
              <w:t xml:space="preserve">Belum ditemukan</w:t>
            </w:r>
          </w:p>
        </w:tc>
        <w:tc>
          <w:tcPr>
            <w:tcW w:type="dxa" w:w="1315"/>
          </w:tcPr>
          <w:p>
            <w:pPr>
              <w:pStyle w:val="Compact"/>
              <w:spacing w:line="240" w:lineRule="auto" w:after="20" w:before="20"/>
              <w:jc w:val="left"/>
            </w:pPr>
            <w:r>
              <w:rPr>
                <w:rFonts w:ascii="Times New Roman" w:hAnsi="Times New Roman"/>
                <w:sz w:val="18"/>
              </w:rPr>
              <w:t xml:space="preserve">Belum ditemukan</w:t>
            </w:r>
          </w:p>
        </w:tc>
        <w:tc>
          <w:tcPr>
            <w:tcW w:type="dxa" w:w="1193"/>
          </w:tcPr>
          <w:p>
            <w:pPr>
              <w:pStyle w:val="Compact"/>
              <w:spacing w:line="240" w:lineRule="auto" w:after="20" w:before="20"/>
              <w:jc w:val="left"/>
            </w:pPr>
            <w:r>
              <w:rPr>
                <w:rFonts w:ascii="Times New Roman" w:hAnsi="Times New Roman"/>
                <w:sz w:val="18"/>
              </w:rPr>
              <w:t xml:space="preserve">Belum dapat dinilai</w:t>
            </w:r>
          </w:p>
        </w:tc>
      </w:tr>
      <w:tr>
        <w:tc>
          <w:tcPr>
            <w:tcW w:type="dxa" w:w="1712"/>
          </w:tcPr>
          <w:p>
            <w:pPr>
              <w:pStyle w:val="Compact"/>
              <w:spacing w:line="240" w:lineRule="auto" w:after="20" w:before="20"/>
              <w:jc w:val="left"/>
            </w:pPr>
            <w:r>
              <w:rPr>
                <w:rFonts w:ascii="Times New Roman" w:hAnsi="Times New Roman"/>
                <w:sz w:val="18"/>
              </w:rPr>
              <w:t xml:space="preserve">Pidana/sanksi</w:t>
            </w:r>
          </w:p>
        </w:tc>
        <w:tc>
          <w:tcPr>
            <w:tcW w:type="dxa" w:w="1454"/>
          </w:tcPr>
          <w:p>
            <w:pPr>
              <w:pStyle w:val="Compact"/>
              <w:spacing w:line="240" w:lineRule="auto" w:after="20" w:before="20"/>
              <w:jc w:val="left"/>
            </w:pPr>
            <w:r>
              <w:rPr>
                <w:rFonts w:ascii="Times New Roman" w:hAnsi="Times New Roman"/>
                <w:sz w:val="18"/>
              </w:rPr>
              <w:t xml:space="preserve">UU 23/2014 Ps 238 (batas pidana Perda)</w:t>
            </w:r>
          </w:p>
        </w:tc>
        <w:tc>
          <w:tcPr>
            <w:tcW w:type="dxa" w:w="1538"/>
          </w:tcPr>
          <w:p>
            <w:pPr>
              <w:pStyle w:val="Compact"/>
              <w:spacing w:line="240" w:lineRule="auto" w:after="20" w:before="20"/>
              <w:jc w:val="left"/>
            </w:pPr>
            <w:r>
              <w:rPr>
                <w:rFonts w:ascii="Times New Roman" w:hAnsi="Times New Roman"/>
                <w:sz w:val="18"/>
              </w:rPr>
              <w:t xml:space="preserve">Pidana kondom, donor, alat suntik, ARV (Ps 4, 15 jo. 40)</w:t>
            </w:r>
          </w:p>
        </w:tc>
        <w:tc>
          <w:tcPr>
            <w:tcW w:type="dxa" w:w="1576"/>
          </w:tcPr>
          <w:p>
            <w:pPr>
              <w:pStyle w:val="Compact"/>
              <w:spacing w:line="240" w:lineRule="auto" w:after="20" w:before="20"/>
              <w:jc w:val="left"/>
            </w:pPr>
            <w:r>
              <w:rPr>
                <w:rFonts w:ascii="Times New Roman" w:hAnsi="Times New Roman"/>
                <w:sz w:val="18"/>
              </w:rPr>
              <w:t xml:space="preserve">Pidana atas kewajiban Ps 7 (Ps 9)</w:t>
            </w:r>
          </w:p>
        </w:tc>
        <w:tc>
          <w:tcPr>
            <w:tcW w:type="dxa" w:w="1315"/>
          </w:tcPr>
          <w:p>
            <w:pPr>
              <w:pStyle w:val="Compact"/>
              <w:spacing w:line="240" w:lineRule="auto" w:after="20" w:before="20"/>
              <w:jc w:val="left"/>
            </w:pPr>
            <w:r>
              <w:rPr>
                <w:rFonts w:ascii="Times New Roman" w:hAnsi="Times New Roman"/>
                <w:sz w:val="18"/>
              </w:rPr>
              <w:t xml:space="preserve">Ditambah (kedua tingkat)</w:t>
            </w:r>
          </w:p>
        </w:tc>
        <w:tc>
          <w:tcPr>
            <w:tcW w:type="dxa" w:w="1193"/>
          </w:tcPr>
          <w:p>
            <w:pPr>
              <w:pStyle w:val="Compact"/>
              <w:spacing w:line="240" w:lineRule="auto" w:after="20" w:before="20"/>
              <w:jc w:val="left"/>
            </w:pPr>
            <w:r>
              <w:rPr>
                <w:rFonts w:ascii="Times New Roman" w:hAnsi="Times New Roman"/>
                <w:sz w:val="18"/>
              </w:rPr>
              <w:t xml:space="preserve">Temuan normatif (teks); kandidat risiko; penegakan belum diketahui</w:t>
            </w:r>
          </w:p>
        </w:tc>
      </w:tr>
      <w:tr>
        <w:tc>
          <w:tcPr>
            <w:tcW w:type="dxa" w:w="1712"/>
          </w:tcPr>
          <w:p>
            <w:pPr>
              <w:pStyle w:val="Compact"/>
              <w:spacing w:line="240" w:lineRule="auto" w:after="20" w:before="20"/>
              <w:jc w:val="left"/>
            </w:pPr>
            <w:r>
              <w:rPr>
                <w:rFonts w:ascii="Times New Roman" w:hAnsi="Times New Roman"/>
                <w:sz w:val="18"/>
              </w:rPr>
              <w:t xml:space="preserve">Pemeriksaan pekerja</w:t>
            </w:r>
          </w:p>
        </w:tc>
        <w:tc>
          <w:tcPr>
            <w:tcW w:type="dxa" w:w="1454"/>
          </w:tcPr>
          <w:p>
            <w:pPr>
              <w:pStyle w:val="Compact"/>
              <w:spacing w:line="240" w:lineRule="auto" w:after="20" w:before="20"/>
              <w:jc w:val="left"/>
            </w:pPr>
            <w:r>
              <w:rPr>
                <w:rFonts w:ascii="Times New Roman" w:hAnsi="Times New Roman"/>
                <w:sz w:val="18"/>
              </w:rPr>
              <w:t xml:space="preserve">Kepmenakertrans 68/2004 Ps 5</w:t>
            </w:r>
          </w:p>
        </w:tc>
        <w:tc>
          <w:tcPr>
            <w:tcW w:type="dxa" w:w="1538"/>
          </w:tcPr>
          <w:p>
            <w:pPr>
              <w:pStyle w:val="Compact"/>
              <w:spacing w:line="240" w:lineRule="auto" w:after="20" w:before="20"/>
              <w:jc w:val="left"/>
            </w:pPr>
            <w:r>
              <w:rPr>
                <w:rFonts w:ascii="Times New Roman" w:hAnsi="Times New Roman"/>
                <w:sz w:val="18"/>
              </w:rPr>
              <w:t xml:space="preserve">Pemeriksaan PSK dan pekerja hiburan (Ps 6, 7A)</w:t>
            </w:r>
          </w:p>
        </w:tc>
        <w:tc>
          <w:tcPr>
            <w:tcW w:type="dxa" w:w="1576"/>
          </w:tcPr>
          <w:p>
            <w:pPr>
              <w:pStyle w:val="Compact"/>
              <w:spacing w:line="240" w:lineRule="auto" w:after="20" w:before="20"/>
              <w:jc w:val="left"/>
            </w:pPr>
            <w:r>
              <w:rPr>
                <w:rFonts w:ascii="Times New Roman" w:hAnsi="Times New Roman"/>
                <w:sz w:val="18"/>
              </w:rPr>
              <w:t xml:space="preserve">Pemeriksaan berkala karyawan (Ps 7 ayat (3) huruf a)</w:t>
            </w:r>
          </w:p>
        </w:tc>
        <w:tc>
          <w:tcPr>
            <w:tcW w:type="dxa" w:w="1315"/>
          </w:tcPr>
          <w:p>
            <w:pPr>
              <w:pStyle w:val="Compact"/>
              <w:spacing w:line="240" w:lineRule="auto" w:after="20" w:before="20"/>
              <w:jc w:val="left"/>
            </w:pPr>
            <w:r>
              <w:rPr>
                <w:rFonts w:ascii="Times New Roman" w:hAnsi="Times New Roman"/>
                <w:sz w:val="18"/>
              </w:rPr>
              <w:t xml:space="preserve">Bertentangan (kedua tingkat)</w:t>
            </w:r>
          </w:p>
        </w:tc>
        <w:tc>
          <w:tcPr>
            <w:tcW w:type="dxa" w:w="1193"/>
          </w:tcPr>
          <w:p>
            <w:pPr>
              <w:pStyle w:val="Compact"/>
              <w:spacing w:line="240" w:lineRule="auto" w:after="20" w:before="20"/>
              <w:jc w:val="left"/>
            </w:pPr>
            <w:r>
              <w:rPr>
                <w:rFonts w:ascii="Times New Roman" w:hAnsi="Times New Roman"/>
                <w:sz w:val="18"/>
              </w:rPr>
              <w:t xml:space="preserve">Kandidat</w:t>
            </w:r>
          </w:p>
        </w:tc>
      </w:tr>
      <w:tr>
        <w:tc>
          <w:tcPr>
            <w:tcW w:type="dxa" w:w="1712"/>
          </w:tcPr>
          <w:p>
            <w:pPr>
              <w:pStyle w:val="Compact"/>
              <w:spacing w:line="240" w:lineRule="auto" w:after="20" w:before="20"/>
              <w:jc w:val="left"/>
            </w:pPr>
            <w:r>
              <w:rPr>
                <w:rFonts w:ascii="Times New Roman" w:hAnsi="Times New Roman"/>
                <w:sz w:val="18"/>
              </w:rPr>
              <w:t xml:space="preserve">Penertiban</w:t>
            </w:r>
          </w:p>
        </w:tc>
        <w:tc>
          <w:tcPr>
            <w:tcW w:type="dxa" w:w="1454"/>
          </w:tcPr>
          <w:p>
            <w:pPr>
              <w:pStyle w:val="Compact"/>
              <w:spacing w:line="240" w:lineRule="auto" w:after="20" w:before="20"/>
              <w:jc w:val="left"/>
            </w:pPr>
            <w:r>
              <w:rPr>
                <w:rFonts w:ascii="Times New Roman" w:hAnsi="Times New Roman"/>
                <w:sz w:val="18"/>
              </w:rPr>
              <w:t xml:space="preserve">UU 23/2014 Ps 255; Permenkes 3/2026 Ps 6, 25, 84</w:t>
            </w:r>
          </w:p>
        </w:tc>
        <w:tc>
          <w:tcPr>
            <w:tcW w:type="dxa" w:w="1538"/>
          </w:tcPr>
          <w:p>
            <w:pPr>
              <w:pStyle w:val="Compact"/>
              <w:spacing w:line="240" w:lineRule="auto" w:after="20" w:before="20"/>
              <w:jc w:val="left"/>
            </w:pPr>
            <w:r>
              <w:rPr>
                <w:rFonts w:ascii="Times New Roman" w:hAnsi="Times New Roman"/>
                <w:sz w:val="18"/>
              </w:rPr>
              <w:t xml:space="preserve">Satpol PP saat pemeriksaan; "patut diduga" (Perda 8/2016 Ps 45)</w:t>
            </w:r>
          </w:p>
        </w:tc>
        <w:tc>
          <w:tcPr>
            <w:tcW w:type="dxa" w:w="1576"/>
          </w:tcPr>
          <w:p>
            <w:pPr>
              <w:pStyle w:val="Compact"/>
              <w:spacing w:line="240" w:lineRule="auto" w:after="20" w:before="20"/>
              <w:jc w:val="left"/>
            </w:pPr>
            <w:r>
              <w:rPr>
                <w:rFonts w:ascii="Times New Roman" w:hAnsi="Times New Roman"/>
                <w:sz w:val="18"/>
              </w:rPr>
              <w:t xml:space="preserve">Instrumen ketertiban kota belum ditemukan</w:t>
            </w:r>
          </w:p>
        </w:tc>
        <w:tc>
          <w:tcPr>
            <w:tcW w:type="dxa" w:w="1315"/>
          </w:tcPr>
          <w:p>
            <w:pPr>
              <w:pStyle w:val="Compact"/>
              <w:spacing w:line="240" w:lineRule="auto" w:after="20" w:before="20"/>
              <w:jc w:val="left"/>
            </w:pPr>
            <w:r>
              <w:rPr>
                <w:rFonts w:ascii="Times New Roman" w:hAnsi="Times New Roman"/>
                <w:sz w:val="18"/>
              </w:rPr>
              <w:t xml:space="preserve">Prov: ditambah. Kota: belum ditemukan</w:t>
            </w:r>
          </w:p>
        </w:tc>
        <w:tc>
          <w:tcPr>
            <w:tcW w:type="dxa" w:w="1193"/>
          </w:tcPr>
          <w:p>
            <w:pPr>
              <w:pStyle w:val="Compact"/>
              <w:spacing w:line="240" w:lineRule="auto" w:after="20" w:before="20"/>
              <w:jc w:val="left"/>
            </w:pPr>
            <w:r>
              <w:rPr>
                <w:rFonts w:ascii="Times New Roman" w:hAnsi="Times New Roman"/>
                <w:sz w:val="18"/>
              </w:rPr>
              <w:t xml:space="preserve">Kandidat ketegangan</w:t>
            </w:r>
          </w:p>
        </w:tc>
      </w:tr>
    </w:tbl>
    <w:p>
      <w:pPr>
        <w:pStyle w:val="BodyText"/>
      </w:pPr>
      <w:r>
        <w:rPr>
          <w:iCs/>
          <w:i/>
        </w:rPr>
        <w:t xml:space="preserve">Sumber: diolah dari laporan sumber Kota Jayapura, bagian 3.2–3.3. Notifikasi pasangan "belum ditemukan" di provinsi dan kota.</w:t>
      </w:r>
    </w:p>
    <w:p>
      <w:pPr>
        <w:pStyle w:val="BodyText"/>
      </w:pPr>
      <w:r>
        <w:rPr>
          <w:bCs/>
          <w:b/>
        </w:rPr>
        <w:t xml:space="preserve">Apa yang berubah sepanjang cascade?</w:t>
      </w:r>
      <w:r>
        <w:t xml:space="preserve"> </w:t>
      </w:r>
      <w:r>
        <w:t xml:space="preserve">Tiga perubahan paling jelas.</w:t>
      </w:r>
      <w:r>
        <w:t xml:space="preserve"> </w:t>
      </w:r>
      <w:r>
        <w:rPr>
          <w:iCs/>
          <w:i/>
        </w:rPr>
        <w:t xml:space="preserve">Pengaman tes</w:t>
      </w:r>
      <w:r>
        <w:t xml:space="preserve">: lantai nasional mensyaratkan persetujuan, tetapi norma kota kehilangan syarat itu pada 2011 dan norma provinsi menambah pemeriksaan di lokasi tanpa menyebut persetujuan.</w:t>
      </w:r>
      <w:r>
        <w:t xml:space="preserve"> </w:t>
      </w:r>
      <w:r>
        <w:rPr>
          <w:iCs/>
          <w:i/>
        </w:rPr>
        <w:t xml:space="preserve">Pengurangan dampak buruk</w:t>
      </w:r>
      <w:r>
        <w:t xml:space="preserve">: di tingkat nasional ia layanan, di provinsi berubah menjadi kewajiban individu yang bersanksi, dan di kota tidak disebut lagi.</w:t>
      </w:r>
      <w:r>
        <w:t xml:space="preserve"> </w:t>
      </w:r>
      <w:r>
        <w:rPr>
          <w:iCs/>
          <w:i/>
        </w:rPr>
        <w:t xml:space="preserve">Pidana</w:t>
      </w:r>
      <w:r>
        <w:t xml:space="preserve">: kerangka nasional yang dibandingkan hanya memuat batas pidana Perda (UU 23/2014 Pasal 238) tanpa kriteria hak, sedangkan kedua tingkat daerah menambahkan pidana atas kewajiban perilaku dan status.</w:t>
      </w:r>
    </w:p>
    <w:p>
      <w:pPr>
        <w:pStyle w:val="BodyText"/>
      </w:pPr>
      <w:r>
        <w:rPr>
          <w:bCs/>
          <w:b/>
        </w:rPr>
        <w:t xml:space="preserve">Analisis.</w:t>
      </w:r>
      <w:r>
        <w:t xml:space="preserve"> </w:t>
      </w:r>
      <w:r>
        <w:t xml:space="preserve">Yang hilang sepanjang cascade bukan seluruh pengaman, melainkan terutama pengaman yang dekat dengan persetujuan dan otonomi individu, pengakuan transgender, dan suara komunitas; yang ditambahkan adalah kewajiban, pemeriksaan, dan sanksi. Penjelasan alternatif yang dicatat di subbab 4.1.6 tetap berlaku dan harus diuji dengan formulir dan praktik.</w:t>
      </w:r>
    </w:p>
    <w:bookmarkEnd w:id="30"/>
    <w:bookmarkStart w:id="31" w:name="X38899b1c38dbeab0da0f14a93e7c6555c3c9dae"/>
    <w:p>
      <w:pPr>
        <w:pStyle w:val="Heading3"/>
      </w:pPr>
      <w:r>
        <w:t xml:space="preserve">4.2.3 Titik Perubahan Pengaman</w:t>
      </w:r>
    </w:p>
    <w:p>
      <w:pPr>
        <w:pStyle w:val="FirstParagraph"/>
      </w:pPr>
      <w:r>
        <w:rPr>
          <w:bCs/>
          <w:b/>
        </w:rPr>
        <w:t xml:space="preserve">Temuan utama.</w:t>
      </w:r>
      <w:r>
        <w:t xml:space="preserve"> </w:t>
      </w:r>
      <w:r>
        <w:t xml:space="preserve">Laporan sumber mengidentifikasi empat titik tempat pengaman berubah; dua di tingkat provinsi tetapi berlaku di kota. Polanya sejalan dengan tiga pola Laporan Nasional: persetujuan dan konseling hilang di aturan yang lebih baru, pengurangan dampak buruk tidak masuk aturan NAPZA, dan transgender hilang dari definisi.</w:t>
      </w:r>
    </w:p>
    <w:p>
      <w:pPr>
        <w:pStyle w:val="BodyText"/>
      </w:pPr>
      <w:r>
        <w:rPr>
          <w:bCs/>
          <w:b/>
        </w:rPr>
        <w:t xml:space="preserve">Titik A: kerangka HIV provinsi dan penambahan pembebanan (Perda Provinsi 10/2021).</w:t>
      </w:r>
      <w:r>
        <w:t xml:space="preserve"> </w:t>
      </w:r>
      <w:r>
        <w:t xml:space="preserve">Perubahan 2021 merujuk kerangka nasional lama (Permenkes 21/2013, yang memuat persetujuan, kerahasiaan, dan pelibatan populasi kunci) dan tidak merujuk kerangka 2022–2026 (Lampiran Permenkes 23/2022; UU 17/2023 Pasal 293). Hasilnya empat perubahan: pemeriksaan, pelaporan, dan penyerahan PSK ke KPA (persetujuan dan kerahasiaan menjadi kandidat pertentangan); pemulangan PSK dari luar Papua yang terinfeksi HIV (status menjadi dasar pemindahan); kewajiban individu meminta alat suntik sekali pakai yang bersanksi (layanan menjadi kewajiban individu); dan KPA dengan Divisi Kerohanian (kursi komunitas hilang).</w:t>
      </w:r>
      <w:r>
        <w:t xml:space="preserve"> </w:t>
      </w:r>
      <w:r>
        <w:rPr>
          <w:iCs/>
          <w:i/>
        </w:rPr>
        <w:t xml:space="preserve">Analisis.</w:t>
      </w:r>
      <w:r>
        <w:t xml:space="preserve"> </w:t>
      </w:r>
      <w:r>
        <w:t xml:space="preserve">Di Jayapura, pembebanan ditambahkan langsung pada Perda HIV provinsi melalui perubahan 2021, bukan melalui aturan pelaksana.</w:t>
      </w:r>
      <w:r>
        <w:t xml:space="preserve"> </w:t>
      </w:r>
      <w:r>
        <w:rPr>
          <w:iCs/>
          <w:i/>
        </w:rPr>
        <w:t xml:space="preserve">Batas klaim.</w:t>
      </w:r>
      <w:r>
        <w:t xml:space="preserve"> </w:t>
      </w:r>
      <w:r>
        <w:t xml:space="preserve">Tanpa naskah Perda 8/2010, penghapusan Pasal 15 huruf e dan Pasal 23 huruf i serta perluasan Pasal 40 ke Pasal 7A belum dapat diuji sebagai kemunduran.</w:t>
      </w:r>
    </w:p>
    <w:p>
      <w:pPr>
        <w:pStyle w:val="BodyText"/>
      </w:pPr>
      <w:r>
        <w:rPr>
          <w:bCs/>
          <w:b/>
        </w:rPr>
        <w:t xml:space="preserve">Titik B: perubahan Perda Kota 2006 → 2011.</w:t>
      </w:r>
      <w:r>
        <w:t xml:space="preserve"> </w:t>
      </w:r>
      <w:r>
        <w:t xml:space="preserve">Norma tes menyempit dari tes sukarela dengan persetujuan dan konseling menjadi PITC wajib sesuai pedoman. Daftar pasal yang dipidana meluas sehingga ODHIV dan orang yang tidak terinfeksi ikut dipidana melalui Pasal 9 (laporan sumber menyebutnya SCOPE-DRIFT). Transgender tetap tidak disebut. Alat steril tidak disebut lagi. Kerahasiaan berubah dari kewajiban "setiap orang" dengan pengecualian tertutup menjadi kewajiban tenaga kesehatan "secara universal".</w:t>
      </w:r>
      <w:r>
        <w:t xml:space="preserve"> </w:t>
      </w:r>
      <w:r>
        <w:rPr>
          <w:iCs/>
          <w:i/>
        </w:rPr>
        <w:t xml:space="preserve">Analisis.</w:t>
      </w:r>
      <w:r>
        <w:t xml:space="preserve"> </w:t>
      </w:r>
      <w:r>
        <w:t xml:space="preserve">Tidak semua perubahan searah: koordinasi, ADKK, dan peran adat justru diperkuat pada 2011.</w:t>
      </w:r>
      <w:r>
        <w:t xml:space="preserve"> </w:t>
      </w:r>
      <w:r>
        <w:rPr>
          <w:iCs/>
          <w:i/>
        </w:rPr>
        <w:t xml:space="preserve">Batas klaim.</w:t>
      </w:r>
      <w:r>
        <w:t xml:space="preserve"> </w:t>
      </w:r>
      <w:r>
        <w:t xml:space="preserve">Apakah hak menolak tes terbawa melalui pedoman PITC belum dapat dinilai.</w:t>
      </w:r>
    </w:p>
    <w:p>
      <w:pPr>
        <w:pStyle w:val="BodyText"/>
      </w:pPr>
      <w:r>
        <w:rPr>
          <w:bCs/>
          <w:b/>
        </w:rPr>
        <w:t xml:space="preserve">Titik C: batas keluarga aturan NAPZA (Perda Provinsi 6/2018).</w:t>
      </w:r>
      <w:r>
        <w:t xml:space="preserve"> </w:t>
      </w:r>
      <w:r>
        <w:t xml:space="preserve">Perda NAPZA hanya mengatur rehabilitasi, tanpa alat suntik steril atau terapi rumatan, dan mengatur laporan identitas pecandu ke BNN/Kapolri. Laporan sumber mengaitkan masalah ini dengan pemidanaan penggunaan zat dalam Perda Ketertiban Provinsi 8/2016 (Pasal 35 jo. Pasal 50).</w:t>
      </w:r>
      <w:r>
        <w:t xml:space="preserve"> </w:t>
      </w:r>
      <w:r>
        <w:rPr>
          <w:iCs/>
          <w:i/>
        </w:rPr>
        <w:t xml:space="preserve">Analisis.</w:t>
      </w:r>
      <w:r>
        <w:t xml:space="preserve"> </w:t>
      </w:r>
      <w:r>
        <w:t xml:space="preserve">Pengurangan dampak buruk tidak masuk aturan NAPZA, dan layanan HIV tidak dihubungkan dengan rehabilitasi; PENASUN menghadapi dua keluarga aturan tanpa jembatan layanan.</w:t>
      </w:r>
      <w:r>
        <w:t xml:space="preserve"> </w:t>
      </w:r>
      <w:r>
        <w:rPr>
          <w:iCs/>
          <w:i/>
        </w:rPr>
        <w:t xml:space="preserve">Batas klaim.</w:t>
      </w:r>
      <w:r>
        <w:t xml:space="preserve"> </w:t>
      </w:r>
      <w:r>
        <w:t xml:space="preserve">Status Perda 8/2016 belum diverifikasi, dan Pergub turunan Perda NAPZA belum ditemukan.</w:t>
      </w:r>
    </w:p>
    <w:p>
      <w:pPr>
        <w:pStyle w:val="BodyText"/>
      </w:pPr>
      <w:r>
        <w:rPr>
          <w:bCs/>
          <w:b/>
        </w:rPr>
        <w:t xml:space="preserve">Titik D: layanan kota (Perwali 7/2024).</w:t>
      </w:r>
      <w:r>
        <w:t xml:space="preserve"> </w:t>
      </w:r>
      <w:r>
        <w:t xml:space="preserve">Perwali menetapkan jam PKR 07.30–14.30 WIT dan memakai nomor WhatsApp PKR yang sama dengan PSC 119 tanpa aturan kerahasiaan; konselor dan pendamping sebaya tidak disebut.</w:t>
      </w:r>
      <w:r>
        <w:t xml:space="preserve"> </w:t>
      </w:r>
      <w:r>
        <w:rPr>
          <w:iCs/>
          <w:i/>
        </w:rPr>
        <w:t xml:space="preserve">Analisis.</w:t>
      </w:r>
      <w:r>
        <w:t xml:space="preserve"> </w:t>
      </w:r>
      <w:r>
        <w:t xml:space="preserve">Instrumen kota terbaru mengatur akses operasional tetapi tidak membawa pengaman kerahasiaan ke tingkat operasional.</w:t>
      </w:r>
      <w:r>
        <w:t xml:space="preserve"> </w:t>
      </w:r>
      <w:r>
        <w:rPr>
          <w:iCs/>
          <w:i/>
        </w:rPr>
        <w:t xml:space="preserve">Batas klaim.</w:t>
      </w:r>
      <w:r>
        <w:t xml:space="preserve"> </w:t>
      </w:r>
      <w:r>
        <w:t xml:space="preserve">Status Perwali belum diverifikasi, dan dampak jam layanan terhadap kunjungan masih risiko yang perlu dibuktikan.</w:t>
      </w:r>
    </w:p>
    <w:p>
      <w:pPr>
        <w:pStyle w:val="BodyText"/>
      </w:pPr>
      <w:r>
        <w:rPr>
          <w:bCs/>
          <w:b/>
        </w:rPr>
        <w:t xml:space="preserve">Sintesis.</w:t>
      </w:r>
      <w:r>
        <w:t xml:space="preserve"> </w:t>
      </w:r>
      <w:r>
        <w:t xml:space="preserve">Titik A menambahkan beban di provinsi, Titik C menunjukkan pengurangan dampak buruk tidak masuk aturan NAPZA provinsi, Titik B mempersempit pengaman tes di kota, dan Titik D tidak membawa kerahasiaan ke tingkat operasional. Tidak satu pun titik dapat disebut kemunduran final sebelum dokumen dasar ditemukan dan telaah manusia dilakukan.</w:t>
      </w:r>
    </w:p>
    <w:bookmarkEnd w:id="31"/>
    <w:bookmarkStart w:id="32" w:name="Xf9c34f1d66a46afb67ef016e701517482eba0d1"/>
    <w:p>
      <w:pPr>
        <w:pStyle w:val="Heading3"/>
      </w:pPr>
      <w:r>
        <w:t xml:space="preserve">4.2.4 Ketegangan Internal, Horizontal, dan Vertikal</w:t>
      </w:r>
    </w:p>
    <w:p>
      <w:pPr>
        <w:pStyle w:val="FirstParagraph"/>
      </w:pPr>
      <w:r>
        <w:rPr>
          <w:bCs/>
          <w:b/>
        </w:rPr>
        <w:t xml:space="preserve">Temuan utama.</w:t>
      </w:r>
      <w:r>
        <w:t xml:space="preserve"> </w:t>
      </w:r>
      <w:r>
        <w:t xml:space="preserve">Laporan sumber mencatat 16 baris ketegangan untuk Jayapura (8 vertikal, 7 internal, 1 horizontal), ditambah dua pasangan horizontal tematik. Jumlah ini bukan ukuran keparahan. Tidak satu pun berstatus pertentangan hukum final.</w:t>
      </w:r>
    </w:p>
    <w:p>
      <w:pPr>
        <w:pStyle w:val="BodyText"/>
      </w:pPr>
      <w:r>
        <w:t xml:space="preserve">Contoh paling material:</w:t>
      </w:r>
    </w:p>
    <w:p>
      <w:pPr>
        <w:pStyle w:val="BodyText"/>
      </w:pPr>
      <w:r>
        <w:rPr>
          <w:bCs/>
          <w:b/>
        </w:rPr>
        <w:t xml:space="preserve">A. Internal.</w:t>
      </w:r>
      <w:r>
        <w:t xml:space="preserve"> </w:t>
      </w:r>
      <w:r>
        <w:t xml:space="preserve">Perda Kota 16/2011 Pasal 7 ayat (1) ↔ Pasal 9 → pasal yang berisi hak ikut dirujuk sebagai pasal yang dipidana → H6, H1; ODHIV dan populasi kunci →</w:t>
      </w:r>
      <w:r>
        <w:t xml:space="preserve"> </w:t>
      </w:r>
      <w:r>
        <w:rPr>
          <w:bCs/>
          <w:b/>
        </w:rPr>
        <w:t xml:space="preserve">temuan normatif</w:t>
      </w:r>
      <w:r>
        <w:t xml:space="preserve">.</w:t>
      </w:r>
    </w:p>
    <w:p>
      <w:pPr>
        <w:pStyle w:val="BodyText"/>
      </w:pPr>
      <w:r>
        <w:rPr>
          <w:bCs/>
          <w:b/>
        </w:rPr>
        <w:t xml:space="preserve">A. Internal.</w:t>
      </w:r>
      <w:r>
        <w:t xml:space="preserve"> </w:t>
      </w:r>
      <w:r>
        <w:t xml:space="preserve">Perda Provinsi 6/2018 Pasal 31–32 ↔ Pasal 37 ayat (5) → kerahasiaan asesmen berhadapan dengan laporan identitas yang ditembuskan ke BNN/Kapolri → H3; PENASUN →</w:t>
      </w:r>
      <w:r>
        <w:t xml:space="preserve"> </w:t>
      </w:r>
      <w:r>
        <w:rPr>
          <w:bCs/>
          <w:b/>
        </w:rPr>
        <w:t xml:space="preserve">kandidat risiko</w:t>
      </w:r>
      <w:r>
        <w:t xml:space="preserve">.</w:t>
      </w:r>
    </w:p>
    <w:p>
      <w:pPr>
        <w:pStyle w:val="BodyText"/>
      </w:pPr>
      <w:r>
        <w:rPr>
          <w:bCs/>
          <w:b/>
        </w:rPr>
        <w:t xml:space="preserve">B. Horizontal.</w:t>
      </w:r>
      <w:r>
        <w:t xml:space="preserve"> </w:t>
      </w:r>
      <w:r>
        <w:t xml:space="preserve">Perda Provinsi 8/2016 Pasal 30 ayat (2) ↔ Perda Provinsi 10/2021 Pasal 6 → larangan menjadi penjaja seks berhadapan dengan kewajiban pengelola lokasi memeriksa dan melaporkan PSK → H4, H6; PSP →</w:t>
      </w:r>
      <w:r>
        <w:t xml:space="preserve"> </w:t>
      </w:r>
      <w:r>
        <w:rPr>
          <w:bCs/>
          <w:b/>
        </w:rPr>
        <w:t xml:space="preserve">kandidat ketegangan</w:t>
      </w:r>
      <w:r>
        <w:t xml:space="preserve">. Penjelasan alternatif: Perda ketertiban mungkin untuk penindakan di luar lokasi, Perda HIV untuk pengendalian di dalam lokasi; teks tidak menyatakannya.</w:t>
      </w:r>
    </w:p>
    <w:p>
      <w:pPr>
        <w:pStyle w:val="BodyText"/>
      </w:pPr>
      <w:r>
        <w:rPr>
          <w:bCs/>
          <w:b/>
        </w:rPr>
        <w:t xml:space="preserve">C. Vertikal.</w:t>
      </w:r>
      <w:r>
        <w:t xml:space="preserve"> </w:t>
      </w:r>
      <w:r>
        <w:t xml:space="preserve">UU 17/2023 Pasal 293 dan Lampiran Permenkes 23/2022 ↔ Perda Provinsi 10/2021 Pasal 6 → persetujuan dan kerahasiaan berhadapan dengan pemeriksaan dan pelaporan wajib → H1, H3; PSP, ODHIV →</w:t>
      </w:r>
      <w:r>
        <w:t xml:space="preserve"> </w:t>
      </w:r>
      <w:r>
        <w:rPr>
          <w:bCs/>
          <w:b/>
        </w:rPr>
        <w:t xml:space="preserve">kandidat pertentangan</w:t>
      </w:r>
      <w:r>
        <w:t xml:space="preserve">.</w:t>
      </w:r>
    </w:p>
    <w:p>
      <w:pPr>
        <w:pStyle w:val="BodyText"/>
      </w:pPr>
      <w:r>
        <w:rPr>
          <w:bCs/>
          <w:b/>
        </w:rPr>
        <w:t xml:space="preserve">C. Vertikal.</w:t>
      </w:r>
      <w:r>
        <w:t xml:space="preserve"> </w:t>
      </w:r>
      <w:r>
        <w:t xml:space="preserve">Kepmenakertrans 68/2004 Pasal 5 ↔ Perda Kota 16/2011 Pasal 7 ayat (3) dan Perda Provinsi 10/2021 Pasal 7A → larangan tes HIV sebagai syarat kerja berhadapan dengan pemeriksaan pekerja → H4; ODHIV pekerja, pekerja hiburan →</w:t>
      </w:r>
      <w:r>
        <w:t xml:space="preserve"> </w:t>
      </w:r>
      <w:r>
        <w:rPr>
          <w:bCs/>
          <w:b/>
        </w:rPr>
        <w:t xml:space="preserve">kandidat pertentangan</w:t>
      </w:r>
      <w:r>
        <w:t xml:space="preserve">.</w:t>
      </w:r>
    </w:p>
    <w:p>
      <w:pPr>
        <w:pStyle w:val="BodyText"/>
      </w:pPr>
      <w:r>
        <w:rPr>
          <w:bCs/>
          <w:b/>
        </w:rPr>
        <w:t xml:space="preserve">Exhibit 4.5. Matriks ketegangan: internal × horizontal × vertikal</w:t>
      </w:r>
    </w:p>
    <w:tbl>
      <w:tblPr>
        <w:tblStyle w:val="Table"/>
        <w:tblW w:type="dxa" w:w="8787"/>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133"/>
        <w:gridCol w:w="2529"/>
        <w:gridCol w:w="2204"/>
        <w:gridCol w:w="1344"/>
        <w:gridCol w:w="1574"/>
      </w:tblGrid>
      <w:tr>
        <w:trPr>
          <w:tblHeader w:val="true"/>
        </w:trPr>
        <w:tc>
          <w:tcPr>
            <w:tcW w:type="dxa" w:w="1134"/>
          </w:tcPr>
          <w:p>
            <w:pPr>
              <w:pStyle w:val="Compact"/>
              <w:spacing w:line="240" w:lineRule="auto" w:after="20" w:before="20"/>
              <w:jc w:val="left"/>
            </w:pPr>
            <w:r>
              <w:rPr>
                <w:rFonts w:ascii="Times New Roman" w:hAnsi="Times New Roman"/>
                <w:b/>
                <w:sz w:val="18"/>
              </w:rPr>
              <w:t xml:space="preserve">Arah</w:t>
            </w:r>
          </w:p>
        </w:tc>
        <w:tc>
          <w:tcPr>
            <w:tcW w:type="dxa" w:w="2530"/>
          </w:tcPr>
          <w:p>
            <w:pPr>
              <w:pStyle w:val="Compact"/>
              <w:spacing w:line="240" w:lineRule="auto" w:after="20" w:before="20"/>
              <w:jc w:val="left"/>
            </w:pPr>
            <w:r>
              <w:rPr>
                <w:rFonts w:ascii="Times New Roman" w:hAnsi="Times New Roman"/>
                <w:b/>
                <w:sz w:val="18"/>
              </w:rPr>
              <w:t xml:space="preserve">Aturan A ↔ Aturan B</w:t>
            </w:r>
          </w:p>
        </w:tc>
        <w:tc>
          <w:tcPr>
            <w:tcW w:type="dxa" w:w="2205"/>
          </w:tcPr>
          <w:p>
            <w:pPr>
              <w:pStyle w:val="Compact"/>
              <w:spacing w:line="240" w:lineRule="auto" w:after="20" w:before="20"/>
              <w:jc w:val="left"/>
            </w:pPr>
            <w:r>
              <w:rPr>
                <w:rFonts w:ascii="Times New Roman" w:hAnsi="Times New Roman"/>
                <w:b/>
                <w:sz w:val="18"/>
              </w:rPr>
              <w:t xml:space="preserve">Sifat ketegangan</w:t>
            </w:r>
          </w:p>
        </w:tc>
        <w:tc>
          <w:tcPr>
            <w:tcW w:type="dxa" w:w="1345"/>
          </w:tcPr>
          <w:p>
            <w:pPr>
              <w:pStyle w:val="Compact"/>
              <w:spacing w:line="240" w:lineRule="auto" w:after="20" w:before="20"/>
              <w:jc w:val="left"/>
            </w:pPr>
            <w:r>
              <w:rPr>
                <w:rFonts w:ascii="Times New Roman" w:hAnsi="Times New Roman"/>
                <w:b/>
                <w:sz w:val="18"/>
              </w:rPr>
              <w:t xml:space="preserve">Hak / kelompok</w:t>
            </w:r>
          </w:p>
        </w:tc>
        <w:tc>
          <w:tcPr>
            <w:tcW w:type="dxa" w:w="1575"/>
          </w:tcPr>
          <w:p>
            <w:pPr>
              <w:pStyle w:val="Compact"/>
              <w:spacing w:line="240" w:lineRule="auto" w:after="20" w:before="20"/>
              <w:jc w:val="left"/>
            </w:pPr>
            <w:r>
              <w:rPr>
                <w:rFonts w:ascii="Times New Roman" w:hAnsi="Times New Roman"/>
                <w:b/>
                <w:sz w:val="18"/>
              </w:rPr>
              <w:t xml:space="preserve">Status</w:t>
            </w:r>
          </w:p>
        </w:tc>
      </w:tr>
      <w:tr>
        <w:tc>
          <w:tcPr>
            <w:tcW w:type="dxa" w:w="1134"/>
          </w:tcPr>
          <w:p>
            <w:pPr>
              <w:pStyle w:val="Compact"/>
              <w:spacing w:line="240" w:lineRule="auto" w:after="20" w:before="20"/>
              <w:jc w:val="left"/>
            </w:pPr>
            <w:r>
              <w:rPr>
                <w:rFonts w:ascii="Times New Roman" w:hAnsi="Times New Roman"/>
                <w:sz w:val="18"/>
              </w:rPr>
              <w:t xml:space="preserve">Internal</w:t>
            </w:r>
          </w:p>
        </w:tc>
        <w:tc>
          <w:tcPr>
            <w:tcW w:type="dxa" w:w="2530"/>
          </w:tcPr>
          <w:p>
            <w:pPr>
              <w:pStyle w:val="Compact"/>
              <w:spacing w:line="240" w:lineRule="auto" w:after="20" w:before="20"/>
              <w:jc w:val="left"/>
            </w:pPr>
            <w:r>
              <w:rPr>
                <w:rFonts w:ascii="Times New Roman" w:hAnsi="Times New Roman"/>
                <w:sz w:val="18"/>
              </w:rPr>
              <w:t xml:space="preserve">Perda Kota 16/2011 Ps 7 ayat (1) ↔ Ps 9</w:t>
            </w:r>
          </w:p>
        </w:tc>
        <w:tc>
          <w:tcPr>
            <w:tcW w:type="dxa" w:w="2205"/>
          </w:tcPr>
          <w:p>
            <w:pPr>
              <w:pStyle w:val="Compact"/>
              <w:spacing w:line="240" w:lineRule="auto" w:after="20" w:before="20"/>
              <w:jc w:val="left"/>
            </w:pPr>
            <w:r>
              <w:rPr>
                <w:rFonts w:ascii="Times New Roman" w:hAnsi="Times New Roman"/>
                <w:sz w:val="18"/>
              </w:rPr>
              <w:t xml:space="preserve">Pasal hak ikut dipidana</w:t>
            </w:r>
          </w:p>
        </w:tc>
        <w:tc>
          <w:tcPr>
            <w:tcW w:type="dxa" w:w="1345"/>
          </w:tcPr>
          <w:p>
            <w:pPr>
              <w:pStyle w:val="Compact"/>
              <w:spacing w:line="240" w:lineRule="auto" w:after="20" w:before="20"/>
              <w:jc w:val="left"/>
            </w:pPr>
            <w:r>
              <w:rPr>
                <w:rFonts w:ascii="Times New Roman" w:hAnsi="Times New Roman"/>
                <w:sz w:val="18"/>
              </w:rPr>
              <w:t xml:space="preserve">H6, H1 / ODHIV, populasi kunci</w:t>
            </w:r>
          </w:p>
        </w:tc>
        <w:tc>
          <w:tcPr>
            <w:tcW w:type="dxa" w:w="1575"/>
          </w:tcPr>
          <w:p>
            <w:pPr>
              <w:pStyle w:val="Compact"/>
              <w:spacing w:line="240" w:lineRule="auto" w:after="20" w:before="20"/>
              <w:jc w:val="left"/>
            </w:pPr>
            <w:r>
              <w:rPr>
                <w:rFonts w:ascii="Times New Roman" w:hAnsi="Times New Roman"/>
                <w:sz w:val="18"/>
              </w:rPr>
              <w:t xml:space="preserve">Temuan normatif</w:t>
            </w:r>
          </w:p>
        </w:tc>
      </w:tr>
      <w:tr>
        <w:tc>
          <w:tcPr>
            <w:tcW w:type="dxa" w:w="1134"/>
          </w:tcPr>
          <w:p>
            <w:pPr>
              <w:pStyle w:val="Compact"/>
              <w:spacing w:line="240" w:lineRule="auto" w:after="20" w:before="20"/>
              <w:jc w:val="left"/>
            </w:pPr>
            <w:r>
              <w:rPr>
                <w:rFonts w:ascii="Times New Roman" w:hAnsi="Times New Roman"/>
                <w:sz w:val="18"/>
              </w:rPr>
              <w:t xml:space="preserve">Internal</w:t>
            </w:r>
          </w:p>
        </w:tc>
        <w:tc>
          <w:tcPr>
            <w:tcW w:type="dxa" w:w="2530"/>
          </w:tcPr>
          <w:p>
            <w:pPr>
              <w:pStyle w:val="Compact"/>
              <w:spacing w:line="240" w:lineRule="auto" w:after="20" w:before="20"/>
              <w:jc w:val="left"/>
            </w:pPr>
            <w:r>
              <w:rPr>
                <w:rFonts w:ascii="Times New Roman" w:hAnsi="Times New Roman"/>
                <w:sz w:val="18"/>
              </w:rPr>
              <w:t xml:space="preserve">Perda Kota 16/2011 Ps 7 ayat (1) huruf c ↔ Ps 7 ayat (3) huruf c</w:t>
            </w:r>
          </w:p>
        </w:tc>
        <w:tc>
          <w:tcPr>
            <w:tcW w:type="dxa" w:w="2205"/>
          </w:tcPr>
          <w:p>
            <w:pPr>
              <w:pStyle w:val="Compact"/>
              <w:spacing w:line="240" w:lineRule="auto" w:after="20" w:before="20"/>
              <w:jc w:val="left"/>
            </w:pPr>
            <w:r>
              <w:rPr>
                <w:rFonts w:ascii="Times New Roman" w:hAnsi="Times New Roman"/>
                <w:sz w:val="18"/>
              </w:rPr>
              <w:t xml:space="preserve">Perlindungan kerja vs larangan mempekerjakan</w:t>
            </w:r>
          </w:p>
        </w:tc>
        <w:tc>
          <w:tcPr>
            <w:tcW w:type="dxa" w:w="1345"/>
          </w:tcPr>
          <w:p>
            <w:pPr>
              <w:pStyle w:val="Compact"/>
              <w:spacing w:line="240" w:lineRule="auto" w:after="20" w:before="20"/>
              <w:jc w:val="left"/>
            </w:pPr>
            <w:r>
              <w:rPr>
                <w:rFonts w:ascii="Times New Roman" w:hAnsi="Times New Roman"/>
                <w:sz w:val="18"/>
              </w:rPr>
              <w:t xml:space="preserve">H4, H2 / ODHIV pekerja</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Internal</w:t>
            </w:r>
          </w:p>
        </w:tc>
        <w:tc>
          <w:tcPr>
            <w:tcW w:type="dxa" w:w="2530"/>
          </w:tcPr>
          <w:p>
            <w:pPr>
              <w:pStyle w:val="Compact"/>
              <w:spacing w:line="240" w:lineRule="auto" w:after="20" w:before="20"/>
              <w:jc w:val="left"/>
            </w:pPr>
            <w:r>
              <w:rPr>
                <w:rFonts w:ascii="Times New Roman" w:hAnsi="Times New Roman"/>
                <w:sz w:val="18"/>
              </w:rPr>
              <w:t xml:space="preserve">Perda Prov 6/2018 Ps 31–32 ↔ Ps 37 ayat (5)</w:t>
            </w:r>
          </w:p>
        </w:tc>
        <w:tc>
          <w:tcPr>
            <w:tcW w:type="dxa" w:w="2205"/>
          </w:tcPr>
          <w:p>
            <w:pPr>
              <w:pStyle w:val="Compact"/>
              <w:spacing w:line="240" w:lineRule="auto" w:after="20" w:before="20"/>
              <w:jc w:val="left"/>
            </w:pPr>
            <w:r>
              <w:rPr>
                <w:rFonts w:ascii="Times New Roman" w:hAnsi="Times New Roman"/>
                <w:sz w:val="18"/>
              </w:rPr>
              <w:t xml:space="preserve">Asesmen rahasia vs laporan identitas</w:t>
            </w:r>
          </w:p>
        </w:tc>
        <w:tc>
          <w:tcPr>
            <w:tcW w:type="dxa" w:w="1345"/>
          </w:tcPr>
          <w:p>
            <w:pPr>
              <w:pStyle w:val="Compact"/>
              <w:spacing w:line="240" w:lineRule="auto" w:after="20" w:before="20"/>
              <w:jc w:val="left"/>
            </w:pPr>
            <w:r>
              <w:rPr>
                <w:rFonts w:ascii="Times New Roman" w:hAnsi="Times New Roman"/>
                <w:sz w:val="18"/>
              </w:rPr>
              <w:t xml:space="preserve">H3 / PENASUN</w:t>
            </w:r>
          </w:p>
        </w:tc>
        <w:tc>
          <w:tcPr>
            <w:tcW w:type="dxa" w:w="1575"/>
          </w:tcPr>
          <w:p>
            <w:pPr>
              <w:pStyle w:val="Compact"/>
              <w:spacing w:line="240" w:lineRule="auto" w:after="20" w:before="20"/>
              <w:jc w:val="left"/>
            </w:pPr>
            <w:r>
              <w:rPr>
                <w:rFonts w:ascii="Times New Roman" w:hAnsi="Times New Roman"/>
                <w:sz w:val="18"/>
              </w:rPr>
              <w:t xml:space="preserve">Kandidat risiko</w:t>
            </w:r>
          </w:p>
        </w:tc>
      </w:tr>
      <w:tr>
        <w:tc>
          <w:tcPr>
            <w:tcW w:type="dxa" w:w="1134"/>
          </w:tcPr>
          <w:p>
            <w:pPr>
              <w:pStyle w:val="Compact"/>
              <w:spacing w:line="240" w:lineRule="auto" w:after="20" w:before="20"/>
              <w:jc w:val="left"/>
            </w:pPr>
            <w:r>
              <w:rPr>
                <w:rFonts w:ascii="Times New Roman" w:hAnsi="Times New Roman"/>
                <w:sz w:val="18"/>
              </w:rPr>
              <w:t xml:space="preserve">Internal</w:t>
            </w:r>
          </w:p>
        </w:tc>
        <w:tc>
          <w:tcPr>
            <w:tcW w:type="dxa" w:w="2530"/>
          </w:tcPr>
          <w:p>
            <w:pPr>
              <w:pStyle w:val="Compact"/>
              <w:spacing w:line="240" w:lineRule="auto" w:after="20" w:before="20"/>
              <w:jc w:val="left"/>
            </w:pPr>
            <w:r>
              <w:rPr>
                <w:rFonts w:ascii="Times New Roman" w:hAnsi="Times New Roman"/>
                <w:sz w:val="18"/>
              </w:rPr>
              <w:t xml:space="preserve">Perda Kota 26/2024 Ps 23 ↔ Penjelasan</w:t>
            </w:r>
          </w:p>
        </w:tc>
        <w:tc>
          <w:tcPr>
            <w:tcW w:type="dxa" w:w="2205"/>
          </w:tcPr>
          <w:p>
            <w:pPr>
              <w:pStyle w:val="Compact"/>
              <w:spacing w:line="240" w:lineRule="auto" w:after="20" w:before="20"/>
              <w:jc w:val="left"/>
            </w:pPr>
            <w:r>
              <w:rPr>
                <w:rFonts w:ascii="Times New Roman" w:hAnsi="Times New Roman"/>
                <w:sz w:val="18"/>
              </w:rPr>
              <w:t xml:space="preserve">Pramuria dilindungi vs "tidak dilegalkan"</w:t>
            </w:r>
          </w:p>
        </w:tc>
        <w:tc>
          <w:tcPr>
            <w:tcW w:type="dxa" w:w="1345"/>
          </w:tcPr>
          <w:p>
            <w:pPr>
              <w:pStyle w:val="Compact"/>
              <w:spacing w:line="240" w:lineRule="auto" w:after="20" w:before="20"/>
              <w:jc w:val="left"/>
            </w:pPr>
            <w:r>
              <w:rPr>
                <w:rFonts w:ascii="Times New Roman" w:hAnsi="Times New Roman"/>
                <w:sz w:val="18"/>
              </w:rPr>
              <w:t xml:space="preserve">H4, H2 / PSP</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Internal</w:t>
            </w:r>
          </w:p>
        </w:tc>
        <w:tc>
          <w:tcPr>
            <w:tcW w:type="dxa" w:w="2530"/>
          </w:tcPr>
          <w:p>
            <w:pPr>
              <w:pStyle w:val="Compact"/>
              <w:spacing w:line="240" w:lineRule="auto" w:after="20" w:before="20"/>
              <w:jc w:val="left"/>
            </w:pPr>
            <w:r>
              <w:rPr>
                <w:rFonts w:ascii="Times New Roman" w:hAnsi="Times New Roman"/>
                <w:sz w:val="18"/>
              </w:rPr>
              <w:t xml:space="preserve">Perda Prov 10/2021 Pasal I (hapus Ps 15 huruf e, Ps 23 huruf i; perluas Ps 40)</w:t>
            </w:r>
          </w:p>
        </w:tc>
        <w:tc>
          <w:tcPr>
            <w:tcW w:type="dxa" w:w="2205"/>
          </w:tcPr>
          <w:p>
            <w:pPr>
              <w:pStyle w:val="Compact"/>
              <w:spacing w:line="240" w:lineRule="auto" w:after="20" w:before="20"/>
              <w:jc w:val="left"/>
            </w:pPr>
            <w:r>
              <w:rPr>
                <w:rFonts w:ascii="Times New Roman" w:hAnsi="Times New Roman"/>
                <w:sz w:val="18"/>
              </w:rPr>
              <w:t xml:space="preserve">Tidak dapat dibandingkan tanpa naskah 2010</w:t>
            </w:r>
          </w:p>
        </w:tc>
        <w:tc>
          <w:tcPr>
            <w:tcW w:type="dxa" w:w="1345"/>
          </w:tcPr>
          <w:p>
            <w:pPr>
              <w:pStyle w:val="Compact"/>
              <w:spacing w:line="240" w:lineRule="auto" w:after="20" w:before="20"/>
              <w:jc w:val="left"/>
            </w:pPr>
            <w:r>
              <w:rPr>
                <w:rFonts w:ascii="Times New Roman" w:hAnsi="Times New Roman"/>
                <w:sz w:val="18"/>
              </w:rPr>
              <w:t xml:space="preserve">—</w:t>
            </w:r>
          </w:p>
        </w:tc>
        <w:tc>
          <w:tcPr>
            <w:tcW w:type="dxa" w:w="1575"/>
          </w:tcPr>
          <w:p>
            <w:pPr>
              <w:pStyle w:val="Compact"/>
              <w:spacing w:line="240" w:lineRule="auto" w:after="20" w:before="20"/>
              <w:jc w:val="left"/>
            </w:pPr>
            <w:r>
              <w:rPr>
                <w:rFonts w:ascii="Times New Roman" w:hAnsi="Times New Roman"/>
                <w:sz w:val="18"/>
              </w:rPr>
              <w:t xml:space="preserve">Kandidat ketegangan (uji kemunduran belum dapat dilakukan)</w:t>
            </w:r>
          </w:p>
        </w:tc>
      </w:tr>
      <w:tr>
        <w:tc>
          <w:tcPr>
            <w:tcW w:type="dxa" w:w="1134"/>
          </w:tcPr>
          <w:p>
            <w:pPr>
              <w:pStyle w:val="Compact"/>
              <w:spacing w:line="240" w:lineRule="auto" w:after="20" w:before="20"/>
              <w:jc w:val="left"/>
            </w:pPr>
            <w:r>
              <w:rPr>
                <w:rFonts w:ascii="Times New Roman" w:hAnsi="Times New Roman"/>
                <w:sz w:val="18"/>
              </w:rPr>
              <w:t xml:space="preserve">Horizontal</w:t>
            </w:r>
          </w:p>
        </w:tc>
        <w:tc>
          <w:tcPr>
            <w:tcW w:type="dxa" w:w="2530"/>
          </w:tcPr>
          <w:p>
            <w:pPr>
              <w:pStyle w:val="Compact"/>
              <w:spacing w:line="240" w:lineRule="auto" w:after="20" w:before="20"/>
              <w:jc w:val="left"/>
            </w:pPr>
            <w:r>
              <w:rPr>
                <w:rFonts w:ascii="Times New Roman" w:hAnsi="Times New Roman"/>
                <w:sz w:val="18"/>
              </w:rPr>
              <w:t xml:space="preserve">Perda Prov 8/2016 Ps 30 ayat (2) ↔ Perda Prov 10/2021 Ps 6</w:t>
            </w:r>
          </w:p>
        </w:tc>
        <w:tc>
          <w:tcPr>
            <w:tcW w:type="dxa" w:w="2205"/>
          </w:tcPr>
          <w:p>
            <w:pPr>
              <w:pStyle w:val="Compact"/>
              <w:spacing w:line="240" w:lineRule="auto" w:after="20" w:before="20"/>
              <w:jc w:val="left"/>
            </w:pPr>
            <w:r>
              <w:rPr>
                <w:rFonts w:ascii="Times New Roman" w:hAnsi="Times New Roman"/>
                <w:sz w:val="18"/>
              </w:rPr>
              <w:t xml:space="preserve">Larangan penjaja seks vs kewajiban pengelola lokasi</w:t>
            </w:r>
          </w:p>
        </w:tc>
        <w:tc>
          <w:tcPr>
            <w:tcW w:type="dxa" w:w="1345"/>
          </w:tcPr>
          <w:p>
            <w:pPr>
              <w:pStyle w:val="Compact"/>
              <w:spacing w:line="240" w:lineRule="auto" w:after="20" w:before="20"/>
              <w:jc w:val="left"/>
            </w:pPr>
            <w:r>
              <w:rPr>
                <w:rFonts w:ascii="Times New Roman" w:hAnsi="Times New Roman"/>
                <w:sz w:val="18"/>
              </w:rPr>
              <w:t xml:space="preserve">H4, H6 / PSP</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Horizontal</w:t>
            </w:r>
          </w:p>
        </w:tc>
        <w:tc>
          <w:tcPr>
            <w:tcW w:type="dxa" w:w="2530"/>
          </w:tcPr>
          <w:p>
            <w:pPr>
              <w:pStyle w:val="Compact"/>
              <w:spacing w:line="240" w:lineRule="auto" w:after="20" w:before="20"/>
              <w:jc w:val="left"/>
            </w:pPr>
            <w:r>
              <w:rPr>
                <w:rFonts w:ascii="Times New Roman" w:hAnsi="Times New Roman"/>
                <w:sz w:val="18"/>
              </w:rPr>
              <w:t xml:space="preserve">Perda Kota 26/2024 Ps 23 ↔ Perda Kota 16/2011 Ps 7 ayat (3), Ps 10</w:t>
            </w:r>
          </w:p>
        </w:tc>
        <w:tc>
          <w:tcPr>
            <w:tcW w:type="dxa" w:w="2205"/>
          </w:tcPr>
          <w:p>
            <w:pPr>
              <w:pStyle w:val="Compact"/>
              <w:spacing w:line="240" w:lineRule="auto" w:after="20" w:before="20"/>
              <w:jc w:val="left"/>
            </w:pPr>
            <w:r>
              <w:rPr>
                <w:rFonts w:ascii="Times New Roman" w:hAnsi="Times New Roman"/>
                <w:sz w:val="18"/>
              </w:rPr>
              <w:t xml:space="preserve">Subjek perlindungan vs objek sanksi</w:t>
            </w:r>
          </w:p>
        </w:tc>
        <w:tc>
          <w:tcPr>
            <w:tcW w:type="dxa" w:w="1345"/>
          </w:tcPr>
          <w:p>
            <w:pPr>
              <w:pStyle w:val="Compact"/>
              <w:spacing w:line="240" w:lineRule="auto" w:after="20" w:before="20"/>
              <w:jc w:val="left"/>
            </w:pPr>
            <w:r>
              <w:rPr>
                <w:rFonts w:ascii="Times New Roman" w:hAnsi="Times New Roman"/>
                <w:sz w:val="18"/>
              </w:rPr>
              <w:t xml:space="preserve">H4 / PSP</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Horizontal</w:t>
            </w:r>
          </w:p>
        </w:tc>
        <w:tc>
          <w:tcPr>
            <w:tcW w:type="dxa" w:w="2530"/>
          </w:tcPr>
          <w:p>
            <w:pPr>
              <w:pStyle w:val="Compact"/>
              <w:spacing w:line="240" w:lineRule="auto" w:after="20" w:before="20"/>
              <w:jc w:val="left"/>
            </w:pPr>
            <w:r>
              <w:rPr>
                <w:rFonts w:ascii="Times New Roman" w:hAnsi="Times New Roman"/>
                <w:sz w:val="18"/>
              </w:rPr>
              <w:t xml:space="preserve">Perda Prov 6/2018 ↔ Perda Prov 10/2021 Ps 4</w:t>
            </w:r>
          </w:p>
        </w:tc>
        <w:tc>
          <w:tcPr>
            <w:tcW w:type="dxa" w:w="2205"/>
          </w:tcPr>
          <w:p>
            <w:pPr>
              <w:pStyle w:val="Compact"/>
              <w:spacing w:line="240" w:lineRule="auto" w:after="20" w:before="20"/>
              <w:jc w:val="left"/>
            </w:pPr>
            <w:r>
              <w:rPr>
                <w:rFonts w:ascii="Times New Roman" w:hAnsi="Times New Roman"/>
                <w:sz w:val="18"/>
              </w:rPr>
              <w:t xml:space="preserve">Rehabilitasi tanpa alat steril vs kewajiban "meminta" alat suntik</w:t>
            </w:r>
          </w:p>
        </w:tc>
        <w:tc>
          <w:tcPr>
            <w:tcW w:type="dxa" w:w="1345"/>
          </w:tcPr>
          <w:p>
            <w:pPr>
              <w:pStyle w:val="Compact"/>
              <w:spacing w:line="240" w:lineRule="auto" w:after="20" w:before="20"/>
              <w:jc w:val="left"/>
            </w:pPr>
            <w:r>
              <w:rPr>
                <w:rFonts w:ascii="Times New Roman" w:hAnsi="Times New Roman"/>
                <w:sz w:val="18"/>
              </w:rPr>
              <w:t xml:space="preserve">H1 / PENASUN</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Vertikal</w:t>
            </w:r>
          </w:p>
        </w:tc>
        <w:tc>
          <w:tcPr>
            <w:tcW w:type="dxa" w:w="2530"/>
          </w:tcPr>
          <w:p>
            <w:pPr>
              <w:pStyle w:val="Compact"/>
              <w:spacing w:line="240" w:lineRule="auto" w:after="20" w:before="20"/>
              <w:jc w:val="left"/>
            </w:pPr>
            <w:r>
              <w:rPr>
                <w:rFonts w:ascii="Times New Roman" w:hAnsi="Times New Roman"/>
                <w:sz w:val="18"/>
              </w:rPr>
              <w:t xml:space="preserve">UU 17/2023 Ps 293 + Lampiran 23/2022 ↔ Perda Prov 10/2021 Ps 6</w:t>
            </w:r>
          </w:p>
        </w:tc>
        <w:tc>
          <w:tcPr>
            <w:tcW w:type="dxa" w:w="2205"/>
          </w:tcPr>
          <w:p>
            <w:pPr>
              <w:pStyle w:val="Compact"/>
              <w:spacing w:line="240" w:lineRule="auto" w:after="20" w:before="20"/>
              <w:jc w:val="left"/>
            </w:pPr>
            <w:r>
              <w:rPr>
                <w:rFonts w:ascii="Times New Roman" w:hAnsi="Times New Roman"/>
                <w:sz w:val="18"/>
              </w:rPr>
              <w:t xml:space="preserve">Persetujuan, kerahasiaan vs pemeriksaan, pelaporan wajib</w:t>
            </w:r>
          </w:p>
        </w:tc>
        <w:tc>
          <w:tcPr>
            <w:tcW w:type="dxa" w:w="1345"/>
          </w:tcPr>
          <w:p>
            <w:pPr>
              <w:pStyle w:val="Compact"/>
              <w:spacing w:line="240" w:lineRule="auto" w:after="20" w:before="20"/>
              <w:jc w:val="left"/>
            </w:pPr>
            <w:r>
              <w:rPr>
                <w:rFonts w:ascii="Times New Roman" w:hAnsi="Times New Roman"/>
                <w:sz w:val="18"/>
              </w:rPr>
              <w:t xml:space="preserve">H1, H3 / PSP, ODHIV</w:t>
            </w:r>
          </w:p>
        </w:tc>
        <w:tc>
          <w:tcPr>
            <w:tcW w:type="dxa" w:w="1575"/>
          </w:tcPr>
          <w:p>
            <w:pPr>
              <w:pStyle w:val="Compact"/>
              <w:spacing w:line="240" w:lineRule="auto" w:after="20" w:before="20"/>
              <w:jc w:val="left"/>
            </w:pPr>
            <w:r>
              <w:rPr>
                <w:rFonts w:ascii="Times New Roman" w:hAnsi="Times New Roman"/>
                <w:sz w:val="18"/>
              </w:rPr>
              <w:t xml:space="preserve">Kandidat pertentangan</w:t>
            </w:r>
          </w:p>
        </w:tc>
      </w:tr>
      <w:tr>
        <w:tc>
          <w:tcPr>
            <w:tcW w:type="dxa" w:w="1134"/>
          </w:tcPr>
          <w:p>
            <w:pPr>
              <w:pStyle w:val="Compact"/>
              <w:spacing w:line="240" w:lineRule="auto" w:after="20" w:before="20"/>
              <w:jc w:val="left"/>
            </w:pPr>
            <w:r>
              <w:rPr>
                <w:rFonts w:ascii="Times New Roman" w:hAnsi="Times New Roman"/>
                <w:sz w:val="18"/>
              </w:rPr>
              <w:t xml:space="preserve">Vertikal</w:t>
            </w:r>
          </w:p>
        </w:tc>
        <w:tc>
          <w:tcPr>
            <w:tcW w:type="dxa" w:w="2530"/>
          </w:tcPr>
          <w:p>
            <w:pPr>
              <w:pStyle w:val="Compact"/>
              <w:spacing w:line="240" w:lineRule="auto" w:after="20" w:before="20"/>
              <w:jc w:val="left"/>
            </w:pPr>
            <w:r>
              <w:rPr>
                <w:rFonts w:ascii="Times New Roman" w:hAnsi="Times New Roman"/>
                <w:sz w:val="18"/>
              </w:rPr>
              <w:t xml:space="preserve">Kepmenakertrans 68/2004 Ps 5 ↔ Perda Kota 16/2011 Ps 7 ayat (3); Perda Prov 10/2021 Ps 7A</w:t>
            </w:r>
          </w:p>
        </w:tc>
        <w:tc>
          <w:tcPr>
            <w:tcW w:type="dxa" w:w="2205"/>
          </w:tcPr>
          <w:p>
            <w:pPr>
              <w:pStyle w:val="Compact"/>
              <w:spacing w:line="240" w:lineRule="auto" w:after="20" w:before="20"/>
              <w:jc w:val="left"/>
            </w:pPr>
            <w:r>
              <w:rPr>
                <w:rFonts w:ascii="Times New Roman" w:hAnsi="Times New Roman"/>
                <w:sz w:val="18"/>
              </w:rPr>
              <w:t xml:space="preserve">Larangan tes syarat kerja vs pemeriksaan pekerja</w:t>
            </w:r>
          </w:p>
        </w:tc>
        <w:tc>
          <w:tcPr>
            <w:tcW w:type="dxa" w:w="1345"/>
          </w:tcPr>
          <w:p>
            <w:pPr>
              <w:pStyle w:val="Compact"/>
              <w:spacing w:line="240" w:lineRule="auto" w:after="20" w:before="20"/>
              <w:jc w:val="left"/>
            </w:pPr>
            <w:r>
              <w:rPr>
                <w:rFonts w:ascii="Times New Roman" w:hAnsi="Times New Roman"/>
                <w:sz w:val="18"/>
              </w:rPr>
              <w:t xml:space="preserve">H4 / ODHIV, pekerja hiburan</w:t>
            </w:r>
          </w:p>
        </w:tc>
        <w:tc>
          <w:tcPr>
            <w:tcW w:type="dxa" w:w="1575"/>
          </w:tcPr>
          <w:p>
            <w:pPr>
              <w:pStyle w:val="Compact"/>
              <w:spacing w:line="240" w:lineRule="auto" w:after="20" w:before="20"/>
              <w:jc w:val="left"/>
            </w:pPr>
            <w:r>
              <w:rPr>
                <w:rFonts w:ascii="Times New Roman" w:hAnsi="Times New Roman"/>
                <w:sz w:val="18"/>
              </w:rPr>
              <w:t xml:space="preserve">Kandidat pertentangan</w:t>
            </w:r>
          </w:p>
        </w:tc>
      </w:tr>
      <w:tr>
        <w:tc>
          <w:tcPr>
            <w:tcW w:type="dxa" w:w="1134"/>
          </w:tcPr>
          <w:p>
            <w:pPr>
              <w:pStyle w:val="Compact"/>
              <w:spacing w:line="240" w:lineRule="auto" w:after="20" w:before="20"/>
              <w:jc w:val="left"/>
            </w:pPr>
            <w:r>
              <w:rPr>
                <w:rFonts w:ascii="Times New Roman" w:hAnsi="Times New Roman"/>
                <w:sz w:val="18"/>
              </w:rPr>
              <w:t xml:space="preserve">Vertikal</w:t>
            </w:r>
          </w:p>
        </w:tc>
        <w:tc>
          <w:tcPr>
            <w:tcW w:type="dxa" w:w="2530"/>
          </w:tcPr>
          <w:p>
            <w:pPr>
              <w:pStyle w:val="Compact"/>
              <w:spacing w:line="240" w:lineRule="auto" w:after="20" w:before="20"/>
              <w:jc w:val="left"/>
            </w:pPr>
            <w:r>
              <w:rPr>
                <w:rFonts w:ascii="Times New Roman" w:hAnsi="Times New Roman"/>
                <w:sz w:val="18"/>
              </w:rPr>
              <w:t xml:space="preserve">Lampiran 23/2022 (LASS) ↔ Perda Prov 8/2016 Ps 35 jo. 50</w:t>
            </w:r>
          </w:p>
        </w:tc>
        <w:tc>
          <w:tcPr>
            <w:tcW w:type="dxa" w:w="2205"/>
          </w:tcPr>
          <w:p>
            <w:pPr>
              <w:pStyle w:val="Compact"/>
              <w:spacing w:line="240" w:lineRule="auto" w:after="20" w:before="20"/>
              <w:jc w:val="left"/>
            </w:pPr>
            <w:r>
              <w:rPr>
                <w:rFonts w:ascii="Times New Roman" w:hAnsi="Times New Roman"/>
                <w:sz w:val="18"/>
              </w:rPr>
              <w:t xml:space="preserve">Pengurangan dampak buruk vs pidana penggunaan zat</w:t>
            </w:r>
          </w:p>
        </w:tc>
        <w:tc>
          <w:tcPr>
            <w:tcW w:type="dxa" w:w="1345"/>
          </w:tcPr>
          <w:p>
            <w:pPr>
              <w:pStyle w:val="Compact"/>
              <w:spacing w:line="240" w:lineRule="auto" w:after="20" w:before="20"/>
              <w:jc w:val="left"/>
            </w:pPr>
            <w:r>
              <w:rPr>
                <w:rFonts w:ascii="Times New Roman" w:hAnsi="Times New Roman"/>
                <w:sz w:val="18"/>
              </w:rPr>
              <w:t xml:space="preserve">H1, H6 / PENASUN</w:t>
            </w:r>
          </w:p>
        </w:tc>
        <w:tc>
          <w:tcPr>
            <w:tcW w:type="dxa" w:w="1575"/>
          </w:tcPr>
          <w:p>
            <w:pPr>
              <w:pStyle w:val="Compact"/>
              <w:spacing w:line="240" w:lineRule="auto" w:after="20" w:before="20"/>
              <w:jc w:val="left"/>
            </w:pPr>
            <w:r>
              <w:rPr>
                <w:rFonts w:ascii="Times New Roman" w:hAnsi="Times New Roman"/>
                <w:sz w:val="18"/>
              </w:rPr>
              <w:t xml:space="preserve">Kandidat ketegangan</w:t>
            </w:r>
          </w:p>
        </w:tc>
      </w:tr>
      <w:tr>
        <w:tc>
          <w:tcPr>
            <w:tcW w:type="dxa" w:w="1134"/>
          </w:tcPr>
          <w:p>
            <w:pPr>
              <w:pStyle w:val="Compact"/>
              <w:spacing w:line="240" w:lineRule="auto" w:after="20" w:before="20"/>
              <w:jc w:val="left"/>
            </w:pPr>
            <w:r>
              <w:rPr>
                <w:rFonts w:ascii="Times New Roman" w:hAnsi="Times New Roman"/>
                <w:sz w:val="18"/>
              </w:rPr>
              <w:t xml:space="preserve">Vertikal</w:t>
            </w:r>
          </w:p>
        </w:tc>
        <w:tc>
          <w:tcPr>
            <w:tcW w:type="dxa" w:w="2530"/>
          </w:tcPr>
          <w:p>
            <w:pPr>
              <w:pStyle w:val="Compact"/>
              <w:spacing w:line="240" w:lineRule="auto" w:after="20" w:before="20"/>
              <w:jc w:val="left"/>
            </w:pPr>
            <w:r>
              <w:rPr>
                <w:rFonts w:ascii="Times New Roman" w:hAnsi="Times New Roman"/>
                <w:sz w:val="18"/>
              </w:rPr>
              <w:t xml:space="preserve">UU 27/2022 ↔ Perda Prov 6/2018 Ps 37; Perda Prov 10/2021 Ps 6</w:t>
            </w:r>
          </w:p>
        </w:tc>
        <w:tc>
          <w:tcPr>
            <w:tcW w:type="dxa" w:w="2205"/>
          </w:tcPr>
          <w:p>
            <w:pPr>
              <w:pStyle w:val="Compact"/>
              <w:spacing w:line="240" w:lineRule="auto" w:after="20" w:before="20"/>
              <w:jc w:val="left"/>
            </w:pPr>
            <w:r>
              <w:rPr>
                <w:rFonts w:ascii="Times New Roman" w:hAnsi="Times New Roman"/>
                <w:sz w:val="18"/>
              </w:rPr>
              <w:t xml:space="preserve">Data spesifik vs laporan beridentitas</w:t>
            </w:r>
          </w:p>
        </w:tc>
        <w:tc>
          <w:tcPr>
            <w:tcW w:type="dxa" w:w="1345"/>
          </w:tcPr>
          <w:p>
            <w:pPr>
              <w:pStyle w:val="Compact"/>
              <w:spacing w:line="240" w:lineRule="auto" w:after="20" w:before="20"/>
              <w:jc w:val="left"/>
            </w:pPr>
            <w:r>
              <w:rPr>
                <w:rFonts w:ascii="Times New Roman" w:hAnsi="Times New Roman"/>
                <w:sz w:val="18"/>
              </w:rPr>
              <w:t xml:space="preserve">H3 / PENASUN, PSP</w:t>
            </w:r>
          </w:p>
        </w:tc>
        <w:tc>
          <w:tcPr>
            <w:tcW w:type="dxa" w:w="1575"/>
          </w:tcPr>
          <w:p>
            <w:pPr>
              <w:pStyle w:val="Compact"/>
              <w:spacing w:line="240" w:lineRule="auto" w:after="20" w:before="20"/>
              <w:jc w:val="left"/>
            </w:pPr>
            <w:r>
              <w:rPr>
                <w:rFonts w:ascii="Times New Roman" w:hAnsi="Times New Roman"/>
                <w:sz w:val="18"/>
              </w:rPr>
              <w:t xml:space="preserve">Kandidat; tanpa relasi teks</w:t>
            </w:r>
          </w:p>
        </w:tc>
      </w:tr>
    </w:tbl>
    <w:p>
      <w:pPr>
        <w:pStyle w:val="BodyText"/>
      </w:pPr>
      <w:r>
        <w:rPr>
          <w:iCs/>
          <w:i/>
        </w:rPr>
        <w:t xml:space="preserve">Sumber: diolah dari laporan sumber Kota Jayapura, bagian 8.</w:t>
      </w:r>
    </w:p>
    <w:p>
      <w:pPr>
        <w:pStyle w:val="BodyText"/>
      </w:pPr>
      <w:r>
        <w:rPr>
          <w:bCs/>
          <w:b/>
        </w:rPr>
        <w:t xml:space="preserve">Analisis.</w:t>
      </w:r>
      <w:r>
        <w:t xml:space="preserve"> </w:t>
      </w:r>
      <w:r>
        <w:t xml:space="preserve">Ketiga arah memerlukan tindak lanjut yang berbeda. Ketegangan internal paling dekat dengan teks dan dapat dikenali dengan membaca ulang pasal. Ketegangan horizontal di provinsi memerlukan bukti praktik untuk mengetahui bagaimana dua aturan dijalankan bersamaan. Ketegangan vertikal memerlukan uji kewenangan, termasuk kewenangan otonomi khusus. Karena laporan sumber hanya mendukung status kandidat, tidak satu pun pasangan disebut "bertentangan secara hukum".</w:t>
      </w:r>
    </w:p>
    <w:bookmarkEnd w:id="32"/>
    <w:bookmarkStart w:id="33" w:name="X6a5e2e77136d42f55abbb1671814822ade1de88"/>
    <w:p>
      <w:pPr>
        <w:pStyle w:val="Heading3"/>
      </w:pPr>
      <w:r>
        <w:t xml:space="preserve">4.2.5 Dasar Hukum Usang dan Transisi Kerangka Nasional</w:t>
      </w:r>
    </w:p>
    <w:p>
      <w:pPr>
        <w:pStyle w:val="FirstParagraph"/>
      </w:pPr>
      <w:r>
        <w:rPr>
          <w:bCs/>
          <w:b/>
        </w:rPr>
        <w:t xml:space="preserve">Temuan utama.</w:t>
      </w:r>
      <w:r>
        <w:t xml:space="preserve"> </w:t>
      </w:r>
      <w:r>
        <w:t xml:space="preserve">Enam instrumen daerah yang berlaku ditandai STALE-CANDIDATE. Empat di antaranya (Perwali 7/2024, Perda Kota 16/2011, Perda Provinsi 8/2016, dan Perda Provinsi 10/2021) masih merujuk UU 36/2009. Tidak satu pun instrumen paket merujuk Permenkes 23/2022 atau Permenkes 3/2026.</w:t>
      </w:r>
    </w:p>
    <w:p>
      <w:pPr>
        <w:pStyle w:val="BodyText"/>
      </w:pPr>
      <w:r>
        <w:rPr>
          <w:iCs/>
          <w:i/>
        </w:rPr>
        <w:t xml:space="preserve">Isi aturan.</w:t>
      </w:r>
      <w:r>
        <w:t xml:space="preserve"> </w:t>
      </w:r>
      <w:r>
        <w:t xml:space="preserve">Selain UU 36/2009, Perda Kota 16/2011 merujuk UU 32/2004 serta Perpres 75/2006 dan Perda Provinsi 8/2010 tanpa perubahannya; Perda Provinsi 10/2021 merujuk Permenkes 21/2013. Perwali 7/2024 merujuk UU 36/2009 padahal UU 17/2023 sudah berlaku sebelum Perwali ditetapkan, sehingga dicatat STALE-CANDIDATE sejak pembentukan. Rujukan Perda Kota 26/2024 ke UU 13/2003 masih perlu diverifikasi.</w:t>
      </w:r>
    </w:p>
    <w:p>
      <w:pPr>
        <w:pStyle w:val="BodyText"/>
      </w:pPr>
      <w:r>
        <w:rPr>
          <w:iCs/>
          <w:i/>
        </w:rPr>
        <w:t xml:space="preserve">Isi aturan (nasional).</w:t>
      </w:r>
      <w:r>
        <w:t xml:space="preserve"> </w:t>
      </w:r>
      <w:r>
        <w:t xml:space="preserve">Permenkes 3/2026 berlaku 11 Maret 2026, mencabut Permenkes 23/2022 kecuali Pasal 41 dan Lampiran, dan batang tubuhnya tidak menyebut HIV. Pedoman teknis HIV menurut Pasal 96 huruf a belum ditemukan. Tenggat penyesuaian daerah menurut Pasal 97 (11 September 2026) sudah lewat pada cutoff.</w:t>
      </w:r>
    </w:p>
    <w:p>
      <w:pPr>
        <w:pStyle w:val="BodyText"/>
      </w:pPr>
      <w:r>
        <w:rPr>
          <w:bCs/>
          <w:b/>
        </w:rPr>
        <w:t xml:space="preserve">Analisis.</w:t>
      </w:r>
      <w:r>
        <w:t xml:space="preserve"> </w:t>
      </w:r>
      <w:r>
        <w:t xml:space="preserve">Dasar hukum yang usang tidak otomatis membatalkan Perda; Perda tetap dapat berlaku meskipun sebagian dasar hukumnya sudah diganti. Persoalannya ada pada tiga hal.</w:t>
      </w:r>
      <w:r>
        <w:t xml:space="preserve"> </w:t>
      </w:r>
      <w:r>
        <w:rPr>
          <w:iCs/>
          <w:i/>
        </w:rPr>
        <w:t xml:space="preserve">Keterlacakan</w:t>
      </w:r>
      <w:r>
        <w:t xml:space="preserve">: pelaksana tidak dapat menelusuri pengaman nasional yang berlaku dari teks Perda.</w:t>
      </w:r>
      <w:r>
        <w:t xml:space="preserve"> </w:t>
      </w:r>
      <w:r>
        <w:rPr>
          <w:iCs/>
          <w:i/>
        </w:rPr>
        <w:t xml:space="preserve">Harmonisasi</w:t>
      </w:r>
      <w:r>
        <w:t xml:space="preserve">: Perda Jayapura dan Papua tidak dibaca bersama lantai persetujuan dalam UU 17/2023 Pasal 293.</w:t>
      </w:r>
      <w:r>
        <w:t xml:space="preserve"> </w:t>
      </w:r>
      <w:r>
        <w:rPr>
          <w:iCs/>
          <w:i/>
        </w:rPr>
        <w:t xml:space="preserve">Kesesuaian substantif</w:t>
      </w:r>
      <w:r>
        <w:t xml:space="preserve">: selama pedoman teknis belum terbit, Lampiran Permenkes 23/2022 menjadi satu-satunya rujukan tertulis untuk definisi waria, LASS, dan forum koordinasi, padahal statusnya pedoman sementara.</w:t>
      </w:r>
    </w:p>
    <w:p>
      <w:pPr>
        <w:pStyle w:val="BodyText"/>
      </w:pPr>
      <w:r>
        <w:rPr>
          <w:bCs/>
          <w:b/>
        </w:rPr>
        <w:t xml:space="preserve">Batas klaim.</w:t>
      </w:r>
      <w:r>
        <w:t xml:space="preserve"> </w:t>
      </w:r>
      <w:r>
        <w:t xml:space="preserve">STALE-CANDIDATE adalah kandidat temuan, bukan putusan keabsahan. Isi pedoman teknis HIV yang akan datang tidak diketahui, dan bab ini tidak berasumsi tentang isinya.</w:t>
      </w:r>
    </w:p>
    <w:bookmarkEnd w:id="33"/>
    <w:bookmarkStart w:id="34" w:name="Xf041bf01378f691357d5ef1127a9d9c5160dbf2"/>
    <w:p>
      <w:pPr>
        <w:pStyle w:val="Heading3"/>
      </w:pPr>
      <w:r>
        <w:t xml:space="preserve">4.2.6 Batas Penilaian Kewenangan Kota Jayapura</w:t>
      </w:r>
    </w:p>
    <w:p>
      <w:pPr>
        <w:pStyle w:val="FirstParagraph"/>
      </w:pPr>
      <w:r>
        <w:rPr>
          <w:bCs/>
          <w:b/>
        </w:rPr>
        <w:t xml:space="preserve">Temuan utama.</w:t>
      </w:r>
      <w:r>
        <w:t xml:space="preserve"> </w:t>
      </w:r>
      <w:r>
        <w:t xml:space="preserve">Beberapa ketegangan paling material bersumber dari norma provinsi yang berlaku di kota. Norma-norma itu memerlukan telaah kewenangan lebih lanjut; laporan sumber belum melakukan uji kewenangan pasal per pasal.</w:t>
      </w:r>
    </w:p>
    <w:p>
      <w:pPr>
        <w:pStyle w:val="BodyText"/>
      </w:pPr>
      <w:r>
        <w:t xml:space="preserve">Empat hal membatasi penilaian.</w:t>
      </w:r>
      <w:r>
        <w:t xml:space="preserve"> </w:t>
      </w:r>
      <w:r>
        <w:rPr>
          <w:iCs/>
          <w:i/>
        </w:rPr>
        <w:t xml:space="preserve">Pertama, kewenangan otonomi khusus.</w:t>
      </w:r>
      <w:r>
        <w:t xml:space="preserve"> </w:t>
      </w:r>
      <w:r>
        <w:t xml:space="preserve">Laporan sumber menyatakan kewenangan otonomi khusus (UU 21/2001 jo. UU 2/2021) perlu diuji untuk norma provinsi, dan ketentuan UU Otonomi Khusus tentang kewenangan kesehatan belum dicocokkan pasal per pasal.</w:t>
      </w:r>
      <w:r>
        <w:t xml:space="preserve"> </w:t>
      </w:r>
      <w:r>
        <w:rPr>
          <w:iCs/>
          <w:i/>
        </w:rPr>
        <w:t xml:space="preserve">Kedua, wilayah berlaku setelah pemekaran.</w:t>
      </w:r>
      <w:r>
        <w:t xml:space="preserve"> </w:t>
      </w:r>
      <w:r>
        <w:t xml:space="preserve">Dampak pemekaran Papua 2022 terhadap wilayah berlakunya Perda provinsi belum dinilai.</w:t>
      </w:r>
      <w:r>
        <w:t xml:space="preserve"> </w:t>
      </w:r>
      <w:r>
        <w:rPr>
          <w:iCs/>
          <w:i/>
        </w:rPr>
        <w:t xml:space="preserve">Ketiga, ruang pidana dalam Perda.</w:t>
      </w:r>
      <w:r>
        <w:t xml:space="preserve"> </w:t>
      </w:r>
      <w:r>
        <w:t xml:space="preserve">UU 23/2014 Pasal 238 membolehkan Perda memuat pidana kurungan paling lama enam bulan atau denda paling banyak Rp50 juta, tanpa kriteria hak; ancaman dalam Perda kota dan provinsi berada dalam batas itu. Yang dipersoalkan laporan sumber adalah objek yang dipidana, dan hal ini memerlukan telaah hukum lebih lanjut.</w:t>
      </w:r>
      <w:r>
        <w:t xml:space="preserve"> </w:t>
      </w:r>
      <w:r>
        <w:rPr>
          <w:iCs/>
          <w:i/>
        </w:rPr>
        <w:t xml:space="preserve">Keempat, hubungan kota dengan norma provinsi.</w:t>
      </w:r>
      <w:r>
        <w:t xml:space="preserve"> </w:t>
      </w:r>
      <w:r>
        <w:t xml:space="preserve">Perda kota tidak dapat mengubah norma Perda provinsi yang berlaku di wilayahnya, sehingga ketegangan kota–provinsi tidak dapat diurai dari sisi kota saja.</w:t>
      </w:r>
    </w:p>
    <w:p>
      <w:pPr>
        <w:pStyle w:val="BodyText"/>
      </w:pPr>
      <w:r>
        <w:rPr>
          <w:bCs/>
          <w:b/>
        </w:rPr>
        <w:t xml:space="preserve">Analisis.</w:t>
      </w:r>
      <w:r>
        <w:t xml:space="preserve"> </w:t>
      </w:r>
      <w:r>
        <w:t xml:space="preserve">Karena itu, ketegangan vertikal dalam subbab 4.2.4 dibaca sebagai kandidat pertentangan yang memerlukan telaah kewenangan lebih lanjut. Bab ini tidak menyatakan bahwa norma tertentu "melampaui kewenangan".</w:t>
      </w:r>
    </w:p>
    <w:bookmarkEnd w:id="34"/>
    <w:bookmarkStart w:id="35" w:name="X06fcceaccdbdb759ab7738e6ac1bea040683861"/>
    <w:p>
      <w:pPr>
        <w:pStyle w:val="Heading3"/>
      </w:pPr>
      <w:r>
        <w:t xml:space="preserve">4.2.7 Sintesis Interaksi Regulasi</w:t>
      </w:r>
    </w:p>
    <w:p>
      <w:pPr>
        <w:pStyle w:val="FirstParagraph"/>
      </w:pPr>
      <w:r>
        <w:rPr>
          <w:iCs/>
          <w:i/>
        </w:rPr>
        <w:t xml:space="preserve">Pengaman yang masih terlihat kuat.</w:t>
      </w:r>
      <w:r>
        <w:t xml:space="preserve"> </w:t>
      </w:r>
      <w:r>
        <w:t xml:space="preserve">Pengaman paling kuat berada di Perda Kota 16/2011: konfidensialitas oleh tenaga kesehatan, kesetaraan pasien dan larangan stigma, hak akses bagi populasi berisiko, kondom dan pelicin, ADKK, pendidikan HIV di sekolah, serta peran lembaga adat dan kampung. Di provinsi, kerahasiaan asesmen napza dan dukungan kerja pascarehabilitasi juga tertulis.</w:t>
      </w:r>
    </w:p>
    <w:p>
      <w:pPr>
        <w:pStyle w:val="BodyText"/>
      </w:pPr>
      <w:r>
        <w:rPr>
          <w:iCs/>
          <w:i/>
        </w:rPr>
        <w:t xml:space="preserve">Pengaman yang menyempit atau tidak terbawa.</w:t>
      </w:r>
      <w:r>
        <w:t xml:space="preserve"> </w:t>
      </w:r>
      <w:r>
        <w:t xml:space="preserve">Syarat sukarela, persetujuan, dan konseling dalam norma tes tidak lagi tertulis sejak 2011. Alat suntik steril hilang di kota dan berubah menjadi kewajiban individu di provinsi. Transgender tidak disebut di tingkat daerah mana pun. Kursi komunitas, notifikasi pasangan, dan kanal pengaduan tidak ditemukan. Pengaman nasional 2022–2026 tidak dirujuk instrumen daerah mana pun.</w:t>
      </w:r>
    </w:p>
    <w:p>
      <w:pPr>
        <w:pStyle w:val="BodyText"/>
      </w:pPr>
      <w:r>
        <w:rPr>
          <w:iCs/>
          <w:i/>
        </w:rPr>
        <w:t xml:space="preserve">Pembebanan yang ditambahkan di daerah.</w:t>
      </w:r>
      <w:r>
        <w:t xml:space="preserve"> </w:t>
      </w:r>
      <w:r>
        <w:t xml:space="preserve">Beban terberat ditambahkan provinsi: pemeriksaan, pelaporan, penyerahan, dan pemulangan PSK; pidana kepatuhan ARV; laporan identitas pecandu; dan kehadiran Satpol PP dalam pemeriksaan kesehatan. Kota menambahkan pidana atas kewajiban perilaku, larangan mempekerjakan pengidap HIV/IMS, dan pemeriksaan berkala karyawan.</w:t>
      </w:r>
    </w:p>
    <w:p>
      <w:pPr>
        <w:pStyle w:val="BodyText"/>
      </w:pPr>
      <w:r>
        <w:rPr>
          <w:iCs/>
          <w:i/>
        </w:rPr>
        <w:t xml:space="preserve">Titik ketegangan.</w:t>
      </w:r>
      <w:r>
        <w:t xml:space="preserve"> </w:t>
      </w:r>
      <w:r>
        <w:t xml:space="preserve">Ketegangan internal paling material berada di Perda Kota 16/2011 dan Perda Provinsi 6/2018; ketegangan horizontal antara Perda Ketertiban dan Perda HIV provinsi; ketegangan vertikal antara Perda provinsi (serta Perda kota untuk pemeriksaan pekerja) dan pengaman persetujuan, kerahasiaan, larangan tes sebagai syarat kerja, perlindungan data pribadi, serta pengurangan dampak buruk. Semuanya berstatus kandidat.</w:t>
      </w:r>
    </w:p>
    <w:p>
      <w:pPr>
        <w:pStyle w:val="BodyText"/>
      </w:pPr>
      <w:r>
        <w:rPr>
          <w:iCs/>
          <w:i/>
        </w:rPr>
        <w:t xml:space="preserve">Yang belum dapat diputuskan.</w:t>
      </w:r>
      <w:r>
        <w:t xml:space="preserve"> </w:t>
      </w:r>
      <w:r>
        <w:t xml:space="preserve">Tanpa naskah Perda Provinsi 8/2010, perubahan 2021 tidak dapat diuji sebagai kemunduran. Tanpa pedoman PITC, tidak dapat dipastikan apakah hak menolak tes terbawa. Tanpa Keputusan Walikota tentang KPA, forum koordinasi kota tidak dapat dinilai. Tanpa uji kewenangan otonomi khusus dan penilaian dampak pemekaran, sah atau tidaknya norma provinsi tidak dapat disimpulkan. Tanpa data R-2 sampai R-5, tidak satu pun risiko dapat dinyatakan sebagai dampak yang telah terjadi.</w:t>
      </w:r>
    </w:p>
    <w:p>
      <w:pPr>
        <w:pStyle w:val="BodyText"/>
      </w:pPr>
      <w:r>
        <w:rPr>
          <w:bCs/>
          <w:b/>
        </w:rPr>
        <w:t xml:space="preserve">Pesan utama.</w:t>
      </w:r>
      <w:r>
        <w:t xml:space="preserve"> </w:t>
      </w:r>
      <w:r>
        <w:t xml:space="preserve">Arsitektur regulasi Kota Jayapura tidak menunjukkan satu arah tunggal. Perda HIV kota yang sama memuat pengaman kerahasiaan dan kesetaraan sekaligus pidana atas kewajiban perilaku dan larangan mempekerjakan orang dengan HIV. Lapisan kota, provinsi, dan nasional tidak membawa pengaman secara konsisten: pengaman yang dekat dengan persetujuan dan otonomi individu cenderung menyempit atau tidak terbawa, sedangkan pemeriksaan, pelaporan, dan sanksi cenderung ditambahkan, terutama di tingkat provinsi yang berlaku langsung di kota. Pola ini adalah temuan normatif dan kandidat ketegangan, belum bukti dampak.</w:t>
      </w:r>
    </w:p>
    <w:p>
      <w:pPr>
        <w:pStyle w:val="BodyText"/>
      </w:pPr>
      <w:r>
        <w:t xml:space="preserve">Temuan regulasi ini selanjutnya dipertemukan dengan temuan survei, kualitatif, observasi layanan, dan bukti lain dalam BAB 5. Implikasi reformasi regulatif dibahas dalam BAB 6.</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W w:type="dxa" w:w="8787"/>
      </w:tblPr>
      <w:tblGrid>
        <w:gridCol w:w="8788"/>
      </w:tblGrid>
      <w:tr>
        <w:tc>
          <w:tcPr>
            <w:tcW w:type="dxa" w:w="8788"/>
            <w:shd w:val="clear" w:color="auto" w:fill="F2F2F2"/>
          </w:tcPr>
          <w:p>
            <w:pPr>
              <w:pStyle w:val="BlockText"/>
              <w:spacing w:line="276" w:lineRule="auto" w:after="60"/>
            </w:pPr>
            <w:r>
              <w:rPr>
                <w:bCs/>
                <w:rFonts w:ascii="Times New Roman" w:hAnsi="Times New Roman"/>
                <w:b/>
                <w:sz w:val="22"/>
              </w:rPr>
              <w:t xml:space="preserve">CATATAN BATAS KLAIM BAB 4</w:t>
            </w:r>
          </w:p>
          <w:p>
            <w:pPr>
              <w:numPr>
                <w:ilvl w:val="0"/>
                <w:numId w:val="1003"/>
              </w:numPr>
              <w:pStyle w:val="Compact"/>
              <w:spacing w:line="276" w:lineRule="auto" w:after="60"/>
            </w:pPr>
            <w:r>
              <w:rPr>
                <w:bCs/>
                <w:rFonts w:ascii="Times New Roman" w:hAnsi="Times New Roman"/>
                <w:b/>
                <w:sz w:val="22"/>
              </w:rPr>
              <w:t xml:space="preserve">Status verifikasi.</w:t>
            </w:r>
            <w:r>
              <w:rPr>
                <w:rFonts w:ascii="Times New Roman" w:hAnsi="Times New Roman"/>
                <w:sz w:val="22"/>
              </w:rPr>
              <w:t xml:space="preserve"> </w:t>
            </w:r>
            <w:r>
              <w:rPr>
                <w:rFonts w:ascii="Times New Roman" w:hAnsi="Times New Roman"/>
                <w:sz w:val="22"/>
              </w:rPr>
              <w:t xml:space="preserve">Hanya tiga dari tujuh instrumen paket yang terkonfirmasi "Berlaku" di JDIH BPK. Status Perwali 7/2024, Perda Kota 26/2024, dan Perda Provinsi 8/2016 BELUM_TERVERIFIKASI. Laporan sumber adalah draf analitik berbantuan mesin yang belum ditelaah manusia.</w:t>
            </w:r>
          </w:p>
          <w:p>
            <w:pPr>
              <w:numPr>
                <w:ilvl w:val="0"/>
                <w:numId w:val="1003"/>
              </w:numPr>
              <w:pStyle w:val="Compact"/>
              <w:spacing w:line="276" w:lineRule="auto" w:after="60"/>
            </w:pPr>
            <w:r>
              <w:rPr>
                <w:bCs/>
                <w:rFonts w:ascii="Times New Roman" w:hAnsi="Times New Roman"/>
                <w:b/>
                <w:sz w:val="22"/>
              </w:rPr>
              <w:t xml:space="preserve">Keterbatasan korpus.</w:t>
            </w:r>
            <w:r>
              <w:rPr>
                <w:rFonts w:ascii="Times New Roman" w:hAnsi="Times New Roman"/>
                <w:sz w:val="22"/>
              </w:rPr>
              <w:t xml:space="preserve"> </w:t>
            </w:r>
            <w:r>
              <w:rPr>
                <w:rFonts w:ascii="Times New Roman" w:hAnsi="Times New Roman"/>
                <w:sz w:val="22"/>
              </w:rPr>
              <w:t xml:space="preserve">Naskah Perda Provinsi 8/2010, Keputusan Walikota tentang KPA, Keputusan Gubernur tentang KPA, Pergub turunan Perda NAPZA, pedoman PITC, SOP layanan, dan pedoman teknis HIV nasional belum ditemukan di folder. Belum ditemukan tidak sama dengan tidak diatur.</w:t>
            </w:r>
          </w:p>
          <w:p>
            <w:pPr>
              <w:numPr>
                <w:ilvl w:val="0"/>
                <w:numId w:val="1003"/>
              </w:numPr>
              <w:pStyle w:val="Compact"/>
              <w:spacing w:line="276" w:lineRule="auto" w:after="60"/>
            </w:pPr>
            <w:r>
              <w:rPr>
                <w:bCs/>
                <w:rFonts w:ascii="Times New Roman" w:hAnsi="Times New Roman"/>
                <w:b/>
                <w:sz w:val="22"/>
              </w:rPr>
              <w:t xml:space="preserve">Belum ada bukti R-2 s.d. R-5.</w:t>
            </w:r>
            <w:r>
              <w:rPr>
                <w:rFonts w:ascii="Times New Roman" w:hAnsi="Times New Roman"/>
                <w:sz w:val="22"/>
              </w:rPr>
              <w:t xml:space="preserve"> </w:t>
            </w:r>
            <w:r>
              <w:rPr>
                <w:rFonts w:ascii="Times New Roman" w:hAnsi="Times New Roman"/>
                <w:sz w:val="22"/>
              </w:rPr>
              <w:t xml:space="preserve">Tidak ada data penegakan, layanan, kesaksian, atau pengaduan; semua akibat dalam bab ini adalah risiko yang perlu dibuktikan.</w:t>
            </w:r>
          </w:p>
          <w:p>
            <w:pPr>
              <w:numPr>
                <w:ilvl w:val="0"/>
                <w:numId w:val="1003"/>
              </w:numPr>
              <w:pStyle w:val="Compact"/>
              <w:spacing w:line="276" w:lineRule="auto" w:after="60"/>
            </w:pPr>
            <w:r>
              <w:rPr>
                <w:bCs/>
                <w:rFonts w:ascii="Times New Roman" w:hAnsi="Times New Roman"/>
                <w:b/>
                <w:sz w:val="22"/>
              </w:rPr>
              <w:t xml:space="preserve">Teks tidak sama dengan praktik.</w:t>
            </w:r>
            <w:r>
              <w:rPr>
                <w:rFonts w:ascii="Times New Roman" w:hAnsi="Times New Roman"/>
                <w:sz w:val="22"/>
              </w:rPr>
              <w:t xml:space="preserve"> </w:t>
            </w:r>
            <w:r>
              <w:rPr>
                <w:rFonts w:ascii="Times New Roman" w:hAnsi="Times New Roman"/>
                <w:sz w:val="22"/>
              </w:rPr>
              <w:t xml:space="preserve">Pasal yang membebani belum tentu ditegakkan, dan pengaman yang tidak tertulis belum tentu tidak dijalankan. Semua ketegangan berstatus kandidat; tidak ada rating keparahan final.</w:t>
            </w:r>
          </w:p>
          <w:p>
            <w:pPr>
              <w:numPr>
                <w:ilvl w:val="0"/>
                <w:numId w:val="1003"/>
              </w:numPr>
              <w:pStyle w:val="Compact"/>
              <w:spacing w:line="276" w:lineRule="auto" w:after="60"/>
            </w:pPr>
            <w:r>
              <w:rPr>
                <w:bCs/>
                <w:rFonts w:ascii="Times New Roman" w:hAnsi="Times New Roman"/>
                <w:b/>
                <w:sz w:val="22"/>
              </w:rPr>
              <w:t xml:space="preserve">Perlu triangulasi di BAB 5.</w:t>
            </w:r>
            <w:r>
              <w:rPr>
                <w:rFonts w:ascii="Times New Roman" w:hAnsi="Times New Roman"/>
                <w:sz w:val="22"/>
              </w:rPr>
              <w:t xml:space="preserve"> </w:t>
            </w:r>
            <w:r>
              <w:rPr>
                <w:rFonts w:ascii="Times New Roman" w:hAnsi="Times New Roman"/>
                <w:sz w:val="22"/>
              </w:rPr>
              <w:t xml:space="preserve">Temuan normatif harus diuji dengan survei, data kualitatif, observasi layanan, dan pengaduan sebelum dipakai sebagai dasar kesimpulan tentang dampak.</w:t>
            </w:r>
          </w:p>
        </w:tc>
      </w:tr>
    </w:tbl>
    <w:bookmarkEnd w:id="35"/>
    <w:bookmarkEnd w:id="36"/>
    <w:bookmarkEnd w:id="37"/>
    <w:sect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120" w:before="240" w:line="360" w:lineRule="auto"/>
      <w:jc w:val="center"/>
    </w:pPr>
    <w:rPr>
      <w:rFonts w:ascii="Times New Roman" w:cs="Times New Roman" w:eastAsia="Times New Roman" w:hAnsi="Times New Roman"/>
      <w:b/>
      <w:bCs/>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2026-10-06T14:46:04Z</dcterms:created>
  <dcterms:modified xsi:type="dcterms:W3CDTF">2026-10-06T14:46:04Z</dcterms:modified>
</cp:coreProperties>
</file>

<file path=docProps/custom.xml><?xml version="1.0" encoding="utf-8"?>
<Properties xmlns="http://schemas.openxmlformats.org/officeDocument/2006/custom-properties" xmlns:vt="http://schemas.openxmlformats.org/officeDocument/2006/docPropsVTypes"/>
</file>