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240" w:line="256.8"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TEAM 2 – WELLNESS WARRIORS</w:t>
      </w:r>
    </w:p>
    <w:p w:rsidR="00000000" w:rsidDel="00000000" w:rsidP="00000000" w:rsidRDefault="00000000" w:rsidRPr="00000000" w14:paraId="00000002">
      <w:pPr>
        <w:spacing w:after="160" w:before="240" w:line="256.8"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GLAM DATASET INSIGHTS REPORT</w:t>
      </w:r>
    </w:p>
    <w:p w:rsidR="00000000" w:rsidDel="00000000" w:rsidP="00000000" w:rsidRDefault="00000000" w:rsidRPr="00000000" w14:paraId="00000003">
      <w:pPr>
        <w:spacing w:after="160" w:before="240" w:line="256.8" w:lineRule="auto"/>
        <w:rPr>
          <w:b w:val="1"/>
          <w:bCs w:val="1"/>
          <w:sz w:val="20"/>
          <w:szCs w:val="20"/>
          <w:u w:val="single"/>
        </w:rPr>
      </w:pPr>
      <w:r w:rsidDel="00000000" w:rsidR="00000000" w:rsidRPr="00000000">
        <w:rPr>
          <w:rFonts w:ascii="Times New Roman" w:cs="Times New Roman" w:eastAsia="Times New Roman" w:hAnsi="Times New Roman"/>
          <w:b w:val="1"/>
          <w:bCs w:val="1"/>
          <w:sz w:val="24"/>
          <w:szCs w:val="24"/>
          <w:u w:val="single"/>
          <w:rtl w:val="0"/>
        </w:rPr>
        <w:t xml:space="preserve">TOOLS USED: POWER BI (POWER DESKTOP)</w:t>
      </w:r>
      <w:r w:rsidDel="00000000" w:rsidR="00000000" w:rsidRPr="00000000">
        <w:rPr>
          <w:rtl w:val="0"/>
        </w:rPr>
      </w:r>
    </w:p>
    <w:p w:rsidR="00000000" w:rsidDel="00000000" w:rsidP="00000000" w:rsidRDefault="00000000" w:rsidRPr="00000000" w14:paraId="00000004">
      <w:pPr>
        <w:spacing w:after="240" w:before="240" w:lineRule="auto"/>
        <w:jc w:val="left"/>
        <w:rPr>
          <w:b w:val="1"/>
          <w:bCs w:val="1"/>
          <w:sz w:val="20"/>
          <w:szCs w:val="20"/>
          <w:u w:val="single"/>
        </w:rPr>
      </w:pPr>
      <w:r w:rsidDel="00000000" w:rsidR="00000000" w:rsidRPr="00000000">
        <w:rPr>
          <w:b w:val="1"/>
          <w:bCs w:val="1"/>
          <w:sz w:val="20"/>
          <w:szCs w:val="20"/>
          <w:u w:val="single"/>
          <w:rtl w:val="0"/>
        </w:rPr>
        <w:t xml:space="preserve">DASHBOARD 1:</w:t>
      </w:r>
    </w:p>
    <w:p w:rsidR="00000000" w:rsidDel="00000000" w:rsidP="00000000" w:rsidRDefault="00000000" w:rsidRPr="00000000" w14:paraId="00000005">
      <w:pPr>
        <w:spacing w:after="240" w:before="240" w:lineRule="auto"/>
        <w:jc w:val="left"/>
        <w:rPr>
          <w:b w:val="1"/>
          <w:bCs w:val="1"/>
          <w:sz w:val="20"/>
          <w:szCs w:val="20"/>
          <w:u w:val="single"/>
        </w:rPr>
      </w:pPr>
      <w:r w:rsidDel="00000000" w:rsidR="00000000" w:rsidRPr="00000000">
        <w:rPr>
          <w:b w:val="1"/>
          <w:bCs w:val="1"/>
          <w:sz w:val="20"/>
          <w:szCs w:val="20"/>
          <w:u w:val="single"/>
          <w:rtl w:val="0"/>
        </w:rPr>
        <w:t xml:space="preserve">MEDICAL HISTORY OF PATIENTS KEY INSIGHTS</w:t>
      </w:r>
    </w:p>
    <w:p w:rsidR="00000000" w:rsidDel="00000000" w:rsidP="00000000" w:rsidRDefault="00000000" w:rsidRPr="00000000" w14:paraId="00000006">
      <w:pPr>
        <w:spacing w:after="240" w:before="240" w:lineRule="auto"/>
        <w:rPr>
          <w:sz w:val="20"/>
          <w:szCs w:val="20"/>
        </w:rPr>
      </w:pPr>
      <w:r w:rsidDel="00000000" w:rsidR="00000000" w:rsidRPr="00000000">
        <w:rPr>
          <w:b w:val="1"/>
          <w:bCs w:val="1"/>
          <w:sz w:val="20"/>
          <w:szCs w:val="20"/>
          <w:rtl w:val="0"/>
        </w:rPr>
        <w:t xml:space="preserve">Total Patients Enrolled:</w:t>
      </w:r>
      <w:r w:rsidDel="00000000" w:rsidR="00000000" w:rsidRPr="00000000">
        <w:rPr>
          <w:sz w:val="20"/>
          <w:szCs w:val="20"/>
          <w:rtl w:val="0"/>
        </w:rPr>
        <w:t xml:space="preserve"> 945</w:t>
      </w:r>
    </w:p>
    <w:p w:rsidR="00000000" w:rsidDel="00000000" w:rsidP="00000000" w:rsidRDefault="00000000" w:rsidRPr="00000000" w14:paraId="00000007">
      <w:pPr>
        <w:spacing w:after="240" w:before="240" w:lineRule="auto"/>
        <w:rPr>
          <w:sz w:val="20"/>
          <w:szCs w:val="20"/>
        </w:rPr>
      </w:pPr>
      <w:r w:rsidDel="00000000" w:rsidR="00000000" w:rsidRPr="00000000">
        <w:rPr>
          <w:b w:val="1"/>
          <w:bCs w:val="1"/>
          <w:sz w:val="20"/>
          <w:szCs w:val="20"/>
          <w:rtl w:val="0"/>
        </w:rPr>
        <w:t xml:space="preserve">Demographics: Race &amp; Ethnicity (Treemap): </w:t>
      </w:r>
      <w:r w:rsidDel="00000000" w:rsidR="00000000" w:rsidRPr="00000000">
        <w:rPr>
          <w:sz w:val="20"/>
          <w:szCs w:val="20"/>
          <w:rtl w:val="0"/>
        </w:rPr>
        <w:t xml:space="preserve">Majority are </w:t>
      </w:r>
      <w:r w:rsidDel="00000000" w:rsidR="00000000" w:rsidRPr="00000000">
        <w:rPr>
          <w:i w:val="1"/>
          <w:iCs w:val="1"/>
          <w:sz w:val="20"/>
          <w:szCs w:val="20"/>
          <w:rtl w:val="0"/>
        </w:rPr>
        <w:t xml:space="preserve">Not Hispanic or Latino</w:t>
      </w:r>
      <w:r w:rsidDel="00000000" w:rsidR="00000000" w:rsidRPr="00000000">
        <w:rPr>
          <w:sz w:val="20"/>
          <w:szCs w:val="20"/>
          <w:rtl w:val="0"/>
        </w:rPr>
        <w:t xml:space="preserve">, with </w:t>
      </w:r>
      <w:r w:rsidDel="00000000" w:rsidR="00000000" w:rsidRPr="00000000">
        <w:rPr>
          <w:i w:val="1"/>
          <w:iCs w:val="1"/>
          <w:sz w:val="20"/>
          <w:szCs w:val="20"/>
          <w:rtl w:val="0"/>
        </w:rPr>
        <w:t xml:space="preserve">White (642)</w:t>
      </w:r>
      <w:r w:rsidDel="00000000" w:rsidR="00000000" w:rsidRPr="00000000">
        <w:rPr>
          <w:sz w:val="20"/>
          <w:szCs w:val="20"/>
          <w:rtl w:val="0"/>
        </w:rPr>
        <w:t xml:space="preserve"> as the dominant subgroup.Hispanic or Latino patients include White, Black/African American, and multiracial individuals.</w:t>
      </w:r>
    </w:p>
    <w:p w:rsidR="00000000" w:rsidDel="00000000" w:rsidP="00000000" w:rsidRDefault="00000000" w:rsidRPr="00000000" w14:paraId="00000008">
      <w:pPr>
        <w:pStyle w:val="Heading3"/>
        <w:keepNext w:val="0"/>
        <w:keepLines w:val="0"/>
        <w:spacing w:before="280" w:line="240" w:lineRule="auto"/>
        <w:rPr>
          <w:color w:val="000000"/>
          <w:sz w:val="20"/>
          <w:szCs w:val="20"/>
        </w:rPr>
      </w:pPr>
      <w:bookmarkStart w:colFirst="0" w:colLast="0" w:name="_6h0mgpupugs7" w:id="0"/>
      <w:bookmarkEnd w:id="0"/>
      <w:r w:rsidDel="00000000" w:rsidR="00000000" w:rsidRPr="00000000">
        <w:rPr>
          <w:b w:val="1"/>
          <w:bCs w:val="1"/>
          <w:color w:val="000000"/>
          <w:sz w:val="20"/>
          <w:szCs w:val="20"/>
          <w:rtl w:val="0"/>
        </w:rPr>
        <w:t xml:space="preserve">Gestational Weight Trends:Weight Range:</w:t>
      </w:r>
      <w:r w:rsidDel="00000000" w:rsidR="00000000" w:rsidRPr="00000000">
        <w:rPr>
          <w:color w:val="000000"/>
          <w:sz w:val="20"/>
          <w:szCs w:val="20"/>
          <w:rtl w:val="0"/>
        </w:rPr>
        <w:t xml:space="preserve"> ~52 kg to 121 kg                                                </w:t>
      </w:r>
      <w:r w:rsidDel="00000000" w:rsidR="00000000" w:rsidRPr="00000000">
        <w:rPr>
          <w:b w:val="1"/>
          <w:bCs w:val="1"/>
          <w:color w:val="000000"/>
          <w:sz w:val="20"/>
          <w:szCs w:val="20"/>
          <w:rtl w:val="0"/>
        </w:rPr>
        <w:t xml:space="preserve">Insight:</w:t>
      </w:r>
      <w:r w:rsidDel="00000000" w:rsidR="00000000" w:rsidRPr="00000000">
        <w:rPr>
          <w:color w:val="000000"/>
          <w:sz w:val="20"/>
          <w:szCs w:val="20"/>
          <w:rtl w:val="0"/>
        </w:rPr>
        <w:t xml:space="preserve"> Wide variability due to BMI, gestational gain, age, and comorbidities like GDM/hypertension.</w:t>
      </w:r>
    </w:p>
    <w:p w:rsidR="00000000" w:rsidDel="00000000" w:rsidP="00000000" w:rsidRDefault="00000000" w:rsidRPr="00000000" w14:paraId="00000009">
      <w:pPr>
        <w:pStyle w:val="Heading3"/>
        <w:keepNext w:val="0"/>
        <w:keepLines w:val="0"/>
        <w:spacing w:before="280" w:lineRule="auto"/>
        <w:rPr>
          <w:color w:val="000000"/>
          <w:sz w:val="20"/>
          <w:szCs w:val="20"/>
        </w:rPr>
      </w:pPr>
      <w:bookmarkStart w:colFirst="0" w:colLast="0" w:name="_pslngnu98x6l" w:id="1"/>
      <w:bookmarkEnd w:id="1"/>
      <w:r w:rsidDel="00000000" w:rsidR="00000000" w:rsidRPr="00000000">
        <w:rPr>
          <w:b w:val="1"/>
          <w:bCs w:val="1"/>
          <w:color w:val="000000"/>
          <w:sz w:val="20"/>
          <w:szCs w:val="20"/>
          <w:rtl w:val="0"/>
        </w:rPr>
        <w:t xml:space="preserve">HbA1c by Race: </w:t>
      </w:r>
      <w:r w:rsidDel="00000000" w:rsidR="00000000" w:rsidRPr="00000000">
        <w:rPr>
          <w:color w:val="000000"/>
          <w:sz w:val="20"/>
          <w:szCs w:val="20"/>
          <w:rtl w:val="0"/>
        </w:rPr>
        <w:t xml:space="preserve">Black/African American women show highest rates of prediabetes and diabetes.</w:t>
      </w:r>
    </w:p>
    <w:p w:rsidR="00000000" w:rsidDel="00000000" w:rsidP="00000000" w:rsidRDefault="00000000" w:rsidRPr="00000000" w14:paraId="0000000A">
      <w:pPr>
        <w:pStyle w:val="Heading3"/>
        <w:keepNext w:val="0"/>
        <w:keepLines w:val="0"/>
        <w:spacing w:before="280" w:lineRule="auto"/>
        <w:rPr>
          <w:color w:val="000000"/>
          <w:sz w:val="20"/>
          <w:szCs w:val="20"/>
        </w:rPr>
      </w:pPr>
      <w:bookmarkStart w:colFirst="0" w:colLast="0" w:name="_2mmsqibgk7em" w:id="2"/>
      <w:bookmarkEnd w:id="2"/>
      <w:r w:rsidDel="00000000" w:rsidR="00000000" w:rsidRPr="00000000">
        <w:rPr>
          <w:b w:val="1"/>
          <w:bCs w:val="1"/>
          <w:color w:val="000000"/>
          <w:sz w:val="20"/>
          <w:szCs w:val="20"/>
          <w:rtl w:val="0"/>
        </w:rPr>
        <w:t xml:space="preserve">Correlation Insights: Weight vs HbA1c (Scatter Plot):  </w:t>
      </w:r>
      <w:r w:rsidDel="00000000" w:rsidR="00000000" w:rsidRPr="00000000">
        <w:rPr>
          <w:color w:val="000000"/>
          <w:sz w:val="20"/>
          <w:szCs w:val="20"/>
          <w:rtl w:val="0"/>
        </w:rPr>
        <w:t xml:space="preserve">Slight upward trend: higher weight linked to higher HbA1c. </w:t>
      </w:r>
      <w:r w:rsidDel="00000000" w:rsidR="00000000" w:rsidRPr="00000000">
        <w:rPr>
          <w:b w:val="1"/>
          <w:bCs w:val="1"/>
          <w:color w:val="000000"/>
          <w:sz w:val="20"/>
          <w:szCs w:val="20"/>
          <w:rtl w:val="0"/>
        </w:rPr>
        <w:t xml:space="preserve">Glucose vs BMI (Scatter Plot): </w:t>
      </w:r>
      <w:r w:rsidDel="00000000" w:rsidR="00000000" w:rsidRPr="00000000">
        <w:rPr>
          <w:color w:val="000000"/>
          <w:sz w:val="20"/>
          <w:szCs w:val="20"/>
          <w:rtl w:val="0"/>
        </w:rPr>
        <w:t xml:space="preserve">No</w:t>
      </w:r>
      <w:r w:rsidDel="00000000" w:rsidR="00000000" w:rsidRPr="00000000">
        <w:rPr>
          <w:color w:val="000000"/>
          <w:sz w:val="20"/>
          <w:szCs w:val="20"/>
          <w:rtl w:val="0"/>
        </w:rPr>
        <w:t xml:space="preserve"> correlation: There is no correlation between Glucose and BMI with this dataset overall. But with some patient groups it may vary</w:t>
      </w:r>
    </w:p>
    <w:p w:rsidR="00000000" w:rsidDel="00000000" w:rsidP="00000000" w:rsidRDefault="00000000" w:rsidRPr="00000000" w14:paraId="0000000B">
      <w:pPr>
        <w:pStyle w:val="Heading3"/>
        <w:keepNext w:val="0"/>
        <w:keepLines w:val="0"/>
        <w:spacing w:before="280" w:lineRule="auto"/>
        <w:rPr>
          <w:color w:val="000000"/>
          <w:sz w:val="20"/>
          <w:szCs w:val="20"/>
        </w:rPr>
      </w:pPr>
      <w:bookmarkStart w:colFirst="0" w:colLast="0" w:name="_dyz5ox2yyv3n" w:id="3"/>
      <w:bookmarkEnd w:id="3"/>
      <w:r w:rsidDel="00000000" w:rsidR="00000000" w:rsidRPr="00000000">
        <w:rPr>
          <w:b w:val="1"/>
          <w:bCs w:val="1"/>
          <w:color w:val="000000"/>
          <w:sz w:val="20"/>
          <w:szCs w:val="20"/>
          <w:rtl w:val="0"/>
        </w:rPr>
        <w:t xml:space="preserve">Asthma Prevalence:Not Diagnosed:</w:t>
      </w:r>
      <w:r w:rsidDel="00000000" w:rsidR="00000000" w:rsidRPr="00000000">
        <w:rPr>
          <w:color w:val="000000"/>
          <w:sz w:val="20"/>
          <w:szCs w:val="20"/>
          <w:rtl w:val="0"/>
        </w:rPr>
        <w:t xml:space="preserve"> 85.24% </w:t>
      </w:r>
      <w:r w:rsidDel="00000000" w:rsidR="00000000" w:rsidRPr="00000000">
        <w:rPr>
          <w:b w:val="1"/>
          <w:bCs w:val="1"/>
          <w:color w:val="000000"/>
          <w:sz w:val="20"/>
          <w:szCs w:val="20"/>
          <w:rtl w:val="0"/>
        </w:rPr>
        <w:t xml:space="preserve">Diagnosed:</w:t>
      </w:r>
      <w:r w:rsidDel="00000000" w:rsidR="00000000" w:rsidRPr="00000000">
        <w:rPr>
          <w:color w:val="000000"/>
          <w:sz w:val="20"/>
          <w:szCs w:val="20"/>
          <w:rtl w:val="0"/>
        </w:rPr>
        <w:t xml:space="preserve"> 14.76% — may need targeted monitoring.</w:t>
      </w:r>
    </w:p>
    <w:p w:rsidR="00000000" w:rsidDel="00000000" w:rsidP="00000000" w:rsidRDefault="00000000" w:rsidRPr="00000000" w14:paraId="0000000C">
      <w:pPr>
        <w:pStyle w:val="Heading3"/>
        <w:keepNext w:val="0"/>
        <w:keepLines w:val="0"/>
        <w:spacing w:before="280" w:lineRule="auto"/>
        <w:rPr>
          <w:color w:val="000000"/>
          <w:sz w:val="20"/>
          <w:szCs w:val="20"/>
        </w:rPr>
      </w:pPr>
      <w:bookmarkStart w:colFirst="0" w:colLast="0" w:name="_cutdqs1whz8q" w:id="4"/>
      <w:bookmarkEnd w:id="4"/>
      <w:r w:rsidDel="00000000" w:rsidR="00000000" w:rsidRPr="00000000">
        <w:rPr>
          <w:b w:val="1"/>
          <w:bCs w:val="1"/>
          <w:color w:val="000000"/>
          <w:sz w:val="20"/>
          <w:szCs w:val="20"/>
          <w:rtl w:val="0"/>
        </w:rPr>
        <w:t xml:space="preserve">BMI Distribution: Normal:</w:t>
      </w:r>
      <w:r w:rsidDel="00000000" w:rsidR="00000000" w:rsidRPr="00000000">
        <w:rPr>
          <w:color w:val="000000"/>
          <w:sz w:val="20"/>
          <w:szCs w:val="20"/>
          <w:rtl w:val="0"/>
        </w:rPr>
        <w:t xml:space="preserve"> 45.44% </w:t>
      </w:r>
      <w:r w:rsidDel="00000000" w:rsidR="00000000" w:rsidRPr="00000000">
        <w:rPr>
          <w:b w:val="1"/>
          <w:bCs w:val="1"/>
          <w:color w:val="000000"/>
          <w:sz w:val="20"/>
          <w:szCs w:val="20"/>
          <w:rtl w:val="0"/>
        </w:rPr>
        <w:t xml:space="preserve">Overweight + Obese:</w:t>
      </w:r>
      <w:r w:rsidDel="00000000" w:rsidR="00000000" w:rsidRPr="00000000">
        <w:rPr>
          <w:color w:val="000000"/>
          <w:sz w:val="20"/>
          <w:szCs w:val="20"/>
          <w:rtl w:val="0"/>
        </w:rPr>
        <w:t xml:space="preserve"> 53.08% — elevated risk for metabolic conditions. </w:t>
      </w:r>
      <w:r w:rsidDel="00000000" w:rsidR="00000000" w:rsidRPr="00000000">
        <w:rPr>
          <w:b w:val="1"/>
          <w:bCs w:val="1"/>
          <w:color w:val="000000"/>
          <w:sz w:val="20"/>
          <w:szCs w:val="20"/>
          <w:rtl w:val="0"/>
        </w:rPr>
        <w:t xml:space="preserve">Underweight:</w:t>
      </w:r>
      <w:r w:rsidDel="00000000" w:rsidR="00000000" w:rsidRPr="00000000">
        <w:rPr>
          <w:color w:val="000000"/>
          <w:sz w:val="20"/>
          <w:szCs w:val="20"/>
          <w:rtl w:val="0"/>
        </w:rPr>
        <w:t xml:space="preserve"> 1.49%</w:t>
      </w:r>
    </w:p>
    <w:p w:rsidR="00000000" w:rsidDel="00000000" w:rsidP="00000000" w:rsidRDefault="00000000" w:rsidRPr="00000000" w14:paraId="0000000D">
      <w:pPr>
        <w:pStyle w:val="Heading3"/>
        <w:keepNext w:val="0"/>
        <w:keepLines w:val="0"/>
        <w:spacing w:before="280" w:lineRule="auto"/>
        <w:rPr>
          <w:color w:val="000000"/>
          <w:sz w:val="20"/>
          <w:szCs w:val="20"/>
        </w:rPr>
      </w:pPr>
      <w:bookmarkStart w:colFirst="0" w:colLast="0" w:name="_5wd43oxvg1g0" w:id="5"/>
      <w:bookmarkEnd w:id="5"/>
      <w:r w:rsidDel="00000000" w:rsidR="00000000" w:rsidRPr="00000000">
        <w:rPr>
          <w:b w:val="1"/>
          <w:bCs w:val="1"/>
          <w:color w:val="000000"/>
          <w:sz w:val="20"/>
          <w:szCs w:val="20"/>
          <w:rtl w:val="0"/>
        </w:rPr>
        <w:t xml:space="preserve">HbA1c Categories :Normal:</w:t>
      </w:r>
      <w:r w:rsidDel="00000000" w:rsidR="00000000" w:rsidRPr="00000000">
        <w:rPr>
          <w:color w:val="000000"/>
          <w:sz w:val="20"/>
          <w:szCs w:val="20"/>
          <w:rtl w:val="0"/>
        </w:rPr>
        <w:t xml:space="preserve"> 94.69% </w:t>
      </w:r>
      <w:r w:rsidDel="00000000" w:rsidR="00000000" w:rsidRPr="00000000">
        <w:rPr>
          <w:b w:val="1"/>
          <w:bCs w:val="1"/>
          <w:color w:val="000000"/>
          <w:sz w:val="20"/>
          <w:szCs w:val="20"/>
          <w:rtl w:val="0"/>
        </w:rPr>
        <w:t xml:space="preserve">Prediabetic:</w:t>
      </w:r>
      <w:r w:rsidDel="00000000" w:rsidR="00000000" w:rsidRPr="00000000">
        <w:rPr>
          <w:color w:val="000000"/>
          <w:sz w:val="20"/>
          <w:szCs w:val="20"/>
          <w:rtl w:val="0"/>
        </w:rPr>
        <w:t xml:space="preserve"> 4.56% </w:t>
      </w:r>
      <w:r w:rsidDel="00000000" w:rsidR="00000000" w:rsidRPr="00000000">
        <w:rPr>
          <w:b w:val="1"/>
          <w:bCs w:val="1"/>
          <w:color w:val="000000"/>
          <w:sz w:val="20"/>
          <w:szCs w:val="20"/>
          <w:rtl w:val="0"/>
        </w:rPr>
        <w:t xml:space="preserve">Diabetic:</w:t>
      </w:r>
      <w:r w:rsidDel="00000000" w:rsidR="00000000" w:rsidRPr="00000000">
        <w:rPr>
          <w:color w:val="000000"/>
          <w:sz w:val="20"/>
          <w:szCs w:val="20"/>
          <w:rtl w:val="0"/>
        </w:rPr>
        <w:t xml:space="preserve"> 0.74% — suggests strong glycemic control or early intervention.</w:t>
      </w:r>
    </w:p>
    <w:p w:rsidR="00000000" w:rsidDel="00000000" w:rsidP="00000000" w:rsidRDefault="00000000" w:rsidRPr="00000000" w14:paraId="0000000E">
      <w:pPr>
        <w:pStyle w:val="Heading3"/>
        <w:keepNext w:val="0"/>
        <w:keepLines w:val="0"/>
        <w:spacing w:before="280" w:lineRule="auto"/>
        <w:rPr>
          <w:color w:val="000000"/>
          <w:sz w:val="20"/>
          <w:szCs w:val="20"/>
        </w:rPr>
      </w:pPr>
      <w:bookmarkStart w:colFirst="0" w:colLast="0" w:name="_4y50tmdycz3e" w:id="6"/>
      <w:bookmarkEnd w:id="6"/>
      <w:r w:rsidDel="00000000" w:rsidR="00000000" w:rsidRPr="00000000">
        <w:rPr>
          <w:b w:val="1"/>
          <w:bCs w:val="1"/>
          <w:color w:val="000000"/>
          <w:sz w:val="20"/>
          <w:szCs w:val="20"/>
          <w:rtl w:val="0"/>
        </w:rPr>
        <w:t xml:space="preserve">Hemoglobin Status:Normal:</w:t>
      </w:r>
      <w:r w:rsidDel="00000000" w:rsidR="00000000" w:rsidRPr="00000000">
        <w:rPr>
          <w:color w:val="000000"/>
          <w:sz w:val="20"/>
          <w:szCs w:val="20"/>
          <w:rtl w:val="0"/>
        </w:rPr>
        <w:t xml:space="preserve"> 79.09%  </w:t>
      </w:r>
      <w:r w:rsidDel="00000000" w:rsidR="00000000" w:rsidRPr="00000000">
        <w:rPr>
          <w:b w:val="1"/>
          <w:bCs w:val="1"/>
          <w:color w:val="000000"/>
          <w:sz w:val="20"/>
          <w:szCs w:val="20"/>
          <w:rtl w:val="0"/>
        </w:rPr>
        <w:t xml:space="preserve">Low:</w:t>
      </w:r>
      <w:r w:rsidDel="00000000" w:rsidR="00000000" w:rsidRPr="00000000">
        <w:rPr>
          <w:color w:val="000000"/>
          <w:sz w:val="20"/>
          <w:szCs w:val="20"/>
          <w:rtl w:val="0"/>
        </w:rPr>
        <w:t xml:space="preserve"> 20.91% — may indicate anemia or chronic disease.</w:t>
      </w:r>
    </w:p>
    <w:p w:rsidR="00000000" w:rsidDel="00000000" w:rsidP="00000000" w:rsidRDefault="00000000" w:rsidRPr="00000000" w14:paraId="0000000F">
      <w:pPr>
        <w:pStyle w:val="Heading3"/>
        <w:keepNext w:val="0"/>
        <w:keepLines w:val="0"/>
        <w:spacing w:before="280" w:lineRule="auto"/>
        <w:rPr>
          <w:color w:val="000000"/>
          <w:sz w:val="20"/>
          <w:szCs w:val="20"/>
        </w:rPr>
      </w:pPr>
      <w:bookmarkStart w:colFirst="0" w:colLast="0" w:name="_m038fimqlz8b" w:id="7"/>
      <w:bookmarkEnd w:id="7"/>
      <w:r w:rsidDel="00000000" w:rsidR="00000000" w:rsidRPr="00000000">
        <w:rPr>
          <w:b w:val="1"/>
          <w:bCs w:val="1"/>
          <w:color w:val="000000"/>
          <w:sz w:val="20"/>
          <w:szCs w:val="20"/>
          <w:rtl w:val="0"/>
        </w:rPr>
        <w:t xml:space="preserve">Blood Pressure Overview :Normal:</w:t>
      </w:r>
      <w:r w:rsidDel="00000000" w:rsidR="00000000" w:rsidRPr="00000000">
        <w:rPr>
          <w:color w:val="000000"/>
          <w:sz w:val="20"/>
          <w:szCs w:val="20"/>
          <w:rtl w:val="0"/>
        </w:rPr>
        <w:t xml:space="preserve"> 65.71% </w:t>
      </w:r>
      <w:r w:rsidDel="00000000" w:rsidR="00000000" w:rsidRPr="00000000">
        <w:rPr>
          <w:b w:val="1"/>
          <w:bCs w:val="1"/>
          <w:color w:val="000000"/>
          <w:sz w:val="20"/>
          <w:szCs w:val="20"/>
          <w:rtl w:val="0"/>
        </w:rPr>
        <w:t xml:space="preserve">Elevated + Stage 1 Hypertension:</w:t>
      </w:r>
      <w:r w:rsidDel="00000000" w:rsidR="00000000" w:rsidRPr="00000000">
        <w:rPr>
          <w:color w:val="000000"/>
          <w:sz w:val="20"/>
          <w:szCs w:val="20"/>
          <w:rtl w:val="0"/>
        </w:rPr>
        <w:t xml:space="preserve"> 33.97% </w:t>
      </w:r>
      <w:r w:rsidDel="00000000" w:rsidR="00000000" w:rsidRPr="00000000">
        <w:rPr>
          <w:b w:val="1"/>
          <w:bCs w:val="1"/>
          <w:color w:val="000000"/>
          <w:sz w:val="20"/>
          <w:szCs w:val="20"/>
          <w:rtl w:val="0"/>
        </w:rPr>
        <w:t xml:space="preserve">Variation Chart:</w:t>
      </w:r>
      <w:r w:rsidDel="00000000" w:rsidR="00000000" w:rsidRPr="00000000">
        <w:rPr>
          <w:rFonts w:ascii="Arial Unicode MS" w:cs="Arial Unicode MS" w:eastAsia="Arial Unicode MS" w:hAnsi="Arial Unicode MS"/>
          <w:color w:val="000000"/>
          <w:sz w:val="20"/>
          <w:szCs w:val="20"/>
          <w:rtl w:val="0"/>
        </w:rPr>
        <w:t xml:space="preserve"> Some patients show systolic ≥140 or diastolic ≥90 — potential hypertensive cases.</w:t>
      </w:r>
    </w:p>
    <w:p w:rsidR="00000000" w:rsidDel="00000000" w:rsidP="00000000" w:rsidRDefault="00000000" w:rsidRPr="00000000" w14:paraId="00000010">
      <w:pPr>
        <w:pStyle w:val="Heading3"/>
        <w:keepNext w:val="0"/>
        <w:keepLines w:val="0"/>
        <w:spacing w:before="280" w:lineRule="auto"/>
        <w:rPr>
          <w:color w:val="000000"/>
          <w:sz w:val="20"/>
          <w:szCs w:val="20"/>
        </w:rPr>
      </w:pPr>
      <w:bookmarkStart w:colFirst="0" w:colLast="0" w:name="_9w5jv6c6z993" w:id="8"/>
      <w:bookmarkEnd w:id="8"/>
      <w:r w:rsidDel="00000000" w:rsidR="00000000" w:rsidRPr="00000000">
        <w:rPr>
          <w:b w:val="1"/>
          <w:bCs w:val="1"/>
          <w:color w:val="000000"/>
          <w:sz w:val="20"/>
          <w:szCs w:val="20"/>
          <w:rtl w:val="0"/>
        </w:rPr>
        <w:t xml:space="preserve">Chronic Hypertension Treatment:Donut Chart:</w:t>
      </w:r>
      <w:r w:rsidDel="00000000" w:rsidR="00000000" w:rsidRPr="00000000">
        <w:rPr>
          <w:color w:val="000000"/>
          <w:sz w:val="20"/>
          <w:szCs w:val="20"/>
          <w:rtl w:val="0"/>
        </w:rPr>
        <w:t xml:space="preserve"> Shows distribution across treatment types (details not specified).</w:t>
      </w:r>
    </w:p>
    <w:p w:rsidR="00000000" w:rsidDel="00000000" w:rsidP="00000000" w:rsidRDefault="00000000" w:rsidRPr="00000000" w14:paraId="00000011">
      <w:pPr>
        <w:pStyle w:val="Heading3"/>
        <w:keepNext w:val="0"/>
        <w:keepLines w:val="0"/>
        <w:spacing w:before="280" w:lineRule="auto"/>
        <w:rPr>
          <w:sz w:val="20"/>
          <w:szCs w:val="20"/>
        </w:rPr>
      </w:pPr>
      <w:bookmarkStart w:colFirst="0" w:colLast="0" w:name="_ewmv8kkqo5d6" w:id="9"/>
      <w:bookmarkEnd w:id="9"/>
      <w:r w:rsidDel="00000000" w:rsidR="00000000" w:rsidRPr="00000000">
        <w:rPr>
          <w:b w:val="1"/>
          <w:bCs w:val="1"/>
          <w:color w:val="000000"/>
          <w:sz w:val="20"/>
          <w:szCs w:val="20"/>
          <w:rtl w:val="0"/>
        </w:rPr>
        <w:t xml:space="preserve">Mental Health &amp; BP:Insight:</w:t>
      </w:r>
      <w:r w:rsidDel="00000000" w:rsidR="00000000" w:rsidRPr="00000000">
        <w:rPr>
          <w:color w:val="000000"/>
          <w:sz w:val="20"/>
          <w:szCs w:val="20"/>
          <w:rtl w:val="0"/>
        </w:rPr>
        <w:t xml:space="preserve"> Elevated BP may correlate with anxiety/depression history — warrants further study</w:t>
      </w:r>
      <w:r w:rsidDel="00000000" w:rsidR="00000000" w:rsidRPr="00000000">
        <w:rPr>
          <w:sz w:val="20"/>
          <w:szCs w:val="20"/>
          <w:rtl w:val="0"/>
        </w:rPr>
        <w:t xml:space="preserve">.</w:t>
      </w:r>
    </w:p>
    <w:p w:rsidR="00000000" w:rsidDel="00000000" w:rsidP="00000000" w:rsidRDefault="00000000" w:rsidRPr="00000000" w14:paraId="00000012">
      <w:pPr>
        <w:pStyle w:val="Heading2"/>
        <w:keepNext w:val="0"/>
        <w:keepLines w:val="0"/>
        <w:spacing w:after="80" w:lineRule="auto"/>
        <w:rPr>
          <w:sz w:val="20"/>
          <w:szCs w:val="20"/>
          <w:u w:val="single"/>
        </w:rPr>
      </w:pPr>
      <w:bookmarkStart w:colFirst="0" w:colLast="0" w:name="_6uaxto1vi5qc" w:id="10"/>
      <w:bookmarkEnd w:id="10"/>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sz w:val="20"/>
          <w:szCs w:val="20"/>
          <w:u w:val="single"/>
        </w:rPr>
      </w:pPr>
      <w:bookmarkStart w:colFirst="0" w:colLast="0" w:name="_c6m9frk9w0ox" w:id="11"/>
      <w:bookmarkEnd w:id="11"/>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sz w:val="20"/>
          <w:szCs w:val="20"/>
          <w:u w:val="single"/>
        </w:rPr>
      </w:pPr>
      <w:bookmarkStart w:colFirst="0" w:colLast="0" w:name="_e6ce8uf8efeu" w:id="12"/>
      <w:bookmarkEnd w:id="12"/>
      <w:r w:rsidDel="00000000" w:rsidR="00000000" w:rsidRPr="00000000">
        <w:rPr>
          <w:sz w:val="20"/>
          <w:szCs w:val="20"/>
          <w:u w:val="single"/>
          <w:rtl w:val="0"/>
        </w:rPr>
        <w:t xml:space="preserve">DASHBOARD 2</w:t>
      </w:r>
    </w:p>
    <w:p w:rsidR="00000000" w:rsidDel="00000000" w:rsidP="00000000" w:rsidRDefault="00000000" w:rsidRPr="00000000" w14:paraId="00000015">
      <w:pPr>
        <w:pStyle w:val="Heading3"/>
        <w:keepNext w:val="0"/>
        <w:keepLines w:val="0"/>
        <w:spacing w:before="280" w:lineRule="auto"/>
        <w:rPr>
          <w:b w:val="1"/>
          <w:bCs w:val="1"/>
          <w:color w:val="000000"/>
          <w:sz w:val="20"/>
          <w:szCs w:val="20"/>
        </w:rPr>
      </w:pPr>
      <w:bookmarkStart w:colFirst="0" w:colLast="0" w:name="_5gqax0jzc12z" w:id="13"/>
      <w:bookmarkEnd w:id="13"/>
      <w:r w:rsidDel="00000000" w:rsidR="00000000" w:rsidRPr="00000000">
        <w:rPr>
          <w:b w:val="1"/>
          <w:bCs w:val="1"/>
          <w:color w:val="000000"/>
          <w:sz w:val="20"/>
          <w:szCs w:val="20"/>
          <w:rtl w:val="0"/>
        </w:rPr>
        <w:t xml:space="preserve">Maternal Vital Trends</w:t>
      </w:r>
    </w:p>
    <w:p w:rsidR="00000000" w:rsidDel="00000000" w:rsidP="00000000" w:rsidRDefault="00000000" w:rsidRPr="00000000" w14:paraId="00000016">
      <w:pPr>
        <w:spacing w:after="240" w:before="240" w:lineRule="auto"/>
        <w:rPr>
          <w:sz w:val="20"/>
          <w:szCs w:val="20"/>
        </w:rPr>
      </w:pPr>
      <w:r w:rsidDel="00000000" w:rsidR="00000000" w:rsidRPr="00000000">
        <w:rPr>
          <w:sz w:val="20"/>
          <w:szCs w:val="20"/>
          <w:rtl w:val="0"/>
        </w:rPr>
        <w:t xml:space="preserve">Maternal health indicators remained stable throughout the year. Average maternal weight fluctuated slightly between </w:t>
      </w:r>
      <w:r w:rsidDel="00000000" w:rsidR="00000000" w:rsidRPr="00000000">
        <w:rPr>
          <w:b w:val="1"/>
          <w:bCs w:val="1"/>
          <w:sz w:val="20"/>
          <w:szCs w:val="20"/>
          <w:rtl w:val="0"/>
        </w:rPr>
        <w:t xml:space="preserve">78–81 kg</w:t>
      </w:r>
      <w:r w:rsidDel="00000000" w:rsidR="00000000" w:rsidRPr="00000000">
        <w:rPr>
          <w:sz w:val="20"/>
          <w:szCs w:val="20"/>
          <w:rtl w:val="0"/>
        </w:rPr>
        <w:t xml:space="preserve">, peaking in </w:t>
      </w:r>
      <w:r w:rsidDel="00000000" w:rsidR="00000000" w:rsidRPr="00000000">
        <w:rPr>
          <w:b w:val="1"/>
          <w:bCs w:val="1"/>
          <w:sz w:val="20"/>
          <w:szCs w:val="20"/>
          <w:rtl w:val="0"/>
        </w:rPr>
        <w:t xml:space="preserve">May (81.01 kg)</w:t>
      </w:r>
      <w:r w:rsidDel="00000000" w:rsidR="00000000" w:rsidRPr="00000000">
        <w:rPr>
          <w:sz w:val="20"/>
          <w:szCs w:val="20"/>
          <w:rtl w:val="0"/>
        </w:rPr>
        <w:t xml:space="preserve"> and </w:t>
      </w:r>
      <w:r w:rsidDel="00000000" w:rsidR="00000000" w:rsidRPr="00000000">
        <w:rPr>
          <w:b w:val="1"/>
          <w:bCs w:val="1"/>
          <w:sz w:val="20"/>
          <w:szCs w:val="20"/>
          <w:rtl w:val="0"/>
        </w:rPr>
        <w:t xml:space="preserve">November (81.17 kg)</w:t>
      </w:r>
      <w:r w:rsidDel="00000000" w:rsidR="00000000" w:rsidRPr="00000000">
        <w:rPr>
          <w:sz w:val="20"/>
          <w:szCs w:val="20"/>
          <w:rtl w:val="0"/>
        </w:rPr>
        <w:t xml:space="preserve">. </w:t>
      </w:r>
      <w:r w:rsidDel="00000000" w:rsidR="00000000" w:rsidRPr="00000000">
        <w:rPr>
          <w:b w:val="1"/>
          <w:bCs w:val="1"/>
          <w:sz w:val="20"/>
          <w:szCs w:val="20"/>
          <w:rtl w:val="0"/>
        </w:rPr>
        <w:t xml:space="preserve">Systolic blood pressure</w:t>
      </w:r>
      <w:r w:rsidDel="00000000" w:rsidR="00000000" w:rsidRPr="00000000">
        <w:rPr>
          <w:sz w:val="20"/>
          <w:szCs w:val="20"/>
          <w:rtl w:val="0"/>
        </w:rPr>
        <w:t xml:space="preserve"> showed a similarly steady pattern, ranging from </w:t>
      </w:r>
      <w:r w:rsidDel="00000000" w:rsidR="00000000" w:rsidRPr="00000000">
        <w:rPr>
          <w:b w:val="1"/>
          <w:bCs w:val="1"/>
          <w:sz w:val="20"/>
          <w:szCs w:val="20"/>
          <w:rtl w:val="0"/>
        </w:rPr>
        <w:t xml:space="preserve">116–118 mmHg</w:t>
      </w:r>
      <w:r w:rsidDel="00000000" w:rsidR="00000000" w:rsidRPr="00000000">
        <w:rPr>
          <w:sz w:val="20"/>
          <w:szCs w:val="20"/>
          <w:rtl w:val="0"/>
        </w:rPr>
        <w:t xml:space="preserve">, with the highest readings in </w:t>
      </w:r>
      <w:r w:rsidDel="00000000" w:rsidR="00000000" w:rsidRPr="00000000">
        <w:rPr>
          <w:b w:val="1"/>
          <w:bCs w:val="1"/>
          <w:sz w:val="20"/>
          <w:szCs w:val="20"/>
          <w:rtl w:val="0"/>
        </w:rPr>
        <w:t xml:space="preserve">January (118.31 mmHg)</w:t>
      </w:r>
      <w:r w:rsidDel="00000000" w:rsidR="00000000" w:rsidRPr="00000000">
        <w:rPr>
          <w:sz w:val="20"/>
          <w:szCs w:val="20"/>
          <w:rtl w:val="0"/>
        </w:rPr>
        <w:t xml:space="preserve"> and </w:t>
      </w:r>
      <w:r w:rsidDel="00000000" w:rsidR="00000000" w:rsidRPr="00000000">
        <w:rPr>
          <w:b w:val="1"/>
          <w:bCs w:val="1"/>
          <w:sz w:val="20"/>
          <w:szCs w:val="20"/>
          <w:rtl w:val="0"/>
        </w:rPr>
        <w:t xml:space="preserve">November (118.24 mmHg)</w:t>
      </w:r>
      <w:r w:rsidDel="00000000" w:rsidR="00000000" w:rsidRPr="00000000">
        <w:rPr>
          <w:sz w:val="20"/>
          <w:szCs w:val="20"/>
          <w:rtl w:val="0"/>
        </w:rPr>
        <w:t xml:space="preserve">. These consistent patterns indicate stable maternal health across months.</w:t>
      </w:r>
    </w:p>
    <w:p w:rsidR="00000000" w:rsidDel="00000000" w:rsidP="00000000" w:rsidRDefault="00000000" w:rsidRPr="00000000" w14:paraId="00000017">
      <w:pPr>
        <w:pStyle w:val="Heading3"/>
        <w:keepNext w:val="0"/>
        <w:keepLines w:val="0"/>
        <w:spacing w:before="280" w:lineRule="auto"/>
        <w:rPr>
          <w:b w:val="1"/>
          <w:bCs w:val="1"/>
          <w:color w:val="000000"/>
          <w:sz w:val="20"/>
          <w:szCs w:val="20"/>
        </w:rPr>
      </w:pPr>
      <w:bookmarkStart w:colFirst="0" w:colLast="0" w:name="_dlclku5x6flr" w:id="14"/>
      <w:bookmarkEnd w:id="14"/>
      <w:r w:rsidDel="00000000" w:rsidR="00000000" w:rsidRPr="00000000">
        <w:rPr>
          <w:b w:val="1"/>
          <w:bCs w:val="1"/>
          <w:color w:val="000000"/>
          <w:sz w:val="20"/>
          <w:szCs w:val="20"/>
          <w:rtl w:val="0"/>
        </w:rPr>
        <w:t xml:space="preserve">Ultrasound Visits and GDM Patterns</w:t>
      </w:r>
    </w:p>
    <w:p w:rsidR="00000000" w:rsidDel="00000000" w:rsidP="00000000" w:rsidRDefault="00000000" w:rsidRPr="00000000" w14:paraId="00000018">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highest number of ultrasound visits occurred in 2020</w:t>
      </w:r>
      <w:r w:rsidDel="00000000" w:rsidR="00000000" w:rsidRPr="00000000">
        <w:rPr>
          <w:sz w:val="20"/>
          <w:szCs w:val="20"/>
          <w:rtl w:val="0"/>
        </w:rPr>
        <w:t xml:space="preserve">, primarily for </w:t>
      </w:r>
      <w:r w:rsidDel="00000000" w:rsidR="00000000" w:rsidRPr="00000000">
        <w:rPr>
          <w:b w:val="1"/>
          <w:bCs w:val="1"/>
          <w:sz w:val="20"/>
          <w:szCs w:val="20"/>
          <w:rtl w:val="0"/>
        </w:rPr>
        <w:t xml:space="preserve">Dating scans</w:t>
      </w:r>
      <w:r w:rsidDel="00000000" w:rsidR="00000000" w:rsidRPr="00000000">
        <w:rPr>
          <w:sz w:val="20"/>
          <w:szCs w:val="20"/>
          <w:rtl w:val="0"/>
        </w:rPr>
        <w:t xml:space="preserve">. Participants </w:t>
      </w:r>
      <w:r w:rsidDel="00000000" w:rsidR="00000000" w:rsidRPr="00000000">
        <w:rPr>
          <w:b w:val="1"/>
          <w:bCs w:val="1"/>
          <w:sz w:val="20"/>
          <w:szCs w:val="20"/>
          <w:rtl w:val="0"/>
        </w:rPr>
        <w:t xml:space="preserve">without GDM</w:t>
      </w:r>
      <w:r w:rsidDel="00000000" w:rsidR="00000000" w:rsidRPr="00000000">
        <w:rPr>
          <w:sz w:val="20"/>
          <w:szCs w:val="20"/>
          <w:rtl w:val="0"/>
        </w:rPr>
        <w:t xml:space="preserve"> represented the majority across all years, while </w:t>
      </w:r>
      <w:r w:rsidDel="00000000" w:rsidR="00000000" w:rsidRPr="00000000">
        <w:rPr>
          <w:b w:val="1"/>
          <w:bCs w:val="1"/>
          <w:sz w:val="20"/>
          <w:szCs w:val="20"/>
          <w:rtl w:val="0"/>
        </w:rPr>
        <w:t xml:space="preserve">GDM-positive</w:t>
      </w:r>
      <w:r w:rsidDel="00000000" w:rsidR="00000000" w:rsidRPr="00000000">
        <w:rPr>
          <w:sz w:val="20"/>
          <w:szCs w:val="20"/>
          <w:rtl w:val="0"/>
        </w:rPr>
        <w:t xml:space="preserve"> cases peaked in 2020 before declining slightly in 2021. Despite fluctuations in total visits, the proportion between GDM and non-GDM groups remained consistent, suggesting </w:t>
      </w:r>
      <w:r w:rsidDel="00000000" w:rsidR="00000000" w:rsidRPr="00000000">
        <w:rPr>
          <w:b w:val="1"/>
          <w:bCs w:val="1"/>
          <w:sz w:val="20"/>
          <w:szCs w:val="20"/>
          <w:rtl w:val="0"/>
        </w:rPr>
        <w:t xml:space="preserve">strong prenatal monitoring continuity</w:t>
      </w:r>
      <w:r w:rsidDel="00000000" w:rsidR="00000000" w:rsidRPr="00000000">
        <w:rPr>
          <w:sz w:val="20"/>
          <w:szCs w:val="20"/>
          <w:rtl w:val="0"/>
        </w:rPr>
        <w:t xml:space="preserve">.</w:t>
      </w:r>
    </w:p>
    <w:p w:rsidR="00000000" w:rsidDel="00000000" w:rsidP="00000000" w:rsidRDefault="00000000" w:rsidRPr="00000000" w14:paraId="00000019">
      <w:pPr>
        <w:pStyle w:val="Heading3"/>
        <w:keepNext w:val="0"/>
        <w:keepLines w:val="0"/>
        <w:spacing w:before="280" w:lineRule="auto"/>
        <w:rPr>
          <w:b w:val="1"/>
          <w:bCs w:val="1"/>
          <w:color w:val="000000"/>
          <w:sz w:val="20"/>
          <w:szCs w:val="20"/>
        </w:rPr>
      </w:pPr>
      <w:bookmarkStart w:colFirst="0" w:colLast="0" w:name="_n41blx4x6yh6" w:id="15"/>
      <w:bookmarkEnd w:id="15"/>
      <w:r w:rsidDel="00000000" w:rsidR="00000000" w:rsidRPr="00000000">
        <w:rPr>
          <w:b w:val="1"/>
          <w:bCs w:val="1"/>
          <w:color w:val="000000"/>
          <w:sz w:val="20"/>
          <w:szCs w:val="20"/>
          <w:rtl w:val="0"/>
        </w:rPr>
        <w:t xml:space="preserve">Fetal Health Overview</w:t>
      </w:r>
    </w:p>
    <w:p w:rsidR="00000000" w:rsidDel="00000000" w:rsidP="00000000" w:rsidRDefault="00000000" w:rsidRPr="00000000" w14:paraId="0000001A">
      <w:pPr>
        <w:spacing w:after="240" w:before="240" w:lineRule="auto"/>
        <w:rPr>
          <w:sz w:val="20"/>
          <w:szCs w:val="20"/>
        </w:rPr>
      </w:pPr>
      <w:r w:rsidDel="00000000" w:rsidR="00000000" w:rsidRPr="00000000">
        <w:rPr>
          <w:sz w:val="20"/>
          <w:szCs w:val="20"/>
          <w:rtl w:val="0"/>
        </w:rPr>
        <w:t xml:space="preserve">Fetal heart rate (FetalHR) values generally ranged from </w:t>
      </w:r>
      <w:r w:rsidDel="00000000" w:rsidR="00000000" w:rsidRPr="00000000">
        <w:rPr>
          <w:b w:val="1"/>
          <w:bCs w:val="1"/>
          <w:sz w:val="20"/>
          <w:szCs w:val="20"/>
          <w:rtl w:val="0"/>
        </w:rPr>
        <w:t xml:space="preserve">120–160 bpm</w:t>
      </w:r>
      <w:r w:rsidDel="00000000" w:rsidR="00000000" w:rsidRPr="00000000">
        <w:rPr>
          <w:sz w:val="20"/>
          <w:szCs w:val="20"/>
          <w:rtl w:val="0"/>
        </w:rPr>
        <w:t xml:space="preserve">, with most readings classified as </w:t>
      </w:r>
      <w:r w:rsidDel="00000000" w:rsidR="00000000" w:rsidRPr="00000000">
        <w:rPr>
          <w:b w:val="1"/>
          <w:bCs w:val="1"/>
          <w:sz w:val="20"/>
          <w:szCs w:val="20"/>
          <w:rtl w:val="0"/>
        </w:rPr>
        <w:t xml:space="preserve">normal (green)</w:t>
      </w:r>
      <w:r w:rsidDel="00000000" w:rsidR="00000000" w:rsidRPr="00000000">
        <w:rPr>
          <w:sz w:val="20"/>
          <w:szCs w:val="20"/>
          <w:rtl w:val="0"/>
        </w:rPr>
        <w:t xml:space="preserve">. Occasional </w:t>
      </w:r>
      <w:r w:rsidDel="00000000" w:rsidR="00000000" w:rsidRPr="00000000">
        <w:rPr>
          <w:b w:val="1"/>
          <w:bCs w:val="1"/>
          <w:sz w:val="20"/>
          <w:szCs w:val="20"/>
          <w:rtl w:val="0"/>
        </w:rPr>
        <w:t xml:space="preserve">abnormal readings (red)</w:t>
      </w:r>
      <w:r w:rsidDel="00000000" w:rsidR="00000000" w:rsidRPr="00000000">
        <w:rPr>
          <w:sz w:val="20"/>
          <w:szCs w:val="20"/>
          <w:rtl w:val="0"/>
        </w:rPr>
        <w:t xml:space="preserve"> appeared between </w:t>
      </w:r>
      <w:r w:rsidDel="00000000" w:rsidR="00000000" w:rsidRPr="00000000">
        <w:rPr>
          <w:b w:val="1"/>
          <w:bCs w:val="1"/>
          <w:sz w:val="20"/>
          <w:szCs w:val="20"/>
          <w:rtl w:val="0"/>
        </w:rPr>
        <w:t xml:space="preserve">10–40 gestational weeks</w:t>
      </w:r>
      <w:r w:rsidDel="00000000" w:rsidR="00000000" w:rsidRPr="00000000">
        <w:rPr>
          <w:sz w:val="20"/>
          <w:szCs w:val="20"/>
          <w:rtl w:val="0"/>
        </w:rPr>
        <w:t xml:space="preserve">, particularly from </w:t>
      </w:r>
      <w:r w:rsidDel="00000000" w:rsidR="00000000" w:rsidRPr="00000000">
        <w:rPr>
          <w:b w:val="1"/>
          <w:bCs w:val="1"/>
          <w:sz w:val="20"/>
          <w:szCs w:val="20"/>
          <w:rtl w:val="0"/>
        </w:rPr>
        <w:t xml:space="preserve">20–35 weeks</w:t>
      </w:r>
      <w:r w:rsidDel="00000000" w:rsidR="00000000" w:rsidRPr="00000000">
        <w:rPr>
          <w:sz w:val="20"/>
          <w:szCs w:val="20"/>
          <w:rtl w:val="0"/>
        </w:rPr>
        <w:t xml:space="preserve">, though no clear correlation emerged with gestational age. This reflects overall </w:t>
      </w:r>
      <w:r w:rsidDel="00000000" w:rsidR="00000000" w:rsidRPr="00000000">
        <w:rPr>
          <w:b w:val="1"/>
          <w:bCs w:val="1"/>
          <w:sz w:val="20"/>
          <w:szCs w:val="20"/>
          <w:rtl w:val="0"/>
        </w:rPr>
        <w:t xml:space="preserve">stable fetal development</w:t>
      </w:r>
      <w:r w:rsidDel="00000000" w:rsidR="00000000" w:rsidRPr="00000000">
        <w:rPr>
          <w:sz w:val="20"/>
          <w:szCs w:val="20"/>
          <w:rtl w:val="0"/>
        </w:rPr>
        <w:t xml:space="preserve"> and </w:t>
      </w:r>
      <w:r w:rsidDel="00000000" w:rsidR="00000000" w:rsidRPr="00000000">
        <w:rPr>
          <w:b w:val="1"/>
          <w:bCs w:val="1"/>
          <w:sz w:val="20"/>
          <w:szCs w:val="20"/>
          <w:rtl w:val="0"/>
        </w:rPr>
        <w:t xml:space="preserve">minimal abnormality incidence</w:t>
      </w:r>
      <w:r w:rsidDel="00000000" w:rsidR="00000000" w:rsidRPr="00000000">
        <w:rPr>
          <w:sz w:val="20"/>
          <w:szCs w:val="20"/>
          <w:rtl w:val="0"/>
        </w:rPr>
        <w:t xml:space="preserve">.</w:t>
      </w:r>
    </w:p>
    <w:p w:rsidR="00000000" w:rsidDel="00000000" w:rsidP="00000000" w:rsidRDefault="00000000" w:rsidRPr="00000000" w14:paraId="0000001B">
      <w:pPr>
        <w:pStyle w:val="Heading3"/>
        <w:keepNext w:val="0"/>
        <w:keepLines w:val="0"/>
        <w:spacing w:before="280" w:lineRule="auto"/>
        <w:rPr>
          <w:b w:val="1"/>
          <w:bCs w:val="1"/>
          <w:color w:val="000000"/>
          <w:sz w:val="20"/>
          <w:szCs w:val="20"/>
        </w:rPr>
      </w:pPr>
      <w:bookmarkStart w:colFirst="0" w:colLast="0" w:name="_1yr9lvpyufj" w:id="16"/>
      <w:bookmarkEnd w:id="16"/>
      <w:r w:rsidDel="00000000" w:rsidR="00000000" w:rsidRPr="00000000">
        <w:rPr>
          <w:b w:val="1"/>
          <w:bCs w:val="1"/>
          <w:color w:val="000000"/>
          <w:sz w:val="20"/>
          <w:szCs w:val="20"/>
          <w:rtl w:val="0"/>
        </w:rPr>
        <w:t xml:space="preserve">Ultrasound Timing and Patterns</w:t>
      </w:r>
    </w:p>
    <w:p w:rsidR="00000000" w:rsidDel="00000000" w:rsidP="00000000" w:rsidRDefault="00000000" w:rsidRPr="00000000" w14:paraId="0000001C">
      <w:pPr>
        <w:spacing w:after="240" w:before="240" w:lineRule="auto"/>
        <w:rPr>
          <w:sz w:val="20"/>
          <w:szCs w:val="20"/>
        </w:rPr>
      </w:pPr>
      <w:r w:rsidDel="00000000" w:rsidR="00000000" w:rsidRPr="00000000">
        <w:rPr>
          <w:sz w:val="20"/>
          <w:szCs w:val="20"/>
          <w:rtl w:val="0"/>
        </w:rPr>
        <w:t xml:space="preserve">Ultrasound scans followed a standard prenatal schedule across </w:t>
      </w:r>
      <w:r w:rsidDel="00000000" w:rsidR="00000000" w:rsidRPr="00000000">
        <w:rPr>
          <w:b w:val="1"/>
          <w:bCs w:val="1"/>
          <w:sz w:val="20"/>
          <w:szCs w:val="20"/>
          <w:rtl w:val="0"/>
        </w:rPr>
        <w:t xml:space="preserve">2019–2022</w:t>
      </w:r>
      <w:r w:rsidDel="00000000" w:rsidR="00000000" w:rsidRPr="00000000">
        <w:rPr>
          <w:sz w:val="20"/>
          <w:szCs w:val="20"/>
          <w:rtl w:val="0"/>
        </w:rPr>
        <w:t xml:space="preserve">, with </w:t>
      </w:r>
      <w:r w:rsidDel="00000000" w:rsidR="00000000" w:rsidRPr="00000000">
        <w:rPr>
          <w:b w:val="1"/>
          <w:bCs w:val="1"/>
          <w:sz w:val="20"/>
          <w:szCs w:val="20"/>
          <w:rtl w:val="0"/>
        </w:rPr>
        <w:t xml:space="preserve">Dating and Anatomical scans</w:t>
      </w:r>
      <w:r w:rsidDel="00000000" w:rsidR="00000000" w:rsidRPr="00000000">
        <w:rPr>
          <w:sz w:val="20"/>
          <w:szCs w:val="20"/>
          <w:rtl w:val="0"/>
        </w:rPr>
        <w:t xml:space="preserve"> between </w:t>
      </w:r>
      <w:r w:rsidDel="00000000" w:rsidR="00000000" w:rsidRPr="00000000">
        <w:rPr>
          <w:b w:val="1"/>
          <w:bCs w:val="1"/>
          <w:sz w:val="20"/>
          <w:szCs w:val="20"/>
          <w:rtl w:val="0"/>
        </w:rPr>
        <w:t xml:space="preserve">8–22 weeks</w:t>
      </w:r>
      <w:r w:rsidDel="00000000" w:rsidR="00000000" w:rsidRPr="00000000">
        <w:rPr>
          <w:sz w:val="20"/>
          <w:szCs w:val="20"/>
          <w:rtl w:val="0"/>
        </w:rPr>
        <w:t xml:space="preserve"> and </w:t>
      </w:r>
      <w:r w:rsidDel="00000000" w:rsidR="00000000" w:rsidRPr="00000000">
        <w:rPr>
          <w:b w:val="1"/>
          <w:bCs w:val="1"/>
          <w:sz w:val="20"/>
          <w:szCs w:val="20"/>
          <w:rtl w:val="0"/>
        </w:rPr>
        <w:t xml:space="preserve">Growth scans</w:t>
      </w:r>
      <w:r w:rsidDel="00000000" w:rsidR="00000000" w:rsidRPr="00000000">
        <w:rPr>
          <w:sz w:val="20"/>
          <w:szCs w:val="20"/>
          <w:rtl w:val="0"/>
        </w:rPr>
        <w:t xml:space="preserve"> around </w:t>
      </w:r>
      <w:r w:rsidDel="00000000" w:rsidR="00000000" w:rsidRPr="00000000">
        <w:rPr>
          <w:b w:val="1"/>
          <w:bCs w:val="1"/>
          <w:sz w:val="20"/>
          <w:szCs w:val="20"/>
          <w:rtl w:val="0"/>
        </w:rPr>
        <w:t xml:space="preserve">30–35 weeks</w:t>
      </w:r>
      <w:r w:rsidDel="00000000" w:rsidR="00000000" w:rsidRPr="00000000">
        <w:rPr>
          <w:sz w:val="20"/>
          <w:szCs w:val="20"/>
          <w:rtl w:val="0"/>
        </w:rPr>
        <w:t xml:space="preserve">. The distribution across gestational stages indicates </w:t>
      </w:r>
      <w:r w:rsidDel="00000000" w:rsidR="00000000" w:rsidRPr="00000000">
        <w:rPr>
          <w:b w:val="1"/>
          <w:bCs w:val="1"/>
          <w:sz w:val="20"/>
          <w:szCs w:val="20"/>
          <w:rtl w:val="0"/>
        </w:rPr>
        <w:t xml:space="preserve">well-structured and timely prenatal assessments</w:t>
      </w:r>
      <w:r w:rsidDel="00000000" w:rsidR="00000000" w:rsidRPr="00000000">
        <w:rPr>
          <w:sz w:val="20"/>
          <w:szCs w:val="20"/>
          <w:rtl w:val="0"/>
        </w:rPr>
        <w:t xml:space="preserve">.</w:t>
      </w:r>
    </w:p>
    <w:p w:rsidR="00000000" w:rsidDel="00000000" w:rsidP="00000000" w:rsidRDefault="00000000" w:rsidRPr="00000000" w14:paraId="0000001D">
      <w:pPr>
        <w:pStyle w:val="Heading3"/>
        <w:keepNext w:val="0"/>
        <w:keepLines w:val="0"/>
        <w:spacing w:before="280" w:lineRule="auto"/>
        <w:rPr>
          <w:b w:val="1"/>
          <w:bCs w:val="1"/>
          <w:color w:val="000000"/>
          <w:sz w:val="20"/>
          <w:szCs w:val="20"/>
        </w:rPr>
      </w:pPr>
      <w:bookmarkStart w:colFirst="0" w:colLast="0" w:name="_3ctblna0x7gd" w:id="17"/>
      <w:bookmarkEnd w:id="17"/>
      <w:r w:rsidDel="00000000" w:rsidR="00000000" w:rsidRPr="00000000">
        <w:rPr>
          <w:b w:val="1"/>
          <w:bCs w:val="1"/>
          <w:color w:val="000000"/>
          <w:sz w:val="20"/>
          <w:szCs w:val="20"/>
          <w:rtl w:val="0"/>
        </w:rPr>
        <w:t xml:space="preserve">Participant Withdrawal Insights</w:t>
      </w:r>
    </w:p>
    <w:p w:rsidR="00000000" w:rsidDel="00000000" w:rsidP="00000000" w:rsidRDefault="00000000" w:rsidRPr="00000000" w14:paraId="0000001E">
      <w:pPr>
        <w:spacing w:after="240" w:before="240" w:lineRule="auto"/>
        <w:rPr>
          <w:sz w:val="20"/>
          <w:szCs w:val="20"/>
        </w:rPr>
      </w:pPr>
      <w:r w:rsidDel="00000000" w:rsidR="00000000" w:rsidRPr="00000000">
        <w:rPr>
          <w:sz w:val="20"/>
          <w:szCs w:val="20"/>
          <w:rtl w:val="0"/>
        </w:rPr>
        <w:t xml:space="preserve">The leading cause of withdrawal was </w:t>
      </w:r>
      <w:r w:rsidDel="00000000" w:rsidR="00000000" w:rsidRPr="00000000">
        <w:rPr>
          <w:b w:val="1"/>
          <w:bCs w:val="1"/>
          <w:sz w:val="20"/>
          <w:szCs w:val="20"/>
          <w:rtl w:val="0"/>
        </w:rPr>
        <w:t xml:space="preserve">lack of written consent (40.7%)</w:t>
      </w:r>
      <w:r w:rsidDel="00000000" w:rsidR="00000000" w:rsidRPr="00000000">
        <w:rPr>
          <w:sz w:val="20"/>
          <w:szCs w:val="20"/>
          <w:rtl w:val="0"/>
        </w:rPr>
        <w:t xml:space="preserve">, followed by </w:t>
      </w:r>
      <w:r w:rsidDel="00000000" w:rsidR="00000000" w:rsidRPr="00000000">
        <w:rPr>
          <w:b w:val="1"/>
          <w:bCs w:val="1"/>
          <w:sz w:val="20"/>
          <w:szCs w:val="20"/>
          <w:rtl w:val="0"/>
        </w:rPr>
        <w:t xml:space="preserve">Other reasons (23.9%)</w:t>
      </w:r>
      <w:r w:rsidDel="00000000" w:rsidR="00000000" w:rsidRPr="00000000">
        <w:rPr>
          <w:sz w:val="20"/>
          <w:szCs w:val="20"/>
          <w:rtl w:val="0"/>
        </w:rPr>
        <w:t xml:space="preserve"> and </w:t>
      </w:r>
      <w:r w:rsidDel="00000000" w:rsidR="00000000" w:rsidRPr="00000000">
        <w:rPr>
          <w:b w:val="1"/>
          <w:bCs w:val="1"/>
          <w:sz w:val="20"/>
          <w:szCs w:val="20"/>
          <w:rtl w:val="0"/>
        </w:rPr>
        <w:t xml:space="preserve">Loss to follow-up (16.8%)</w:t>
      </w:r>
      <w:r w:rsidDel="00000000" w:rsidR="00000000" w:rsidRPr="00000000">
        <w:rPr>
          <w:sz w:val="20"/>
          <w:szCs w:val="20"/>
          <w:rtl w:val="0"/>
        </w:rPr>
        <w:t xml:space="preserve">. Minor causes included </w:t>
      </w:r>
      <w:r w:rsidDel="00000000" w:rsidR="00000000" w:rsidRPr="00000000">
        <w:rPr>
          <w:b w:val="1"/>
          <w:bCs w:val="1"/>
          <w:sz w:val="20"/>
          <w:szCs w:val="20"/>
          <w:rtl w:val="0"/>
        </w:rPr>
        <w:t xml:space="preserve">pregnancy termination (8.9%)</w:t>
      </w:r>
      <w:r w:rsidDel="00000000" w:rsidR="00000000" w:rsidRPr="00000000">
        <w:rPr>
          <w:sz w:val="20"/>
          <w:szCs w:val="20"/>
          <w:rtl w:val="0"/>
        </w:rPr>
        <w:t xml:space="preserve"> and </w:t>
      </w:r>
      <w:r w:rsidDel="00000000" w:rsidR="00000000" w:rsidRPr="00000000">
        <w:rPr>
          <w:b w:val="1"/>
          <w:bCs w:val="1"/>
          <w:sz w:val="20"/>
          <w:szCs w:val="20"/>
          <w:rtl w:val="0"/>
        </w:rPr>
        <w:t xml:space="preserve">administrative issues (&lt;1%)</w:t>
      </w:r>
      <w:r w:rsidDel="00000000" w:rsidR="00000000" w:rsidRPr="00000000">
        <w:rPr>
          <w:sz w:val="20"/>
          <w:szCs w:val="20"/>
          <w:rtl w:val="0"/>
        </w:rPr>
        <w:t xml:space="preserve">. These trends highlight opportunities to </w:t>
      </w:r>
      <w:r w:rsidDel="00000000" w:rsidR="00000000" w:rsidRPr="00000000">
        <w:rPr>
          <w:b w:val="1"/>
          <w:bCs w:val="1"/>
          <w:sz w:val="20"/>
          <w:szCs w:val="20"/>
          <w:rtl w:val="0"/>
        </w:rPr>
        <w:t xml:space="preserve">enhance participant retention and documentation practices</w:t>
      </w:r>
      <w:r w:rsidDel="00000000" w:rsidR="00000000" w:rsidRPr="00000000">
        <w:rPr>
          <w:sz w:val="20"/>
          <w:szCs w:val="20"/>
          <w:rtl w:val="0"/>
        </w:rPr>
        <w:t xml:space="preserve">.</w:t>
      </w:r>
    </w:p>
    <w:p w:rsidR="00000000" w:rsidDel="00000000" w:rsidP="00000000" w:rsidRDefault="00000000" w:rsidRPr="00000000" w14:paraId="0000001F">
      <w:pPr>
        <w:pStyle w:val="Heading3"/>
        <w:keepNext w:val="0"/>
        <w:keepLines w:val="0"/>
        <w:spacing w:before="280" w:lineRule="auto"/>
        <w:rPr>
          <w:b w:val="1"/>
          <w:bCs w:val="1"/>
          <w:color w:val="000000"/>
          <w:sz w:val="20"/>
          <w:szCs w:val="20"/>
        </w:rPr>
      </w:pPr>
      <w:bookmarkStart w:colFirst="0" w:colLast="0" w:name="_i2s5dmft9clu" w:id="18"/>
      <w:bookmarkEnd w:id="18"/>
      <w:r w:rsidDel="00000000" w:rsidR="00000000" w:rsidRPr="00000000">
        <w:rPr>
          <w:b w:val="1"/>
          <w:bCs w:val="1"/>
          <w:color w:val="000000"/>
          <w:sz w:val="20"/>
          <w:szCs w:val="20"/>
          <w:rtl w:val="0"/>
        </w:rPr>
        <w:t xml:space="preserve">Participant and Steroid Trends</w:t>
      </w:r>
    </w:p>
    <w:p w:rsidR="00000000" w:rsidDel="00000000" w:rsidP="00000000" w:rsidRDefault="00000000" w:rsidRPr="00000000" w14:paraId="00000020">
      <w:pPr>
        <w:spacing w:after="240" w:before="240" w:lineRule="auto"/>
        <w:rPr>
          <w:sz w:val="20"/>
          <w:szCs w:val="20"/>
        </w:rPr>
      </w:pPr>
      <w:r w:rsidDel="00000000" w:rsidR="00000000" w:rsidRPr="00000000">
        <w:rPr>
          <w:sz w:val="20"/>
          <w:szCs w:val="20"/>
          <w:rtl w:val="0"/>
        </w:rPr>
        <w:t xml:space="preserve">Participant enrollment </w:t>
      </w:r>
      <w:r w:rsidDel="00000000" w:rsidR="00000000" w:rsidRPr="00000000">
        <w:rPr>
          <w:b w:val="1"/>
          <w:bCs w:val="1"/>
          <w:sz w:val="20"/>
          <w:szCs w:val="20"/>
          <w:rtl w:val="0"/>
        </w:rPr>
        <w:t xml:space="preserve">peaked in 2020</w:t>
      </w:r>
      <w:r w:rsidDel="00000000" w:rsidR="00000000" w:rsidRPr="00000000">
        <w:rPr>
          <w:sz w:val="20"/>
          <w:szCs w:val="20"/>
          <w:rtl w:val="0"/>
        </w:rPr>
        <w:t xml:space="preserve"> before a decline in 2021, reflecting shifting recruitment or study activity. </w:t>
      </w:r>
      <w:r w:rsidDel="00000000" w:rsidR="00000000" w:rsidRPr="00000000">
        <w:rPr>
          <w:b w:val="1"/>
          <w:bCs w:val="1"/>
          <w:sz w:val="20"/>
          <w:szCs w:val="20"/>
          <w:rtl w:val="0"/>
        </w:rPr>
        <w:t xml:space="preserve">Steroid course initiations</w:t>
      </w:r>
      <w:r w:rsidDel="00000000" w:rsidR="00000000" w:rsidRPr="00000000">
        <w:rPr>
          <w:sz w:val="20"/>
          <w:szCs w:val="20"/>
          <w:rtl w:val="0"/>
        </w:rPr>
        <w:t xml:space="preserve"> were most frequent in </w:t>
      </w:r>
      <w:r w:rsidDel="00000000" w:rsidR="00000000" w:rsidRPr="00000000">
        <w:rPr>
          <w:b w:val="1"/>
          <w:bCs w:val="1"/>
          <w:sz w:val="20"/>
          <w:szCs w:val="20"/>
          <w:rtl w:val="0"/>
        </w:rPr>
        <w:t xml:space="preserve">January</w:t>
      </w:r>
      <w:r w:rsidDel="00000000" w:rsidR="00000000" w:rsidRPr="00000000">
        <w:rPr>
          <w:sz w:val="20"/>
          <w:szCs w:val="20"/>
          <w:rtl w:val="0"/>
        </w:rPr>
        <w:t xml:space="preserve"> and </w:t>
      </w:r>
      <w:r w:rsidDel="00000000" w:rsidR="00000000" w:rsidRPr="00000000">
        <w:rPr>
          <w:rFonts w:ascii="Arial Unicode MS" w:cs="Arial Unicode MS" w:eastAsia="Arial Unicode MS" w:hAnsi="Arial Unicode MS"/>
          <w:b w:val="1"/>
          <w:bCs w:val="1"/>
          <w:sz w:val="20"/>
          <w:szCs w:val="20"/>
          <w:rtl w:val="0"/>
        </w:rPr>
        <w:t xml:space="preserve">September (≈29% each)</w:t>
      </w:r>
      <w:r w:rsidDel="00000000" w:rsidR="00000000" w:rsidRPr="00000000">
        <w:rPr>
          <w:sz w:val="20"/>
          <w:szCs w:val="20"/>
          <w:rtl w:val="0"/>
        </w:rPr>
        <w:t xml:space="preserve">, with </w:t>
      </w:r>
      <w:r w:rsidDel="00000000" w:rsidR="00000000" w:rsidRPr="00000000">
        <w:rPr>
          <w:b w:val="1"/>
          <w:bCs w:val="1"/>
          <w:sz w:val="20"/>
          <w:szCs w:val="20"/>
          <w:rtl w:val="0"/>
        </w:rPr>
        <w:t xml:space="preserve">total doses peaking in September</w:t>
      </w:r>
      <w:r w:rsidDel="00000000" w:rsidR="00000000" w:rsidRPr="00000000">
        <w:rPr>
          <w:sz w:val="20"/>
          <w:szCs w:val="20"/>
          <w:rtl w:val="0"/>
        </w:rPr>
        <w:t xml:space="preserve">. Most regimens were </w:t>
      </w:r>
      <w:r w:rsidDel="00000000" w:rsidR="00000000" w:rsidRPr="00000000">
        <w:rPr>
          <w:b w:val="1"/>
          <w:bCs w:val="1"/>
          <w:sz w:val="20"/>
          <w:szCs w:val="20"/>
          <w:rtl w:val="0"/>
        </w:rPr>
        <w:t xml:space="preserve">short-term “Burst” treatments (85–90%)</w:t>
      </w:r>
      <w:r w:rsidDel="00000000" w:rsidR="00000000" w:rsidRPr="00000000">
        <w:rPr>
          <w:sz w:val="20"/>
          <w:szCs w:val="20"/>
          <w:rtl w:val="0"/>
        </w:rPr>
        <w:t xml:space="preserve">, emphasizing </w:t>
      </w:r>
      <w:r w:rsidDel="00000000" w:rsidR="00000000" w:rsidRPr="00000000">
        <w:rPr>
          <w:b w:val="1"/>
          <w:bCs w:val="1"/>
          <w:sz w:val="20"/>
          <w:szCs w:val="20"/>
          <w:rtl w:val="0"/>
        </w:rPr>
        <w:t xml:space="preserve">short-duration, high-intensity therapy</w:t>
      </w:r>
      <w:r w:rsidDel="00000000" w:rsidR="00000000" w:rsidRPr="00000000">
        <w:rPr>
          <w:sz w:val="20"/>
          <w:szCs w:val="20"/>
          <w:rtl w:val="0"/>
        </w:rPr>
        <w:t xml:space="preserve">.</w:t>
      </w:r>
    </w:p>
    <w:p w:rsidR="00000000" w:rsidDel="00000000" w:rsidP="00000000" w:rsidRDefault="00000000" w:rsidRPr="00000000" w14:paraId="00000021">
      <w:pPr>
        <w:pStyle w:val="Heading3"/>
        <w:keepNext w:val="0"/>
        <w:keepLines w:val="0"/>
        <w:spacing w:before="280" w:lineRule="auto"/>
        <w:rPr>
          <w:b w:val="1"/>
          <w:bCs w:val="1"/>
          <w:color w:val="000000"/>
          <w:sz w:val="20"/>
          <w:szCs w:val="20"/>
        </w:rPr>
      </w:pPr>
      <w:bookmarkStart w:colFirst="0" w:colLast="0" w:name="_t34gjuaj5we9" w:id="19"/>
      <w:bookmarkEnd w:id="19"/>
      <w:r w:rsidDel="00000000" w:rsidR="00000000" w:rsidRPr="00000000">
        <w:rPr>
          <w:b w:val="1"/>
          <w:bCs w:val="1"/>
          <w:color w:val="000000"/>
          <w:sz w:val="20"/>
          <w:szCs w:val="20"/>
          <w:rtl w:val="0"/>
        </w:rPr>
        <w:t xml:space="preserve">Meal Tracking Insights</w:t>
      </w:r>
    </w:p>
    <w:p w:rsidR="00000000" w:rsidDel="00000000" w:rsidP="00000000" w:rsidRDefault="00000000" w:rsidRPr="00000000" w14:paraId="00000022">
      <w:pPr>
        <w:spacing w:after="240" w:before="240" w:lineRule="auto"/>
        <w:rPr>
          <w:sz w:val="20"/>
          <w:szCs w:val="20"/>
        </w:rPr>
      </w:pPr>
      <w:r w:rsidDel="00000000" w:rsidR="00000000" w:rsidRPr="00000000">
        <w:rPr>
          <w:sz w:val="20"/>
          <w:szCs w:val="20"/>
          <w:rtl w:val="0"/>
        </w:rPr>
        <w:t xml:space="preserve">Meal frequency data from </w:t>
      </w:r>
      <w:r w:rsidDel="00000000" w:rsidR="00000000" w:rsidRPr="00000000">
        <w:rPr>
          <w:b w:val="1"/>
          <w:bCs w:val="1"/>
          <w:sz w:val="20"/>
          <w:szCs w:val="20"/>
          <w:rtl w:val="0"/>
        </w:rPr>
        <w:t xml:space="preserve">January 2022</w:t>
      </w:r>
      <w:r w:rsidDel="00000000" w:rsidR="00000000" w:rsidRPr="00000000">
        <w:rPr>
          <w:sz w:val="20"/>
          <w:szCs w:val="20"/>
          <w:rtl w:val="0"/>
        </w:rPr>
        <w:t xml:space="preserve"> showed </w:t>
      </w:r>
      <w:r w:rsidDel="00000000" w:rsidR="00000000" w:rsidRPr="00000000">
        <w:rPr>
          <w:b w:val="1"/>
          <w:bCs w:val="1"/>
          <w:sz w:val="20"/>
          <w:szCs w:val="20"/>
          <w:rtl w:val="0"/>
        </w:rPr>
        <w:t xml:space="preserve">16,751 meals logged</w:t>
      </w:r>
      <w:r w:rsidDel="00000000" w:rsidR="00000000" w:rsidRPr="00000000">
        <w:rPr>
          <w:sz w:val="20"/>
          <w:szCs w:val="20"/>
          <w:rtl w:val="0"/>
        </w:rPr>
        <w:t xml:space="preserve">, ranging from </w:t>
      </w:r>
      <w:r w:rsidDel="00000000" w:rsidR="00000000" w:rsidRPr="00000000">
        <w:rPr>
          <w:b w:val="1"/>
          <w:bCs w:val="1"/>
          <w:sz w:val="20"/>
          <w:szCs w:val="20"/>
          <w:rtl w:val="0"/>
        </w:rPr>
        <w:t xml:space="preserve">3–18 meals per day</w:t>
      </w:r>
      <w:r w:rsidDel="00000000" w:rsidR="00000000" w:rsidRPr="00000000">
        <w:rPr>
          <w:sz w:val="20"/>
          <w:szCs w:val="20"/>
          <w:rtl w:val="0"/>
        </w:rPr>
        <w:t xml:space="preserve">. Most participants logged under 100 meals, while a few recorded over 250, indicating </w:t>
      </w:r>
      <w:r w:rsidDel="00000000" w:rsidR="00000000" w:rsidRPr="00000000">
        <w:rPr>
          <w:b w:val="1"/>
          <w:bCs w:val="1"/>
          <w:sz w:val="20"/>
          <w:szCs w:val="20"/>
          <w:rtl w:val="0"/>
        </w:rPr>
        <w:t xml:space="preserve">variability in tracking engagement</w:t>
      </w:r>
      <w:r w:rsidDel="00000000" w:rsidR="00000000" w:rsidRPr="00000000">
        <w:rPr>
          <w:sz w:val="20"/>
          <w:szCs w:val="20"/>
          <w:rtl w:val="0"/>
        </w:rPr>
        <w:t xml:space="preserve">.</w:t>
      </w:r>
    </w:p>
    <w:p w:rsidR="00000000" w:rsidDel="00000000" w:rsidP="00000000" w:rsidRDefault="00000000" w:rsidRPr="00000000" w14:paraId="00000023">
      <w:pPr>
        <w:spacing w:after="240" w:before="240" w:lineRule="auto"/>
        <w:ind w:left="0" w:firstLine="0"/>
        <w:rPr>
          <w:sz w:val="20"/>
          <w:szCs w:val="20"/>
          <w:u w:val="single"/>
        </w:rPr>
      </w:pPr>
      <w:r w:rsidDel="00000000" w:rsidR="00000000" w:rsidRPr="00000000">
        <w:rPr>
          <w:sz w:val="20"/>
          <w:szCs w:val="20"/>
          <w:u w:val="single"/>
          <w:rtl w:val="0"/>
        </w:rPr>
        <w:t xml:space="preserve">DASHBOARD 3:</w:t>
      </w:r>
    </w:p>
    <w:p w:rsidR="00000000" w:rsidDel="00000000" w:rsidP="00000000" w:rsidRDefault="00000000" w:rsidRPr="00000000" w14:paraId="00000024">
      <w:pPr>
        <w:pStyle w:val="Heading2"/>
        <w:spacing w:before="280" w:lineRule="auto"/>
        <w:rPr>
          <w:b w:val="1"/>
          <w:bCs w:val="1"/>
          <w:sz w:val="20"/>
          <w:szCs w:val="20"/>
        </w:rPr>
      </w:pPr>
      <w:bookmarkStart w:colFirst="0" w:colLast="0" w:name="_xbsztm377jue" w:id="20"/>
      <w:bookmarkEnd w:id="20"/>
      <w:r w:rsidDel="00000000" w:rsidR="00000000" w:rsidRPr="00000000">
        <w:rPr>
          <w:b w:val="1"/>
          <w:bCs w:val="1"/>
          <w:sz w:val="20"/>
          <w:szCs w:val="20"/>
          <w:rtl w:val="0"/>
        </w:rPr>
        <w:t xml:space="preserve">CGM Insights</w:t>
      </w:r>
    </w:p>
    <w:p w:rsidR="00000000" w:rsidDel="00000000" w:rsidP="00000000" w:rsidRDefault="00000000" w:rsidRPr="00000000" w14:paraId="00000025">
      <w:pPr>
        <w:spacing w:after="240" w:before="240" w:lineRule="auto"/>
        <w:rPr>
          <w:sz w:val="20"/>
          <w:szCs w:val="20"/>
        </w:rPr>
      </w:pPr>
      <w:r w:rsidDel="00000000" w:rsidR="00000000" w:rsidRPr="00000000">
        <w:rPr>
          <w:sz w:val="20"/>
          <w:szCs w:val="20"/>
          <w:rtl w:val="0"/>
        </w:rPr>
        <w:t xml:space="preserve">Continuous Glucose Monitor (CGM) insertions were placed on the upper arm, suggesting a preference by comfort, accessibility, or sensor performance. Despite this, all patients (100%) experienced mild adverse skin events such as redness, swelling, and pain. These reactions led to CGM discontinuation in approximately one-third (33.3%) of cases, highlighting the need for improved skin compatibility or patient education on CGM management.</w:t>
      </w:r>
    </w:p>
    <w:p w:rsidR="00000000" w:rsidDel="00000000" w:rsidP="00000000" w:rsidRDefault="00000000" w:rsidRPr="00000000" w14:paraId="00000026">
      <w:pPr>
        <w:pStyle w:val="Heading2"/>
        <w:keepNext w:val="0"/>
        <w:keepLines w:val="0"/>
        <w:spacing w:before="280" w:lineRule="auto"/>
        <w:rPr>
          <w:b w:val="1"/>
          <w:bCs w:val="1"/>
          <w:sz w:val="20"/>
          <w:szCs w:val="20"/>
        </w:rPr>
      </w:pPr>
      <w:bookmarkStart w:colFirst="0" w:colLast="0" w:name="_huihv4sdt2ur" w:id="21"/>
      <w:bookmarkEnd w:id="21"/>
      <w:r w:rsidDel="00000000" w:rsidR="00000000" w:rsidRPr="00000000">
        <w:rPr>
          <w:b w:val="1"/>
          <w:bCs w:val="1"/>
          <w:sz w:val="20"/>
          <w:szCs w:val="20"/>
          <w:rtl w:val="0"/>
        </w:rPr>
        <w:t xml:space="preserve">Pregnancy Outcomes</w:t>
      </w:r>
    </w:p>
    <w:p w:rsidR="00000000" w:rsidDel="00000000" w:rsidP="00000000" w:rsidRDefault="00000000" w:rsidRPr="00000000" w14:paraId="00000027">
      <w:pPr>
        <w:rPr>
          <w:sz w:val="20"/>
          <w:szCs w:val="20"/>
        </w:rPr>
      </w:pPr>
      <w:r w:rsidDel="00000000" w:rsidR="00000000" w:rsidRPr="00000000">
        <w:rPr>
          <w:sz w:val="20"/>
          <w:szCs w:val="20"/>
          <w:rtl w:val="0"/>
        </w:rPr>
        <w:t xml:space="preserve">The dataset shows a total of 717 childbirths, of which 53 (7.39%) were preterm births and 664 (92.61%) were full-term births.</w:t>
      </w:r>
    </w:p>
    <w:p w:rsidR="00000000" w:rsidDel="00000000" w:rsidP="00000000" w:rsidRDefault="00000000" w:rsidRPr="00000000" w14:paraId="00000028">
      <w:pPr>
        <w:rPr>
          <w:sz w:val="20"/>
          <w:szCs w:val="20"/>
        </w:rPr>
      </w:pPr>
      <w:r w:rsidDel="00000000" w:rsidR="00000000" w:rsidRPr="00000000">
        <w:rPr>
          <w:sz w:val="20"/>
          <w:szCs w:val="20"/>
          <w:rtl w:val="0"/>
        </w:rPr>
        <w:t xml:space="preserve">This indicates that preterm births form a small but significant portion of total births, suggesting a potential area for maternal health focus.</w:t>
      </w:r>
    </w:p>
    <w:p w:rsidR="00000000" w:rsidDel="00000000" w:rsidP="00000000" w:rsidRDefault="00000000" w:rsidRPr="00000000" w14:paraId="00000029">
      <w:pPr>
        <w:rPr>
          <w:sz w:val="20"/>
          <w:szCs w:val="20"/>
        </w:rPr>
      </w:pPr>
      <w:r w:rsidDel="00000000" w:rsidR="00000000" w:rsidRPr="00000000">
        <w:rPr>
          <w:sz w:val="20"/>
          <w:szCs w:val="20"/>
          <w:rtl w:val="0"/>
        </w:rPr>
        <w:t xml:space="preserve">Among preterm cases, spontaneous and medically indicated births were nearly evenly split (29 vs. 24), underscoring the importance of monitoring both ways. IVF emerged as the dominant assisted reproductive technique, reflecting both its popularity and effectiveness. Patients undergoing assisted reproduction showed fewer maternal risk factors, while those with traditional conception had higher rates of cesarean delivery, miscarriage, and NICU admissions—suggesting possible underlying health disparities. The high number of first-time pregnancies also supports the growing role of assisted reproduction, likely driven by age-related fertility concerns.</w:t>
      </w:r>
    </w:p>
    <w:p w:rsidR="00000000" w:rsidDel="00000000" w:rsidP="00000000" w:rsidRDefault="00000000" w:rsidRPr="00000000" w14:paraId="0000002A">
      <w:pPr>
        <w:pStyle w:val="Heading2"/>
        <w:keepNext w:val="0"/>
        <w:keepLines w:val="0"/>
        <w:spacing w:before="280" w:lineRule="auto"/>
        <w:rPr>
          <w:b w:val="1"/>
          <w:bCs w:val="1"/>
          <w:sz w:val="20"/>
          <w:szCs w:val="20"/>
        </w:rPr>
      </w:pPr>
      <w:bookmarkStart w:colFirst="0" w:colLast="0" w:name="_n6ytqigbyvnu" w:id="22"/>
      <w:bookmarkEnd w:id="22"/>
      <w:r w:rsidDel="00000000" w:rsidR="00000000" w:rsidRPr="00000000">
        <w:rPr>
          <w:b w:val="1"/>
          <w:bCs w:val="1"/>
          <w:sz w:val="20"/>
          <w:szCs w:val="20"/>
          <w:rtl w:val="0"/>
        </w:rPr>
        <w:t xml:space="preserve">Infant Health</w:t>
      </w:r>
    </w:p>
    <w:p w:rsidR="00000000" w:rsidDel="00000000" w:rsidP="00000000" w:rsidRDefault="00000000" w:rsidRPr="00000000" w14:paraId="0000002B">
      <w:pPr>
        <w:spacing w:after="240" w:before="240" w:lineRule="auto"/>
        <w:rPr>
          <w:sz w:val="20"/>
          <w:szCs w:val="20"/>
        </w:rPr>
      </w:pPr>
      <w:r w:rsidDel="00000000" w:rsidR="00000000" w:rsidRPr="00000000">
        <w:rPr>
          <w:sz w:val="20"/>
          <w:szCs w:val="20"/>
          <w:rtl w:val="0"/>
        </w:rPr>
        <w:t xml:space="preserve">Infant data shows a balanced gender distribution with a slight male majority. Anomalies were rare, affecting only 3.7% of infants, and birth weights averaged around 3000 grams across both genders, indicating typical growth patterns. </w:t>
      </w:r>
    </w:p>
    <w:p w:rsidR="00000000" w:rsidDel="00000000" w:rsidP="00000000" w:rsidRDefault="00000000" w:rsidRPr="00000000" w14:paraId="0000002C">
      <w:pPr>
        <w:spacing w:after="240" w:before="240" w:lineRule="auto"/>
        <w:rPr>
          <w:sz w:val="20"/>
          <w:szCs w:val="20"/>
        </w:rPr>
      </w:pPr>
      <w:r w:rsidDel="00000000" w:rsidR="00000000" w:rsidRPr="00000000">
        <w:rPr>
          <w:sz w:val="20"/>
          <w:szCs w:val="20"/>
          <w:rtl w:val="0"/>
        </w:rPr>
        <w:t xml:space="preserve">NICU admissions were observed in both normal and low birth weight groups, suggesting that weight alone is not a reliable predictor of NICU need. Hypoglycemia was flagged more frequently in female infants (52 vs. 46), pointing to a potential gender-linked vulnerability. Phototherapy was used in just 8% of cases, and birth injuries were extremely rare (0.84%), reflecting high standards of neonatal care. Oral treatment was the most common neonatal intervention (68%), followed by IV treatment (29%) and a small proportion of mixed or unspecified therapies. Glucose levels within the first 24 hours were tightly clustered around 50 mg/dL, with a small but critical subset (12 infants) showing levels at 0 mg/dL, indicating potential hypoglycemia risk requiring immediate attention.</w:t>
      </w:r>
    </w:p>
    <w:p w:rsidR="00000000" w:rsidDel="00000000" w:rsidP="00000000" w:rsidRDefault="00000000" w:rsidRPr="00000000" w14:paraId="0000002D">
      <w:pPr>
        <w:spacing w:after="240" w:before="240" w:lineRule="auto"/>
        <w:ind w:left="0" w:firstLine="0"/>
        <w:rPr>
          <w:sz w:val="20"/>
          <w:szCs w:val="20"/>
          <w:u w:val="single"/>
        </w:rPr>
      </w:pPr>
      <w:r w:rsidDel="00000000" w:rsidR="00000000" w:rsidRPr="00000000">
        <w:rPr>
          <w:sz w:val="20"/>
          <w:szCs w:val="20"/>
          <w:u w:val="single"/>
          <w:rtl w:val="0"/>
        </w:rPr>
        <w:t xml:space="preserve">DASHBOARD 4: </w:t>
      </w:r>
    </w:p>
    <w:p w:rsidR="00000000" w:rsidDel="00000000" w:rsidP="00000000" w:rsidRDefault="00000000" w:rsidRPr="00000000" w14:paraId="0000002E">
      <w:pPr>
        <w:spacing w:after="240" w:before="240" w:line="278.00000000000006" w:lineRule="auto"/>
        <w:rPr>
          <w:b w:val="1"/>
          <w:bCs w:val="1"/>
          <w:sz w:val="20"/>
          <w:szCs w:val="20"/>
        </w:rPr>
      </w:pPr>
      <w:r w:rsidDel="00000000" w:rsidR="00000000" w:rsidRPr="00000000">
        <w:rPr>
          <w:b w:val="1"/>
          <w:bCs w:val="1"/>
          <w:sz w:val="20"/>
          <w:szCs w:val="20"/>
          <w:rtl w:val="0"/>
        </w:rPr>
        <w:t xml:space="preserve">Patient Delivery Information:</w:t>
      </w:r>
    </w:p>
    <w:p w:rsidR="00000000" w:rsidDel="00000000" w:rsidP="00000000" w:rsidRDefault="00000000" w:rsidRPr="00000000" w14:paraId="0000002F">
      <w:pPr>
        <w:spacing w:after="240" w:before="240" w:line="278.00000000000006" w:lineRule="auto"/>
        <w:rPr>
          <w:b w:val="1"/>
          <w:bCs w:val="1"/>
          <w:sz w:val="20"/>
          <w:szCs w:val="20"/>
        </w:rPr>
      </w:pPr>
      <w:r w:rsidDel="00000000" w:rsidR="00000000" w:rsidRPr="00000000">
        <w:rPr>
          <w:b w:val="1"/>
          <w:bCs w:val="1"/>
          <w:sz w:val="20"/>
          <w:szCs w:val="20"/>
          <w:rtl w:val="0"/>
        </w:rPr>
        <w:t xml:space="preserve">KPI Measures are:</w:t>
      </w:r>
    </w:p>
    <w:p w:rsidR="00000000" w:rsidDel="00000000" w:rsidP="00000000" w:rsidRDefault="00000000" w:rsidRPr="00000000" w14:paraId="00000030">
      <w:pPr>
        <w:spacing w:after="240" w:before="240" w:lineRule="auto"/>
        <w:rPr>
          <w:sz w:val="20"/>
          <w:szCs w:val="20"/>
        </w:rPr>
      </w:pPr>
      <w:r w:rsidDel="00000000" w:rsidR="00000000" w:rsidRPr="00000000">
        <w:rPr>
          <w:sz w:val="20"/>
          <w:szCs w:val="20"/>
          <w:rtl w:val="0"/>
        </w:rPr>
        <w:t xml:space="preserve">1.     </w:t>
      </w:r>
      <w:r w:rsidDel="00000000" w:rsidR="00000000" w:rsidRPr="00000000">
        <w:rPr>
          <w:b w:val="1"/>
          <w:bCs w:val="1"/>
          <w:sz w:val="20"/>
          <w:szCs w:val="20"/>
          <w:rtl w:val="0"/>
        </w:rPr>
        <w:t xml:space="preserve">832 </w:t>
      </w:r>
      <w:r w:rsidDel="00000000" w:rsidR="00000000" w:rsidRPr="00000000">
        <w:rPr>
          <w:sz w:val="20"/>
          <w:szCs w:val="20"/>
          <w:rtl w:val="0"/>
        </w:rPr>
        <w:t xml:space="preserve">successful deliveries recorded. </w:t>
      </w:r>
      <w:r w:rsidDel="00000000" w:rsidR="00000000" w:rsidRPr="00000000">
        <w:rPr>
          <w:b w:val="1"/>
          <w:bCs w:val="1"/>
          <w:sz w:val="20"/>
          <w:szCs w:val="20"/>
          <w:rtl w:val="0"/>
        </w:rPr>
        <w:t xml:space="preserve">8.05%</w:t>
      </w:r>
      <w:r w:rsidDel="00000000" w:rsidR="00000000" w:rsidRPr="00000000">
        <w:rPr>
          <w:sz w:val="20"/>
          <w:szCs w:val="20"/>
          <w:rtl w:val="0"/>
        </w:rPr>
        <w:t xml:space="preserve"> of pregnancies are affected by </w:t>
      </w:r>
      <w:r w:rsidDel="00000000" w:rsidR="00000000" w:rsidRPr="00000000">
        <w:rPr>
          <w:b w:val="1"/>
          <w:bCs w:val="1"/>
          <w:sz w:val="20"/>
          <w:szCs w:val="20"/>
          <w:rtl w:val="0"/>
        </w:rPr>
        <w:t xml:space="preserve">GDM</w:t>
      </w:r>
      <w:r w:rsidDel="00000000" w:rsidR="00000000" w:rsidRPr="00000000">
        <w:rPr>
          <w:sz w:val="20"/>
          <w:szCs w:val="20"/>
          <w:rtl w:val="0"/>
        </w:rPr>
        <w:t xml:space="preserve"> in this Cohort</w:t>
      </w:r>
    </w:p>
    <w:p w:rsidR="00000000" w:rsidDel="00000000" w:rsidP="00000000" w:rsidRDefault="00000000" w:rsidRPr="00000000" w14:paraId="00000031">
      <w:pPr>
        <w:spacing w:after="240" w:before="240" w:lineRule="auto"/>
        <w:rPr>
          <w:sz w:val="20"/>
          <w:szCs w:val="20"/>
        </w:rPr>
      </w:pPr>
      <w:r w:rsidDel="00000000" w:rsidR="00000000" w:rsidRPr="00000000">
        <w:rPr>
          <w:sz w:val="20"/>
          <w:szCs w:val="20"/>
          <w:rtl w:val="0"/>
        </w:rPr>
        <w:t xml:space="preserve">2.     </w:t>
      </w:r>
      <w:r w:rsidDel="00000000" w:rsidR="00000000" w:rsidRPr="00000000">
        <w:rPr>
          <w:b w:val="1"/>
          <w:bCs w:val="1"/>
          <w:sz w:val="20"/>
          <w:szCs w:val="20"/>
          <w:rtl w:val="0"/>
        </w:rPr>
        <w:t xml:space="preserve">5.97%</w:t>
      </w:r>
      <w:r w:rsidDel="00000000" w:rsidR="00000000" w:rsidRPr="00000000">
        <w:rPr>
          <w:sz w:val="20"/>
          <w:szCs w:val="20"/>
          <w:rtl w:val="0"/>
        </w:rPr>
        <w:t xml:space="preserve"> correlation between</w:t>
      </w:r>
      <w:r w:rsidDel="00000000" w:rsidR="00000000" w:rsidRPr="00000000">
        <w:rPr>
          <w:b w:val="1"/>
          <w:bCs w:val="1"/>
          <w:sz w:val="20"/>
          <w:szCs w:val="20"/>
          <w:rtl w:val="0"/>
        </w:rPr>
        <w:t xml:space="preserve"> GDM</w:t>
      </w:r>
      <w:r w:rsidDel="00000000" w:rsidR="00000000" w:rsidRPr="00000000">
        <w:rPr>
          <w:sz w:val="20"/>
          <w:szCs w:val="20"/>
          <w:rtl w:val="0"/>
        </w:rPr>
        <w:t xml:space="preserve"> and preterm births. Even modest correlation can imply elevated neonatal risk, especially if insulin use or glycemic control is suboptimal.</w:t>
      </w:r>
    </w:p>
    <w:p w:rsidR="00000000" w:rsidDel="00000000" w:rsidP="00000000" w:rsidRDefault="00000000" w:rsidRPr="00000000" w14:paraId="00000032">
      <w:pPr>
        <w:spacing w:after="240" w:before="240" w:lineRule="auto"/>
        <w:rPr>
          <w:sz w:val="20"/>
          <w:szCs w:val="20"/>
        </w:rPr>
      </w:pPr>
      <w:r w:rsidDel="00000000" w:rsidR="00000000" w:rsidRPr="00000000">
        <w:rPr>
          <w:sz w:val="20"/>
          <w:szCs w:val="20"/>
          <w:rtl w:val="0"/>
        </w:rPr>
        <w:t xml:space="preserve">3.     Only </w:t>
      </w:r>
      <w:r w:rsidDel="00000000" w:rsidR="00000000" w:rsidRPr="00000000">
        <w:rPr>
          <w:b w:val="1"/>
          <w:bCs w:val="1"/>
          <w:sz w:val="20"/>
          <w:szCs w:val="20"/>
          <w:rtl w:val="0"/>
        </w:rPr>
        <w:t xml:space="preserve">4 </w:t>
      </w:r>
      <w:r w:rsidDel="00000000" w:rsidR="00000000" w:rsidRPr="00000000">
        <w:rPr>
          <w:sz w:val="20"/>
          <w:szCs w:val="20"/>
          <w:rtl w:val="0"/>
        </w:rPr>
        <w:t xml:space="preserve">out of </w:t>
      </w:r>
      <w:r w:rsidDel="00000000" w:rsidR="00000000" w:rsidRPr="00000000">
        <w:rPr>
          <w:b w:val="1"/>
          <w:bCs w:val="1"/>
          <w:sz w:val="20"/>
          <w:szCs w:val="20"/>
          <w:rtl w:val="0"/>
        </w:rPr>
        <w:t xml:space="preserve">67 GDM</w:t>
      </w:r>
      <w:r w:rsidDel="00000000" w:rsidR="00000000" w:rsidRPr="00000000">
        <w:rPr>
          <w:sz w:val="20"/>
          <w:szCs w:val="20"/>
          <w:rtl w:val="0"/>
        </w:rPr>
        <w:t xml:space="preserve"> patients are insulin users.</w:t>
      </w:r>
    </w:p>
    <w:p w:rsidR="00000000" w:rsidDel="00000000" w:rsidP="00000000" w:rsidRDefault="00000000" w:rsidRPr="00000000" w14:paraId="00000033">
      <w:pPr>
        <w:spacing w:after="240" w:before="240" w:lineRule="auto"/>
        <w:rPr>
          <w:sz w:val="20"/>
          <w:szCs w:val="20"/>
        </w:rPr>
      </w:pPr>
      <w:r w:rsidDel="00000000" w:rsidR="00000000" w:rsidRPr="00000000">
        <w:rPr>
          <w:sz w:val="20"/>
          <w:szCs w:val="20"/>
          <w:rtl w:val="0"/>
        </w:rPr>
        <w:t xml:space="preserve">4.     </w:t>
      </w:r>
      <w:r w:rsidDel="00000000" w:rsidR="00000000" w:rsidRPr="00000000">
        <w:rPr>
          <w:b w:val="1"/>
          <w:bCs w:val="1"/>
          <w:sz w:val="20"/>
          <w:szCs w:val="20"/>
          <w:rtl w:val="0"/>
        </w:rPr>
        <w:t xml:space="preserve">HTN/PEC</w:t>
      </w:r>
      <w:r w:rsidDel="00000000" w:rsidR="00000000" w:rsidRPr="00000000">
        <w:rPr>
          <w:sz w:val="20"/>
          <w:szCs w:val="20"/>
          <w:rtl w:val="0"/>
        </w:rPr>
        <w:t xml:space="preserve"> incidence rate is </w:t>
      </w:r>
      <w:r w:rsidDel="00000000" w:rsidR="00000000" w:rsidRPr="00000000">
        <w:rPr>
          <w:b w:val="1"/>
          <w:bCs w:val="1"/>
          <w:sz w:val="20"/>
          <w:szCs w:val="20"/>
          <w:rtl w:val="0"/>
        </w:rPr>
        <w:t xml:space="preserve">27.4%</w:t>
      </w:r>
      <w:r w:rsidDel="00000000" w:rsidR="00000000" w:rsidRPr="00000000">
        <w:rPr>
          <w:sz w:val="20"/>
          <w:szCs w:val="20"/>
          <w:rtl w:val="0"/>
        </w:rPr>
        <w:t xml:space="preserve">.  This exceeds the </w:t>
      </w:r>
      <w:r w:rsidDel="00000000" w:rsidR="00000000" w:rsidRPr="00000000">
        <w:rPr>
          <w:b w:val="1"/>
          <w:bCs w:val="1"/>
          <w:sz w:val="20"/>
          <w:szCs w:val="20"/>
          <w:rtl w:val="0"/>
        </w:rPr>
        <w:t xml:space="preserve">WHO </w:t>
      </w:r>
      <w:r w:rsidDel="00000000" w:rsidR="00000000" w:rsidRPr="00000000">
        <w:rPr>
          <w:sz w:val="20"/>
          <w:szCs w:val="20"/>
          <w:rtl w:val="0"/>
        </w:rPr>
        <w:t xml:space="preserve">concern threshold of </w:t>
      </w:r>
      <w:r w:rsidDel="00000000" w:rsidR="00000000" w:rsidRPr="00000000">
        <w:rPr>
          <w:b w:val="1"/>
          <w:bCs w:val="1"/>
          <w:sz w:val="20"/>
          <w:szCs w:val="20"/>
          <w:rtl w:val="0"/>
        </w:rPr>
        <w:t xml:space="preserve">10%</w:t>
      </w:r>
      <w:r w:rsidDel="00000000" w:rsidR="00000000" w:rsidRPr="00000000">
        <w:rPr>
          <w:sz w:val="20"/>
          <w:szCs w:val="20"/>
          <w:rtl w:val="0"/>
        </w:rPr>
        <w:t xml:space="preserve">, indicating a systemic maternal health risk.</w:t>
      </w:r>
    </w:p>
    <w:p w:rsidR="00000000" w:rsidDel="00000000" w:rsidP="00000000" w:rsidRDefault="00000000" w:rsidRPr="00000000" w14:paraId="00000034">
      <w:pPr>
        <w:spacing w:after="240" w:before="240" w:lineRule="auto"/>
        <w:rPr>
          <w:sz w:val="20"/>
          <w:szCs w:val="20"/>
        </w:rPr>
      </w:pPr>
      <w:r w:rsidDel="00000000" w:rsidR="00000000" w:rsidRPr="00000000">
        <w:rPr>
          <w:sz w:val="20"/>
          <w:szCs w:val="20"/>
          <w:rtl w:val="0"/>
        </w:rPr>
        <w:t xml:space="preserve">5.     </w:t>
      </w:r>
      <w:r w:rsidDel="00000000" w:rsidR="00000000" w:rsidRPr="00000000">
        <w:rPr>
          <w:b w:val="1"/>
          <w:bCs w:val="1"/>
          <w:sz w:val="20"/>
          <w:szCs w:val="20"/>
          <w:rtl w:val="0"/>
        </w:rPr>
        <w:t xml:space="preserve">172 </w:t>
      </w:r>
      <w:r w:rsidDel="00000000" w:rsidR="00000000" w:rsidRPr="00000000">
        <w:rPr>
          <w:sz w:val="20"/>
          <w:szCs w:val="20"/>
          <w:rtl w:val="0"/>
        </w:rPr>
        <w:t xml:space="preserve">new or </w:t>
      </w:r>
      <w:r w:rsidDel="00000000" w:rsidR="00000000" w:rsidRPr="00000000">
        <w:rPr>
          <w:b w:val="1"/>
          <w:bCs w:val="1"/>
          <w:sz w:val="20"/>
          <w:szCs w:val="20"/>
          <w:rtl w:val="0"/>
        </w:rPr>
        <w:t xml:space="preserve">Onset HTN/PEC</w:t>
      </w:r>
      <w:r w:rsidDel="00000000" w:rsidR="00000000" w:rsidRPr="00000000">
        <w:rPr>
          <w:sz w:val="20"/>
          <w:szCs w:val="20"/>
          <w:rtl w:val="0"/>
        </w:rPr>
        <w:t xml:space="preserve"> cases diagnosed which suggest screening reach is effective, enabling early risk identification.</w:t>
      </w:r>
    </w:p>
    <w:p w:rsidR="00000000" w:rsidDel="00000000" w:rsidP="00000000" w:rsidRDefault="00000000" w:rsidRPr="00000000" w14:paraId="00000035">
      <w:pPr>
        <w:spacing w:after="240" w:before="240" w:lineRule="auto"/>
        <w:rPr>
          <w:sz w:val="20"/>
          <w:szCs w:val="20"/>
        </w:rPr>
      </w:pPr>
      <w:r w:rsidDel="00000000" w:rsidR="00000000" w:rsidRPr="00000000">
        <w:rPr>
          <w:sz w:val="20"/>
          <w:szCs w:val="20"/>
          <w:rtl w:val="0"/>
        </w:rPr>
        <w:t xml:space="preserve">6.     </w:t>
      </w:r>
      <w:r w:rsidDel="00000000" w:rsidR="00000000" w:rsidRPr="00000000">
        <w:rPr>
          <w:b w:val="1"/>
          <w:bCs w:val="1"/>
          <w:sz w:val="20"/>
          <w:szCs w:val="20"/>
          <w:rtl w:val="0"/>
        </w:rPr>
        <w:t xml:space="preserve">468 </w:t>
      </w:r>
      <w:r w:rsidDel="00000000" w:rsidR="00000000" w:rsidRPr="00000000">
        <w:rPr>
          <w:sz w:val="20"/>
          <w:szCs w:val="20"/>
          <w:rtl w:val="0"/>
        </w:rPr>
        <w:t xml:space="preserve">High </w:t>
      </w:r>
      <w:r w:rsidDel="00000000" w:rsidR="00000000" w:rsidRPr="00000000">
        <w:rPr>
          <w:b w:val="1"/>
          <w:bCs w:val="1"/>
          <w:sz w:val="20"/>
          <w:szCs w:val="20"/>
          <w:rtl w:val="0"/>
        </w:rPr>
        <w:t xml:space="preserve">BP </w:t>
      </w:r>
      <w:r w:rsidDel="00000000" w:rsidR="00000000" w:rsidRPr="00000000">
        <w:rPr>
          <w:sz w:val="20"/>
          <w:szCs w:val="20"/>
          <w:rtl w:val="0"/>
        </w:rPr>
        <w:t xml:space="preserve">episodes recorded. Frequent BP spikes may contribute to </w:t>
      </w:r>
      <w:r w:rsidDel="00000000" w:rsidR="00000000" w:rsidRPr="00000000">
        <w:rPr>
          <w:b w:val="1"/>
          <w:bCs w:val="1"/>
          <w:sz w:val="20"/>
          <w:szCs w:val="20"/>
          <w:rtl w:val="0"/>
        </w:rPr>
        <w:t xml:space="preserve">SPEC onset</w:t>
      </w:r>
      <w:r w:rsidDel="00000000" w:rsidR="00000000" w:rsidRPr="00000000">
        <w:rPr>
          <w:sz w:val="20"/>
          <w:szCs w:val="20"/>
          <w:rtl w:val="0"/>
        </w:rPr>
        <w:t xml:space="preserve">, cerebrovascular events, or neonatal complications.</w:t>
      </w:r>
    </w:p>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7.     </w:t>
      </w:r>
      <w:r w:rsidDel="00000000" w:rsidR="00000000" w:rsidRPr="00000000">
        <w:rPr>
          <w:b w:val="1"/>
          <w:bCs w:val="1"/>
          <w:sz w:val="20"/>
          <w:szCs w:val="20"/>
          <w:rtl w:val="0"/>
        </w:rPr>
        <w:t xml:space="preserve">52 SPEC</w:t>
      </w:r>
      <w:r w:rsidDel="00000000" w:rsidR="00000000" w:rsidRPr="00000000">
        <w:rPr>
          <w:sz w:val="20"/>
          <w:szCs w:val="20"/>
          <w:rtl w:val="0"/>
        </w:rPr>
        <w:t xml:space="preserve"> diagnoses. </w:t>
      </w:r>
      <w:r w:rsidDel="00000000" w:rsidR="00000000" w:rsidRPr="00000000">
        <w:rPr>
          <w:b w:val="1"/>
          <w:bCs w:val="1"/>
          <w:sz w:val="20"/>
          <w:szCs w:val="20"/>
          <w:rtl w:val="0"/>
        </w:rPr>
        <w:t xml:space="preserve">SPEC</w:t>
      </w:r>
      <w:r w:rsidDel="00000000" w:rsidR="00000000" w:rsidRPr="00000000">
        <w:rPr>
          <w:sz w:val="20"/>
          <w:szCs w:val="20"/>
          <w:rtl w:val="0"/>
        </w:rPr>
        <w:t xml:space="preserve"> is a critical determinant of maternal and fetal mortality.</w:t>
      </w:r>
    </w:p>
    <w:p w:rsidR="00000000" w:rsidDel="00000000" w:rsidP="00000000" w:rsidRDefault="00000000" w:rsidRPr="00000000" w14:paraId="00000037">
      <w:pPr>
        <w:spacing w:after="240" w:before="240" w:lineRule="auto"/>
        <w:rPr>
          <w:sz w:val="20"/>
          <w:szCs w:val="20"/>
        </w:rPr>
      </w:pPr>
      <w:r w:rsidDel="00000000" w:rsidR="00000000" w:rsidRPr="00000000">
        <w:rPr>
          <w:sz w:val="20"/>
          <w:szCs w:val="20"/>
          <w:rtl w:val="0"/>
        </w:rPr>
        <w:t xml:space="preserve">8.     The </w:t>
      </w:r>
      <w:r w:rsidDel="00000000" w:rsidR="00000000" w:rsidRPr="00000000">
        <w:rPr>
          <w:b w:val="1"/>
          <w:bCs w:val="1"/>
          <w:sz w:val="20"/>
          <w:szCs w:val="20"/>
          <w:rtl w:val="0"/>
        </w:rPr>
        <w:t xml:space="preserve">43.39%</w:t>
      </w:r>
      <w:r w:rsidDel="00000000" w:rsidR="00000000" w:rsidRPr="00000000">
        <w:rPr>
          <w:sz w:val="20"/>
          <w:szCs w:val="20"/>
          <w:rtl w:val="0"/>
        </w:rPr>
        <w:t xml:space="preserve"> induction rate in this cohort significantly exceeds the global benchmark of </w:t>
      </w:r>
      <w:r w:rsidDel="00000000" w:rsidR="00000000" w:rsidRPr="00000000">
        <w:rPr>
          <w:b w:val="1"/>
          <w:bCs w:val="1"/>
          <w:sz w:val="20"/>
          <w:szCs w:val="20"/>
          <w:rtl w:val="0"/>
        </w:rPr>
        <w:t xml:space="preserve">20–30%,</w:t>
      </w:r>
      <w:r w:rsidDel="00000000" w:rsidR="00000000" w:rsidRPr="00000000">
        <w:rPr>
          <w:sz w:val="20"/>
          <w:szCs w:val="20"/>
          <w:rtl w:val="0"/>
        </w:rPr>
        <w:t xml:space="preserve"> indicating a clinical deviation likely driven by elevated maternal risk profiles, institutional protocols, or resource-based scheduling practices.</w:t>
      </w:r>
    </w:p>
    <w:p w:rsidR="00000000" w:rsidDel="00000000" w:rsidP="00000000" w:rsidRDefault="00000000" w:rsidRPr="00000000" w14:paraId="00000038">
      <w:pPr>
        <w:spacing w:after="240" w:before="240" w:lineRule="auto"/>
        <w:ind w:left="360" w:firstLine="0"/>
        <w:rPr>
          <w:b w:val="1"/>
          <w:bCs w:val="1"/>
          <w:sz w:val="20"/>
          <w:szCs w:val="20"/>
        </w:rPr>
      </w:pPr>
      <w:r w:rsidDel="00000000" w:rsidR="00000000" w:rsidRPr="00000000">
        <w:rPr>
          <w:b w:val="1"/>
          <w:bCs w:val="1"/>
          <w:sz w:val="20"/>
          <w:szCs w:val="20"/>
          <w:rtl w:val="0"/>
        </w:rPr>
        <w:t xml:space="preserve">Insight through Visuals:</w:t>
      </w:r>
    </w:p>
    <w:p w:rsidR="00000000" w:rsidDel="00000000" w:rsidP="00000000" w:rsidRDefault="00000000" w:rsidRPr="00000000" w14:paraId="00000039">
      <w:pPr>
        <w:spacing w:after="240" w:before="240" w:lineRule="auto"/>
        <w:rPr>
          <w:sz w:val="20"/>
          <w:szCs w:val="20"/>
        </w:rPr>
      </w:pPr>
      <w:r w:rsidDel="00000000" w:rsidR="00000000" w:rsidRPr="00000000">
        <w:rPr>
          <w:sz w:val="20"/>
          <w:szCs w:val="20"/>
          <w:rtl w:val="0"/>
        </w:rPr>
        <w:t xml:space="preserve">1.</w:t>
      </w:r>
      <w:r w:rsidDel="00000000" w:rsidR="00000000" w:rsidRPr="00000000">
        <w:rPr>
          <w:b w:val="1"/>
          <w:bCs w:val="1"/>
          <w:sz w:val="20"/>
          <w:szCs w:val="20"/>
          <w:rtl w:val="0"/>
        </w:rPr>
        <w:t xml:space="preserve">16 </w:t>
      </w:r>
      <w:r w:rsidDel="00000000" w:rsidR="00000000" w:rsidRPr="00000000">
        <w:rPr>
          <w:sz w:val="20"/>
          <w:szCs w:val="20"/>
          <w:rtl w:val="0"/>
        </w:rPr>
        <w:t xml:space="preserve">patients were diagnosed with both </w:t>
      </w:r>
      <w:r w:rsidDel="00000000" w:rsidR="00000000" w:rsidRPr="00000000">
        <w:rPr>
          <w:b w:val="1"/>
          <w:bCs w:val="1"/>
          <w:sz w:val="20"/>
          <w:szCs w:val="20"/>
          <w:rtl w:val="0"/>
        </w:rPr>
        <w:t xml:space="preserve">GDM</w:t>
      </w:r>
      <w:r w:rsidDel="00000000" w:rsidR="00000000" w:rsidRPr="00000000">
        <w:rPr>
          <w:sz w:val="20"/>
          <w:szCs w:val="20"/>
          <w:rtl w:val="0"/>
        </w:rPr>
        <w:t xml:space="preserve"> and </w:t>
      </w:r>
      <w:r w:rsidDel="00000000" w:rsidR="00000000" w:rsidRPr="00000000">
        <w:rPr>
          <w:b w:val="1"/>
          <w:bCs w:val="1"/>
          <w:sz w:val="20"/>
          <w:szCs w:val="20"/>
          <w:rtl w:val="0"/>
        </w:rPr>
        <w:t xml:space="preserve">HTN/PEC</w:t>
      </w:r>
      <w:r w:rsidDel="00000000" w:rsidR="00000000" w:rsidRPr="00000000">
        <w:rPr>
          <w:sz w:val="20"/>
          <w:szCs w:val="20"/>
          <w:rtl w:val="0"/>
        </w:rPr>
        <w:t xml:space="preserve">, </w:t>
      </w:r>
      <w:r w:rsidDel="00000000" w:rsidR="00000000" w:rsidRPr="00000000">
        <w:rPr>
          <w:b w:val="1"/>
          <w:bCs w:val="1"/>
          <w:sz w:val="20"/>
          <w:szCs w:val="20"/>
          <w:rtl w:val="0"/>
        </w:rPr>
        <w:t xml:space="preserve">43.75%</w:t>
      </w:r>
      <w:r w:rsidDel="00000000" w:rsidR="00000000" w:rsidRPr="00000000">
        <w:rPr>
          <w:sz w:val="20"/>
          <w:szCs w:val="20"/>
          <w:rtl w:val="0"/>
        </w:rPr>
        <w:t xml:space="preserve"> underwent C-section deliveries despite no neonatal complications or </w:t>
      </w:r>
      <w:r w:rsidDel="00000000" w:rsidR="00000000" w:rsidRPr="00000000">
        <w:rPr>
          <w:b w:val="1"/>
          <w:bCs w:val="1"/>
          <w:sz w:val="20"/>
          <w:szCs w:val="20"/>
          <w:rtl w:val="0"/>
        </w:rPr>
        <w:t xml:space="preserve">NICU</w:t>
      </w:r>
      <w:r w:rsidDel="00000000" w:rsidR="00000000" w:rsidRPr="00000000">
        <w:rPr>
          <w:sz w:val="20"/>
          <w:szCs w:val="20"/>
          <w:rtl w:val="0"/>
        </w:rPr>
        <w:t xml:space="preserve"> admissions. This suggests that surgical intervention was driven primarily by maternal risk factors such as hypertension severity or insulin-dependent diabetes, rather than fetal distress.                                                                                                                              2. For the </w:t>
      </w:r>
      <w:r w:rsidDel="00000000" w:rsidR="00000000" w:rsidRPr="00000000">
        <w:rPr>
          <w:b w:val="1"/>
          <w:bCs w:val="1"/>
          <w:sz w:val="20"/>
          <w:szCs w:val="20"/>
          <w:rtl w:val="0"/>
        </w:rPr>
        <w:t xml:space="preserve">16 GDM+ HTN/PEC</w:t>
      </w:r>
      <w:r w:rsidDel="00000000" w:rsidR="00000000" w:rsidRPr="00000000">
        <w:rPr>
          <w:sz w:val="20"/>
          <w:szCs w:val="20"/>
          <w:rtl w:val="0"/>
        </w:rPr>
        <w:t xml:space="preserve"> Patients, Hour1 and Hour2 glucose spikes exceeding 300 mg/dL confirm impaired tolerance and </w:t>
      </w:r>
      <w:r w:rsidDel="00000000" w:rsidR="00000000" w:rsidRPr="00000000">
        <w:rPr>
          <w:b w:val="1"/>
          <w:bCs w:val="1"/>
          <w:sz w:val="20"/>
          <w:szCs w:val="20"/>
          <w:rtl w:val="0"/>
        </w:rPr>
        <w:t xml:space="preserve">poor glycemic control</w:t>
      </w:r>
      <w:r w:rsidDel="00000000" w:rsidR="00000000" w:rsidRPr="00000000">
        <w:rPr>
          <w:sz w:val="20"/>
          <w:szCs w:val="20"/>
          <w:rtl w:val="0"/>
        </w:rPr>
        <w:t xml:space="preserve">, while Hour3 recovery below 200 mg/dL suggests partial clearance but </w:t>
      </w:r>
      <w:r w:rsidDel="00000000" w:rsidR="00000000" w:rsidRPr="00000000">
        <w:rPr>
          <w:b w:val="1"/>
          <w:bCs w:val="1"/>
          <w:sz w:val="20"/>
          <w:szCs w:val="20"/>
          <w:rtl w:val="0"/>
        </w:rPr>
        <w:t xml:space="preserve">persistent metabolic stress</w:t>
      </w:r>
      <w:r w:rsidDel="00000000" w:rsidR="00000000" w:rsidRPr="00000000">
        <w:rPr>
          <w:sz w:val="20"/>
          <w:szCs w:val="20"/>
          <w:rtl w:val="0"/>
        </w:rPr>
        <w:t xml:space="preserve">. These patterns support early insulin intervention and stratification based on rebound efficiency.                                                                                                      3. Systolic and diastolic pressures show a </w:t>
      </w:r>
      <w:r w:rsidDel="00000000" w:rsidR="00000000" w:rsidRPr="00000000">
        <w:rPr>
          <w:b w:val="1"/>
          <w:bCs w:val="1"/>
          <w:sz w:val="20"/>
          <w:szCs w:val="20"/>
          <w:rtl w:val="0"/>
        </w:rPr>
        <w:t xml:space="preserve">strong positive correlation</w:t>
      </w:r>
      <w:r w:rsidDel="00000000" w:rsidR="00000000" w:rsidRPr="00000000">
        <w:rPr>
          <w:sz w:val="20"/>
          <w:szCs w:val="20"/>
          <w:rtl w:val="0"/>
        </w:rPr>
        <w:t xml:space="preserve">, with clustering in the </w:t>
      </w:r>
      <w:r w:rsidDel="00000000" w:rsidR="00000000" w:rsidRPr="00000000">
        <w:rPr>
          <w:b w:val="1"/>
          <w:bCs w:val="1"/>
          <w:sz w:val="20"/>
          <w:szCs w:val="20"/>
          <w:rtl w:val="0"/>
        </w:rPr>
        <w:t xml:space="preserve">hypertensive zone</w:t>
      </w:r>
      <w:r w:rsidDel="00000000" w:rsidR="00000000" w:rsidRPr="00000000">
        <w:rPr>
          <w:sz w:val="20"/>
          <w:szCs w:val="20"/>
          <w:rtl w:val="0"/>
        </w:rPr>
        <w:t xml:space="preserve"> which indicates systemic cardiovascular strain likely driving C-section decisions based on maternal risk rather than fetal distress.                                                                                          4. Among </w:t>
      </w:r>
      <w:r w:rsidDel="00000000" w:rsidR="00000000" w:rsidRPr="00000000">
        <w:rPr>
          <w:b w:val="1"/>
          <w:bCs w:val="1"/>
          <w:sz w:val="20"/>
          <w:szCs w:val="20"/>
          <w:rtl w:val="0"/>
        </w:rPr>
        <w:t xml:space="preserve">241 successful C-section deliveries</w:t>
      </w:r>
      <w:r w:rsidDel="00000000" w:rsidR="00000000" w:rsidRPr="00000000">
        <w:rPr>
          <w:sz w:val="20"/>
          <w:szCs w:val="20"/>
          <w:rtl w:val="0"/>
        </w:rPr>
        <w:t xml:space="preserve">, there were </w:t>
      </w:r>
      <w:r w:rsidDel="00000000" w:rsidR="00000000" w:rsidRPr="00000000">
        <w:rPr>
          <w:b w:val="1"/>
          <w:bCs w:val="1"/>
          <w:sz w:val="20"/>
          <w:szCs w:val="20"/>
          <w:rtl w:val="0"/>
        </w:rPr>
        <w:t xml:space="preserve">56 cases of HTN/PEC onset</w:t>
      </w:r>
      <w:r w:rsidDel="00000000" w:rsidR="00000000" w:rsidRPr="00000000">
        <w:rPr>
          <w:sz w:val="20"/>
          <w:szCs w:val="20"/>
          <w:rtl w:val="0"/>
        </w:rPr>
        <w:t xml:space="preserve"> and </w:t>
      </w:r>
      <w:r w:rsidDel="00000000" w:rsidR="00000000" w:rsidRPr="00000000">
        <w:rPr>
          <w:b w:val="1"/>
          <w:bCs w:val="1"/>
          <w:sz w:val="20"/>
          <w:szCs w:val="20"/>
          <w:rtl w:val="0"/>
        </w:rPr>
        <w:t xml:space="preserve">26 SPEC diagnoses</w:t>
      </w:r>
      <w:r w:rsidDel="00000000" w:rsidR="00000000" w:rsidRPr="00000000">
        <w:rPr>
          <w:sz w:val="20"/>
          <w:szCs w:val="20"/>
          <w:rtl w:val="0"/>
        </w:rPr>
        <w:t xml:space="preserve">, indicating that nearly </w:t>
      </w:r>
      <w:r w:rsidDel="00000000" w:rsidR="00000000" w:rsidRPr="00000000">
        <w:rPr>
          <w:b w:val="1"/>
          <w:bCs w:val="1"/>
          <w:sz w:val="20"/>
          <w:szCs w:val="20"/>
          <w:rtl w:val="0"/>
        </w:rPr>
        <w:t xml:space="preserve">34%</w:t>
      </w:r>
      <w:r w:rsidDel="00000000" w:rsidR="00000000" w:rsidRPr="00000000">
        <w:rPr>
          <w:sz w:val="20"/>
          <w:szCs w:val="20"/>
          <w:rtl w:val="0"/>
        </w:rPr>
        <w:t xml:space="preserve"> of these surgical births were associated with hypertensive complications.                                                                                                                                                5. Patients flagged solely for </w:t>
      </w:r>
      <w:r w:rsidDel="00000000" w:rsidR="00000000" w:rsidRPr="00000000">
        <w:rPr>
          <w:b w:val="1"/>
          <w:bCs w:val="1"/>
          <w:sz w:val="20"/>
          <w:szCs w:val="20"/>
          <w:rtl w:val="0"/>
        </w:rPr>
        <w:t xml:space="preserve">HTN/PEC</w:t>
      </w:r>
      <w:r w:rsidDel="00000000" w:rsidR="00000000" w:rsidRPr="00000000">
        <w:rPr>
          <w:sz w:val="20"/>
          <w:szCs w:val="20"/>
          <w:rtl w:val="0"/>
        </w:rPr>
        <w:t xml:space="preserve"> show a </w:t>
      </w:r>
      <w:r w:rsidDel="00000000" w:rsidR="00000000" w:rsidRPr="00000000">
        <w:rPr>
          <w:b w:val="1"/>
          <w:bCs w:val="1"/>
          <w:sz w:val="20"/>
          <w:szCs w:val="20"/>
          <w:rtl w:val="0"/>
        </w:rPr>
        <w:t xml:space="preserve">6.64%</w:t>
      </w:r>
      <w:r w:rsidDel="00000000" w:rsidR="00000000" w:rsidRPr="00000000">
        <w:rPr>
          <w:sz w:val="20"/>
          <w:szCs w:val="20"/>
          <w:rtl w:val="0"/>
        </w:rPr>
        <w:t xml:space="preserve"> preterm delivery rate which is nearly eight times higher than the </w:t>
      </w:r>
      <w:r w:rsidDel="00000000" w:rsidR="00000000" w:rsidRPr="00000000">
        <w:rPr>
          <w:b w:val="1"/>
          <w:bCs w:val="1"/>
          <w:sz w:val="20"/>
          <w:szCs w:val="20"/>
          <w:rtl w:val="0"/>
        </w:rPr>
        <w:t xml:space="preserve">0.83%</w:t>
      </w:r>
      <w:r w:rsidDel="00000000" w:rsidR="00000000" w:rsidRPr="00000000">
        <w:rPr>
          <w:sz w:val="20"/>
          <w:szCs w:val="20"/>
          <w:rtl w:val="0"/>
        </w:rPr>
        <w:t xml:space="preserve"> seen in GDM-only cases. It highlights hypertension as a more direct driver of early delivery and underscores the need for vigilant blood pressure monitoring and PEC escalation.</w:t>
      </w:r>
    </w:p>
    <w:p w:rsidR="00000000" w:rsidDel="00000000" w:rsidP="00000000" w:rsidRDefault="00000000" w:rsidRPr="00000000" w14:paraId="0000003A">
      <w:pPr>
        <w:spacing w:after="240" w:before="240" w:lineRule="auto"/>
        <w:ind w:left="0" w:firstLine="0"/>
        <w:rPr>
          <w:sz w:val="20"/>
          <w:szCs w:val="20"/>
          <w:u w:val="single"/>
        </w:rPr>
      </w:pPr>
      <w:r w:rsidDel="00000000" w:rsidR="00000000" w:rsidRPr="00000000">
        <w:rPr>
          <w:sz w:val="20"/>
          <w:szCs w:val="20"/>
          <w:u w:val="single"/>
          <w:rtl w:val="0"/>
        </w:rPr>
        <w:t xml:space="preserve">DASHBOARD 5:</w:t>
      </w:r>
    </w:p>
    <w:p w:rsidR="00000000" w:rsidDel="00000000" w:rsidP="00000000" w:rsidRDefault="00000000" w:rsidRPr="00000000" w14:paraId="0000003B">
      <w:pPr>
        <w:spacing w:after="240" w:before="240" w:lineRule="auto"/>
        <w:rPr>
          <w:sz w:val="20"/>
          <w:szCs w:val="20"/>
        </w:rPr>
      </w:pPr>
      <w:r w:rsidDel="00000000" w:rsidR="00000000" w:rsidRPr="00000000">
        <w:rPr>
          <w:b w:val="1"/>
          <w:bCs w:val="1"/>
          <w:sz w:val="20"/>
          <w:szCs w:val="20"/>
          <w:rtl w:val="0"/>
        </w:rPr>
        <w:t xml:space="preserve">PCOS Diagnosis Status</w:t>
        <w:br w:type="textWrapping"/>
      </w:r>
      <w:r w:rsidDel="00000000" w:rsidR="00000000" w:rsidRPr="00000000">
        <w:rPr>
          <w:sz w:val="20"/>
          <w:szCs w:val="20"/>
          <w:rtl w:val="0"/>
        </w:rPr>
        <w:t xml:space="preserve"> The majority of patients (</w:t>
      </w:r>
      <w:r w:rsidDel="00000000" w:rsidR="00000000" w:rsidRPr="00000000">
        <w:rPr>
          <w:b w:val="1"/>
          <w:bCs w:val="1"/>
          <w:sz w:val="20"/>
          <w:szCs w:val="20"/>
          <w:rtl w:val="0"/>
        </w:rPr>
        <w:t xml:space="preserve">95.12%</w:t>
      </w:r>
      <w:r w:rsidDel="00000000" w:rsidR="00000000" w:rsidRPr="00000000">
        <w:rPr>
          <w:sz w:val="20"/>
          <w:szCs w:val="20"/>
          <w:rtl w:val="0"/>
        </w:rPr>
        <w:t xml:space="preserve">) do </w:t>
      </w:r>
      <w:r w:rsidDel="00000000" w:rsidR="00000000" w:rsidRPr="00000000">
        <w:rPr>
          <w:b w:val="1"/>
          <w:bCs w:val="1"/>
          <w:sz w:val="20"/>
          <w:szCs w:val="20"/>
          <w:rtl w:val="0"/>
        </w:rPr>
        <w:t xml:space="preserve">not</w:t>
      </w:r>
      <w:r w:rsidDel="00000000" w:rsidR="00000000" w:rsidRPr="00000000">
        <w:rPr>
          <w:sz w:val="20"/>
          <w:szCs w:val="20"/>
          <w:rtl w:val="0"/>
        </w:rPr>
        <w:t xml:space="preserve"> have a PCOS diagnosis, while only </w:t>
      </w:r>
      <w:r w:rsidDel="00000000" w:rsidR="00000000" w:rsidRPr="00000000">
        <w:rPr>
          <w:b w:val="1"/>
          <w:bCs w:val="1"/>
          <w:sz w:val="20"/>
          <w:szCs w:val="20"/>
          <w:rtl w:val="0"/>
        </w:rPr>
        <w:t xml:space="preserve">4.88% (46 patients)</w:t>
      </w:r>
      <w:r w:rsidDel="00000000" w:rsidR="00000000" w:rsidRPr="00000000">
        <w:rPr>
          <w:sz w:val="20"/>
          <w:szCs w:val="20"/>
          <w:rtl w:val="0"/>
        </w:rPr>
        <w:t xml:space="preserve"> are diagnosed with PCOS. This indicates that PCOS cases represent a small portion of the total patient population.</w:t>
        <w:br w:type="textWrapping"/>
      </w:r>
    </w:p>
    <w:p w:rsidR="00000000" w:rsidDel="00000000" w:rsidP="00000000" w:rsidRDefault="00000000" w:rsidRPr="00000000" w14:paraId="0000003C">
      <w:pPr>
        <w:spacing w:after="240" w:before="240" w:lineRule="auto"/>
        <w:rPr>
          <w:sz w:val="20"/>
          <w:szCs w:val="20"/>
        </w:rPr>
      </w:pPr>
      <w:r w:rsidDel="00000000" w:rsidR="00000000" w:rsidRPr="00000000">
        <w:rPr>
          <w:b w:val="1"/>
          <w:bCs w:val="1"/>
          <w:sz w:val="20"/>
          <w:szCs w:val="20"/>
          <w:u w:val="single"/>
          <w:rtl w:val="0"/>
        </w:rPr>
        <w:t xml:space="preserve">PCOS Medication Usage</w:t>
      </w:r>
      <w:r w:rsidDel="00000000" w:rsidR="00000000" w:rsidRPr="00000000">
        <w:rPr>
          <w:b w:val="1"/>
          <w:bCs w:val="1"/>
          <w:sz w:val="20"/>
          <w:szCs w:val="20"/>
          <w:rtl w:val="0"/>
        </w:rPr>
        <w:br w:type="textWrapping"/>
      </w:r>
      <w:r w:rsidDel="00000000" w:rsidR="00000000" w:rsidRPr="00000000">
        <w:rPr>
          <w:sz w:val="20"/>
          <w:szCs w:val="20"/>
          <w:rtl w:val="0"/>
        </w:rPr>
        <w:t xml:space="preserve"> Among the </w:t>
      </w:r>
      <w:r w:rsidDel="00000000" w:rsidR="00000000" w:rsidRPr="00000000">
        <w:rPr>
          <w:b w:val="1"/>
          <w:bCs w:val="1"/>
          <w:sz w:val="20"/>
          <w:szCs w:val="20"/>
          <w:rtl w:val="0"/>
        </w:rPr>
        <w:t xml:space="preserve">46 diagnosed PCOS patients</w:t>
      </w:r>
      <w:r w:rsidDel="00000000" w:rsidR="00000000" w:rsidRPr="00000000">
        <w:rPr>
          <w:sz w:val="20"/>
          <w:szCs w:val="20"/>
          <w:rtl w:val="0"/>
        </w:rPr>
        <w:t xml:space="preserve">, </w:t>
      </w:r>
      <w:r w:rsidDel="00000000" w:rsidR="00000000" w:rsidRPr="00000000">
        <w:rPr>
          <w:b w:val="1"/>
          <w:bCs w:val="1"/>
          <w:sz w:val="20"/>
          <w:szCs w:val="20"/>
          <w:rtl w:val="0"/>
        </w:rPr>
        <w:t xml:space="preserve">11 patients (23.91%)</w:t>
      </w:r>
      <w:r w:rsidDel="00000000" w:rsidR="00000000" w:rsidRPr="00000000">
        <w:rPr>
          <w:sz w:val="20"/>
          <w:szCs w:val="20"/>
          <w:rtl w:val="0"/>
        </w:rPr>
        <w:t xml:space="preserve"> are flagged as receiving PCOS-related medication, while </w:t>
      </w:r>
      <w:r w:rsidDel="00000000" w:rsidR="00000000" w:rsidRPr="00000000">
        <w:rPr>
          <w:b w:val="1"/>
          <w:bCs w:val="1"/>
          <w:sz w:val="20"/>
          <w:szCs w:val="20"/>
          <w:rtl w:val="0"/>
        </w:rPr>
        <w:t xml:space="preserve">35 patients (76.09%)</w:t>
      </w:r>
      <w:r w:rsidDel="00000000" w:rsidR="00000000" w:rsidRPr="00000000">
        <w:rPr>
          <w:sz w:val="20"/>
          <w:szCs w:val="20"/>
          <w:rtl w:val="0"/>
        </w:rPr>
        <w:t xml:space="preserve"> are not on such treatment. This suggests that less than one-fourth of diagnosed individuals are actively on medication management for PCOS.</w:t>
        <w:br w:type="textWrapping"/>
      </w:r>
      <w:r w:rsidDel="00000000" w:rsidR="00000000" w:rsidRPr="00000000">
        <w:rPr>
          <w:b w:val="1"/>
          <w:bCs w:val="1"/>
          <w:sz w:val="20"/>
          <w:szCs w:val="20"/>
          <w:u w:val="single"/>
          <w:rtl w:val="0"/>
        </w:rPr>
        <w:t xml:space="preserve">Reproduction Method and PCOS Link</w:t>
      </w:r>
      <w:r w:rsidDel="00000000" w:rsidR="00000000" w:rsidRPr="00000000">
        <w:rPr>
          <w:b w:val="1"/>
          <w:bCs w:val="1"/>
          <w:sz w:val="20"/>
          <w:szCs w:val="20"/>
          <w:rtl w:val="0"/>
        </w:rPr>
        <w:br w:type="textWrapping"/>
      </w:r>
      <w:r w:rsidDel="00000000" w:rsidR="00000000" w:rsidRPr="00000000">
        <w:rPr>
          <w:sz w:val="20"/>
          <w:szCs w:val="20"/>
          <w:rtl w:val="0"/>
        </w:rPr>
        <w:t xml:space="preserve"> The analysis of reproduction methods shows that </w:t>
      </w:r>
      <w:r w:rsidDel="00000000" w:rsidR="00000000" w:rsidRPr="00000000">
        <w:rPr>
          <w:b w:val="1"/>
          <w:bCs w:val="1"/>
          <w:sz w:val="20"/>
          <w:szCs w:val="20"/>
          <w:rtl w:val="0"/>
        </w:rPr>
        <w:t xml:space="preserve">IVF</w:t>
      </w:r>
      <w:r w:rsidDel="00000000" w:rsidR="00000000" w:rsidRPr="00000000">
        <w:rPr>
          <w:sz w:val="20"/>
          <w:szCs w:val="20"/>
          <w:rtl w:val="0"/>
        </w:rPr>
        <w:t xml:space="preserve"> is the most common documented method among both PCOS and non-PCOS groups (</w:t>
      </w:r>
      <w:r w:rsidDel="00000000" w:rsidR="00000000" w:rsidRPr="00000000">
        <w:rPr>
          <w:b w:val="1"/>
          <w:bCs w:val="1"/>
          <w:sz w:val="20"/>
          <w:szCs w:val="20"/>
          <w:rtl w:val="0"/>
        </w:rPr>
        <w:t xml:space="preserve">71 total patients</w:t>
      </w:r>
      <w:r w:rsidDel="00000000" w:rsidR="00000000" w:rsidRPr="00000000">
        <w:rPr>
          <w:sz w:val="20"/>
          <w:szCs w:val="20"/>
          <w:rtl w:val="0"/>
        </w:rPr>
        <w:t xml:space="preserve">). Other methods like </w:t>
      </w:r>
      <w:r w:rsidDel="00000000" w:rsidR="00000000" w:rsidRPr="00000000">
        <w:rPr>
          <w:b w:val="1"/>
          <w:bCs w:val="1"/>
          <w:sz w:val="20"/>
          <w:szCs w:val="20"/>
          <w:rtl w:val="0"/>
        </w:rPr>
        <w:t xml:space="preserve">IUI</w:t>
      </w:r>
      <w:r w:rsidDel="00000000" w:rsidR="00000000" w:rsidRPr="00000000">
        <w:rPr>
          <w:sz w:val="20"/>
          <w:szCs w:val="20"/>
          <w:rtl w:val="0"/>
        </w:rPr>
        <w:t xml:space="preserve">, </w:t>
      </w:r>
      <w:r w:rsidDel="00000000" w:rsidR="00000000" w:rsidRPr="00000000">
        <w:rPr>
          <w:b w:val="1"/>
          <w:bCs w:val="1"/>
          <w:sz w:val="20"/>
          <w:szCs w:val="20"/>
          <w:rtl w:val="0"/>
        </w:rPr>
        <w:t xml:space="preserve">Clomid/Letrozole</w:t>
      </w:r>
      <w:r w:rsidDel="00000000" w:rsidR="00000000" w:rsidRPr="00000000">
        <w:rPr>
          <w:sz w:val="20"/>
          <w:szCs w:val="20"/>
          <w:rtl w:val="0"/>
        </w:rPr>
        <w:t xml:space="preserve">, and </w:t>
      </w:r>
      <w:r w:rsidDel="00000000" w:rsidR="00000000" w:rsidRPr="00000000">
        <w:rPr>
          <w:b w:val="1"/>
          <w:bCs w:val="1"/>
          <w:sz w:val="20"/>
          <w:szCs w:val="20"/>
          <w:rtl w:val="0"/>
        </w:rPr>
        <w:t xml:space="preserve">ICSI</w:t>
      </w:r>
      <w:r w:rsidDel="00000000" w:rsidR="00000000" w:rsidRPr="00000000">
        <w:rPr>
          <w:sz w:val="20"/>
          <w:szCs w:val="20"/>
          <w:rtl w:val="0"/>
        </w:rPr>
        <w:t xml:space="preserve"> have comparatively fewer cases. A significant portion of patients fall into the </w:t>
      </w:r>
      <w:r w:rsidDel="00000000" w:rsidR="00000000" w:rsidRPr="00000000">
        <w:rPr>
          <w:b w:val="1"/>
          <w:bCs w:val="1"/>
          <w:sz w:val="20"/>
          <w:szCs w:val="20"/>
          <w:rtl w:val="0"/>
        </w:rPr>
        <w:t xml:space="preserve">(Blank)</w:t>
      </w:r>
      <w:r w:rsidDel="00000000" w:rsidR="00000000" w:rsidRPr="00000000">
        <w:rPr>
          <w:sz w:val="20"/>
          <w:szCs w:val="20"/>
          <w:rtl w:val="0"/>
        </w:rPr>
        <w:t xml:space="preserve"> category, indicating missing or undocumented reproduction method data</w:t>
      </w:r>
      <w:r w:rsidDel="00000000" w:rsidR="00000000" w:rsidRPr="00000000">
        <w:rPr>
          <w:sz w:val="20"/>
          <w:szCs w:val="20"/>
          <w:u w:val="single"/>
          <w:rtl w:val="0"/>
        </w:rPr>
        <w:t xml:space="preserve">.                                                           </w:t>
      </w:r>
      <w:r w:rsidDel="00000000" w:rsidR="00000000" w:rsidRPr="00000000">
        <w:rPr>
          <w:b w:val="1"/>
          <w:bCs w:val="1"/>
          <w:sz w:val="20"/>
          <w:szCs w:val="20"/>
          <w:u w:val="single"/>
          <w:rtl w:val="0"/>
        </w:rPr>
        <w:t xml:space="preserve">PCOS Medication Details</w:t>
      </w:r>
      <w:r w:rsidDel="00000000" w:rsidR="00000000" w:rsidRPr="00000000">
        <w:rPr>
          <w:b w:val="1"/>
          <w:bCs w:val="1"/>
          <w:sz w:val="20"/>
          <w:szCs w:val="20"/>
          <w:rtl w:val="0"/>
        </w:rPr>
        <w:br w:type="textWrapping"/>
      </w:r>
      <w:r w:rsidDel="00000000" w:rsidR="00000000" w:rsidRPr="00000000">
        <w:rPr>
          <w:sz w:val="20"/>
          <w:szCs w:val="20"/>
          <w:rtl w:val="0"/>
        </w:rPr>
        <w:t xml:space="preserve"> This analysis shows how patients diagnosed with PCOS are prescribed a </w:t>
      </w:r>
      <w:r w:rsidDel="00000000" w:rsidR="00000000" w:rsidRPr="00000000">
        <w:rPr>
          <w:b w:val="1"/>
          <w:bCs w:val="1"/>
          <w:sz w:val="20"/>
          <w:szCs w:val="20"/>
          <w:rtl w:val="0"/>
        </w:rPr>
        <w:t xml:space="preserve">variety of medications</w:t>
      </w:r>
      <w:r w:rsidDel="00000000" w:rsidR="00000000" w:rsidRPr="00000000">
        <w:rPr>
          <w:sz w:val="20"/>
          <w:szCs w:val="20"/>
          <w:rtl w:val="0"/>
        </w:rPr>
        <w:t xml:space="preserve"> such as </w:t>
      </w:r>
      <w:r w:rsidDel="00000000" w:rsidR="00000000" w:rsidRPr="00000000">
        <w:rPr>
          <w:b w:val="1"/>
          <w:bCs w:val="1"/>
          <w:sz w:val="20"/>
          <w:szCs w:val="20"/>
          <w:rtl w:val="0"/>
        </w:rPr>
        <w:t xml:space="preserve">Metformin, Spironolactone, Letrozole, Femara, and Nuvaring</w:t>
      </w:r>
      <w:r w:rsidDel="00000000" w:rsidR="00000000" w:rsidRPr="00000000">
        <w:rPr>
          <w:sz w:val="20"/>
          <w:szCs w:val="20"/>
          <w:rtl w:val="0"/>
        </w:rPr>
        <w:t xml:space="preserve">, each with different dosages and timelines.</w:t>
        <w:br w:type="textWrapping"/>
      </w:r>
      <w:r w:rsidDel="00000000" w:rsidR="00000000" w:rsidRPr="00000000">
        <w:rPr>
          <w:b w:val="1"/>
          <w:bCs w:val="1"/>
          <w:sz w:val="20"/>
          <w:szCs w:val="20"/>
          <w:u w:val="single"/>
          <w:rtl w:val="0"/>
        </w:rPr>
        <w:t xml:space="preserve">Patient Comments by Date</w:t>
      </w:r>
      <w:r w:rsidDel="00000000" w:rsidR="00000000" w:rsidRPr="00000000">
        <w:rPr>
          <w:b w:val="1"/>
          <w:bCs w:val="1"/>
          <w:sz w:val="20"/>
          <w:szCs w:val="20"/>
          <w:rtl w:val="0"/>
        </w:rPr>
        <w:br w:type="textWrapping"/>
      </w:r>
      <w:r w:rsidDel="00000000" w:rsidR="00000000" w:rsidRPr="00000000">
        <w:rPr>
          <w:sz w:val="20"/>
          <w:szCs w:val="20"/>
          <w:rtl w:val="0"/>
        </w:rPr>
        <w:t xml:space="preserve"> The </w:t>
      </w:r>
      <w:r w:rsidDel="00000000" w:rsidR="00000000" w:rsidRPr="00000000">
        <w:rPr>
          <w:b w:val="1"/>
          <w:bCs w:val="1"/>
          <w:sz w:val="20"/>
          <w:szCs w:val="20"/>
          <w:rtl w:val="0"/>
        </w:rPr>
        <w:t xml:space="preserve">analysis </w:t>
      </w:r>
      <w:r w:rsidDel="00000000" w:rsidR="00000000" w:rsidRPr="00000000">
        <w:rPr>
          <w:sz w:val="20"/>
          <w:szCs w:val="20"/>
          <w:rtl w:val="0"/>
        </w:rPr>
        <w:t xml:space="preserve"> displays the distribution of comments received from patients over various dates. Interaction activity spans multiple months and years, with notable engagement peaks in </w:t>
      </w:r>
      <w:r w:rsidDel="00000000" w:rsidR="00000000" w:rsidRPr="00000000">
        <w:rPr>
          <w:b w:val="1"/>
          <w:bCs w:val="1"/>
          <w:sz w:val="20"/>
          <w:szCs w:val="20"/>
          <w:rtl w:val="0"/>
        </w:rPr>
        <w:t xml:space="preserve">mid-2020 and 2021</w:t>
      </w:r>
      <w:r w:rsidDel="00000000" w:rsidR="00000000" w:rsidRPr="00000000">
        <w:rPr>
          <w:sz w:val="20"/>
          <w:szCs w:val="20"/>
          <w:rtl w:val="0"/>
        </w:rPr>
        <w:t xml:space="preserve">. The presence of a large “Blank” segment indicates </w:t>
      </w:r>
      <w:r w:rsidDel="00000000" w:rsidR="00000000" w:rsidRPr="00000000">
        <w:rPr>
          <w:b w:val="1"/>
          <w:bCs w:val="1"/>
          <w:sz w:val="20"/>
          <w:szCs w:val="20"/>
          <w:rtl w:val="0"/>
        </w:rPr>
        <w:t xml:space="preserve">some missing or unrecorded comment dates</w:t>
      </w:r>
      <w:r w:rsidDel="00000000" w:rsidR="00000000" w:rsidRPr="00000000">
        <w:rPr>
          <w:sz w:val="20"/>
          <w:szCs w:val="20"/>
          <w:rtl w:val="0"/>
        </w:rPr>
        <w:t xml:space="preserve">, suggesting potential data entry gaps or system limitations.</w:t>
        <w:br w:type="textWrapping"/>
      </w:r>
      <w:r w:rsidDel="00000000" w:rsidR="00000000" w:rsidRPr="00000000">
        <w:rPr>
          <w:b w:val="1"/>
          <w:bCs w:val="1"/>
          <w:sz w:val="20"/>
          <w:szCs w:val="20"/>
          <w:u w:val="single"/>
          <w:rtl w:val="0"/>
        </w:rPr>
        <w:t xml:space="preserve">Patient Interaction Counts</w:t>
      </w:r>
      <w:r w:rsidDel="00000000" w:rsidR="00000000" w:rsidRPr="00000000">
        <w:rPr>
          <w:b w:val="1"/>
          <w:bCs w:val="1"/>
          <w:sz w:val="20"/>
          <w:szCs w:val="20"/>
          <w:rtl w:val="0"/>
        </w:rPr>
        <w:br w:type="textWrapping"/>
      </w:r>
      <w:r w:rsidDel="00000000" w:rsidR="00000000" w:rsidRPr="00000000">
        <w:rPr>
          <w:sz w:val="20"/>
          <w:szCs w:val="20"/>
          <w:rtl w:val="0"/>
        </w:rPr>
        <w:t xml:space="preserve"> The patient interaction count  shows the </w:t>
      </w:r>
      <w:r w:rsidDel="00000000" w:rsidR="00000000" w:rsidRPr="00000000">
        <w:rPr>
          <w:b w:val="1"/>
          <w:bCs w:val="1"/>
          <w:sz w:val="20"/>
          <w:szCs w:val="20"/>
          <w:rtl w:val="0"/>
        </w:rPr>
        <w:t xml:space="preserve">number of comments received per patient</w:t>
      </w:r>
      <w:r w:rsidDel="00000000" w:rsidR="00000000" w:rsidRPr="00000000">
        <w:rPr>
          <w:sz w:val="20"/>
          <w:szCs w:val="20"/>
          <w:rtl w:val="0"/>
        </w:rPr>
        <w:t xml:space="preserve">. The upward trend indicates </w:t>
      </w:r>
      <w:r w:rsidDel="00000000" w:rsidR="00000000" w:rsidRPr="00000000">
        <w:rPr>
          <w:b w:val="1"/>
          <w:bCs w:val="1"/>
          <w:sz w:val="20"/>
          <w:szCs w:val="20"/>
          <w:rtl w:val="0"/>
        </w:rPr>
        <w:t xml:space="preserve">steady patient engagement</w:t>
      </w:r>
      <w:r w:rsidDel="00000000" w:rsidR="00000000" w:rsidRPr="00000000">
        <w:rPr>
          <w:sz w:val="20"/>
          <w:szCs w:val="20"/>
          <w:rtl w:val="0"/>
        </w:rPr>
        <w:t xml:space="preserve">, with several individuals contributing multiple comments (over 25 in some cases). This pattern reflects </w:t>
      </w:r>
      <w:r w:rsidDel="00000000" w:rsidR="00000000" w:rsidRPr="00000000">
        <w:rPr>
          <w:b w:val="1"/>
          <w:bCs w:val="1"/>
          <w:sz w:val="20"/>
          <w:szCs w:val="20"/>
          <w:rtl w:val="0"/>
        </w:rPr>
        <w:t xml:space="preserve">consistent follow-up and feedback activity</w:t>
      </w:r>
      <w:r w:rsidDel="00000000" w:rsidR="00000000" w:rsidRPr="00000000">
        <w:rPr>
          <w:sz w:val="20"/>
          <w:szCs w:val="20"/>
          <w:rtl w:val="0"/>
        </w:rPr>
        <w:t xml:space="preserve">, essential for effective PCOS management tracking.</w:t>
      </w:r>
    </w:p>
    <w:p w:rsidR="00000000" w:rsidDel="00000000" w:rsidP="00000000" w:rsidRDefault="00000000" w:rsidRPr="00000000" w14:paraId="0000003D">
      <w:pPr>
        <w:rPr>
          <w:b w:val="1"/>
          <w:bCs w:val="1"/>
          <w:sz w:val="20"/>
          <w:szCs w:val="20"/>
          <w:u w:val="single"/>
        </w:rPr>
      </w:pPr>
      <w:r w:rsidDel="00000000" w:rsidR="00000000" w:rsidRPr="00000000">
        <w:rPr>
          <w:b w:val="1"/>
          <w:bCs w:val="1"/>
          <w:sz w:val="20"/>
          <w:szCs w:val="20"/>
          <w:u w:val="single"/>
          <w:rtl w:val="0"/>
        </w:rPr>
        <w:t xml:space="preserve">CHALLENGES WE FACED IN THE DATATHON:</w:t>
      </w:r>
    </w:p>
    <w:p w:rsidR="00000000" w:rsidDel="00000000" w:rsidP="00000000" w:rsidRDefault="00000000" w:rsidRPr="00000000" w14:paraId="0000003E">
      <w:pPr>
        <w:rPr>
          <w:b w:val="1"/>
          <w:bCs w:val="1"/>
          <w:sz w:val="20"/>
          <w:szCs w:val="20"/>
          <w:u w:val="single"/>
        </w:rPr>
      </w:pPr>
      <w:r w:rsidDel="00000000" w:rsidR="00000000" w:rsidRPr="00000000">
        <w:rPr>
          <w:rtl w:val="0"/>
        </w:rPr>
      </w:r>
    </w:p>
    <w:p w:rsidR="00000000" w:rsidDel="00000000" w:rsidP="00000000" w:rsidRDefault="00000000" w:rsidRPr="00000000" w14:paraId="0000003F">
      <w:pPr>
        <w:numPr>
          <w:ilvl w:val="0"/>
          <w:numId w:val="1"/>
        </w:numPr>
        <w:ind w:left="720" w:hanging="360"/>
        <w:rPr>
          <w:sz w:val="20"/>
          <w:szCs w:val="20"/>
          <w:u w:val="none"/>
        </w:rPr>
      </w:pPr>
      <w:r w:rsidDel="00000000" w:rsidR="00000000" w:rsidRPr="00000000">
        <w:rPr>
          <w:sz w:val="20"/>
          <w:szCs w:val="20"/>
          <w:rtl w:val="0"/>
        </w:rPr>
        <w:t xml:space="preserve">We encountered file compatibility issues as we were users with both MAC and windows. So we figured out a way by giving a centralized path for uploading the data tables so that we can dynamically change the file path easily.</w:t>
      </w:r>
    </w:p>
    <w:p w:rsidR="00000000" w:rsidDel="00000000" w:rsidP="00000000" w:rsidRDefault="00000000" w:rsidRPr="00000000" w14:paraId="00000040">
      <w:pPr>
        <w:numPr>
          <w:ilvl w:val="0"/>
          <w:numId w:val="1"/>
        </w:numPr>
        <w:ind w:left="720" w:hanging="360"/>
        <w:rPr>
          <w:sz w:val="20"/>
          <w:szCs w:val="20"/>
          <w:u w:val="none"/>
        </w:rPr>
      </w:pPr>
      <w:r w:rsidDel="00000000" w:rsidR="00000000" w:rsidRPr="00000000">
        <w:rPr>
          <w:sz w:val="20"/>
          <w:szCs w:val="20"/>
          <w:rtl w:val="0"/>
        </w:rPr>
        <w:t xml:space="preserve">During data staging in Power BI via the Folder Upload method, schema mismatches across CSV files caused ingestion errors and disrupted automatic transformations. To resolve this, we adopted a Folder Upload + Load approach, enabling file ingestion, manual schema normalization, and reliable, traceable data transformation.</w:t>
      </w:r>
    </w:p>
    <w:p w:rsidR="00000000" w:rsidDel="00000000" w:rsidP="00000000" w:rsidRDefault="00000000" w:rsidRPr="00000000" w14:paraId="00000041">
      <w:pPr>
        <w:numPr>
          <w:ilvl w:val="0"/>
          <w:numId w:val="1"/>
        </w:numPr>
        <w:ind w:left="720" w:hanging="360"/>
        <w:rPr>
          <w:sz w:val="20"/>
          <w:szCs w:val="20"/>
          <w:u w:val="none"/>
        </w:rPr>
      </w:pPr>
      <w:r w:rsidDel="00000000" w:rsidR="00000000" w:rsidRPr="00000000">
        <w:rPr>
          <w:sz w:val="20"/>
          <w:szCs w:val="20"/>
          <w:rtl w:val="0"/>
        </w:rPr>
        <w:t xml:space="preserve">The SteroidDose field in the SteroidUse table  contained inconsistent free-text formats, complicating both dosage standardization and treatment pattern classification. We resolved this by creating a DAX expression that parses numeric values and detects key phrases to dynamically categorize regimens for consistent clinical analysis.</w:t>
      </w:r>
    </w:p>
    <w:p w:rsidR="00000000" w:rsidDel="00000000" w:rsidP="00000000" w:rsidRDefault="00000000" w:rsidRPr="00000000" w14:paraId="00000042">
      <w:pPr>
        <w:pStyle w:val="Heading2"/>
        <w:keepNext w:val="0"/>
        <w:keepLines w:val="0"/>
        <w:spacing w:after="80" w:lineRule="auto"/>
        <w:rPr>
          <w:b w:val="1"/>
          <w:bCs w:val="1"/>
          <w:sz w:val="20"/>
          <w:szCs w:val="20"/>
        </w:rPr>
      </w:pPr>
      <w:bookmarkStart w:colFirst="0" w:colLast="0" w:name="_euukxew8uv9d" w:id="23"/>
      <w:bookmarkEnd w:id="23"/>
      <w:r w:rsidDel="00000000" w:rsidR="00000000" w:rsidRPr="00000000">
        <w:rPr>
          <w:b w:val="1"/>
          <w:bCs w:val="1"/>
          <w:sz w:val="20"/>
          <w:szCs w:val="20"/>
          <w:rtl w:val="0"/>
        </w:rPr>
        <w:t xml:space="preserve">Overall Summary:</w:t>
      </w:r>
    </w:p>
    <w:p w:rsidR="00000000" w:rsidDel="00000000" w:rsidP="00000000" w:rsidRDefault="00000000" w:rsidRPr="00000000" w14:paraId="00000043">
      <w:pPr>
        <w:spacing w:after="240" w:before="240" w:lineRule="auto"/>
        <w:jc w:val="both"/>
        <w:rPr>
          <w:sz w:val="20"/>
          <w:szCs w:val="20"/>
        </w:rPr>
      </w:pPr>
      <w:r w:rsidDel="00000000" w:rsidR="00000000" w:rsidRPr="00000000">
        <w:rPr>
          <w:sz w:val="20"/>
          <w:szCs w:val="20"/>
          <w:rtl w:val="0"/>
        </w:rPr>
        <w:t xml:space="preserve">The dashboards present  a comprehensive view of maternal, fetal, and metabolic health. Maternal vitals and ultrasound schedules remained stable, reflecting effective prenatal monitoring. GDM screening and hypertension management were consistent, with hypertension emerging as the stronger driver of preterm births and C-sections.PCOS insights reveal individualized treatment patterns, primarily with Metformin and Spironolactone, highlighting tailored metabolic care. Patient engagement through consistent feedback indicates active follow-up, though some data gaps remain.Pregnancy outcomes were favorable low anomaly and preterm rates, balanced gender distribution, and strong IVF success trends. Demographic and comorbidity analyses emphasize equitable care and multidisciplinary management.</w:t>
      </w:r>
    </w:p>
    <w:p w:rsidR="00000000" w:rsidDel="00000000" w:rsidP="00000000" w:rsidRDefault="00000000" w:rsidRPr="00000000" w14:paraId="00000044">
      <w:pPr>
        <w:spacing w:after="240" w:before="240" w:lineRule="auto"/>
        <w:jc w:val="both"/>
        <w:rPr>
          <w:sz w:val="20"/>
          <w:szCs w:val="20"/>
        </w:rPr>
      </w:pPr>
      <w:r w:rsidDel="00000000" w:rsidR="00000000" w:rsidRPr="00000000">
        <w:rPr>
          <w:sz w:val="20"/>
          <w:szCs w:val="20"/>
          <w:rtl w:val="0"/>
        </w:rPr>
        <w:t xml:space="preserve">Overall, the data reflects strong prenatal engagement, effective chronic condition management, and improved maternal–infant health outcomes driven by proactive, data-informed care.</w:t>
      </w:r>
    </w:p>
    <w:p w:rsidR="00000000" w:rsidDel="00000000" w:rsidP="00000000" w:rsidRDefault="00000000" w:rsidRPr="00000000" w14:paraId="00000045">
      <w:pPr>
        <w:ind w:left="0" w:firstLine="0"/>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