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  <w:pStyle w:val="Title"/>
      </w:pPr>
      <w:r>
        <w:rPr>
          <w:b/>
          <w:color w:val="0F172A"/>
          <w:sz w:val="48"/>
        </w:rPr>
        <w:t xml:space="preserve">⚡ AGY Quant Platform V2: Comprehensive Platform Guide</w:t>
      </w:r>
    </w:p>
    <w:p>
      <w:pPr>
        <w:spacing w:after="240"/>
      </w:pPr>
      <w:r>
        <w:rPr>
          <w:i/>
          <w:color w:val="64748B"/>
          <w:sz w:val="20"/>
        </w:rPr>
        <w:t xml:space="preserve">Public Testbed Edition • High-Conviction Tactical Engine • Generated on: September 26, 2026 - 01:28 PM IST</w:t>
      </w:r>
    </w:p>
    <w:p>
      <w:pPr>
        <w:spacing w:after="120"/>
      </w:pPr>
      <w:r>
        <w:rPr>
          <w:b/>
          <w:color w:val="1E3A8A"/>
          <w:sz w:val="30"/>
        </w:rPr>
        <w:t xml:space="preserve">1. Platform Overview &amp; Architecture</w:t>
      </w:r>
    </w:p>
    <w:p>
      <w:pPr>
        <w:spacing w:after="120"/>
      </w:pPr>
      <w:r>
        <w:rPr/>
        <w:t xml:space="preserve">The AGY Quant Platform V2 is an institutional-grade, zero-credential tactical screening and paper trading system. Engineered for the Indian equities and ETF universe, V2 operates autonomously without requiring third-party cloud secrets, relying on high-performance local CSV persistence and standard HTTP triggers.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Active Universe: </w:t>
      </w:r>
      <w:r>
        <w:rPr>
          <w:color w:val="334155"/>
        </w:rPr>
        <w:t xml:space="preserve">52 NSE Large &amp; Midcap Equities + 35 Liquid NSE ETFs (Total 87 active instruments).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Security Model: </w:t>
      </w:r>
      <w:r>
        <w:rPr>
          <w:color w:val="334155"/>
        </w:rPr>
        <w:t xml:space="preserve">Zero Cloud Secrets (No Google Service Accounts or Telegram tokens needed in V2).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Automation Engine: </w:t>
      </w:r>
      <w:r>
        <w:rPr>
          <w:color w:val="334155"/>
        </w:rPr>
        <w:t xml:space="preserve">cron-job.org HTTP GET/POST queries, GitHub Actions, or standalone Python scheduler.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Exit Rules: </w:t>
      </w:r>
      <w:r>
        <w:rPr>
          <w:color w:val="334155"/>
        </w:rPr>
        <w:t xml:space="preserve">Target Achieved, Stop Loss, Dynamic Trailing Profit Lock, Overbought Swing Exit, and 3:10 PM Square-off.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Dividend Analytics: </w:t>
      </w:r>
      <w:r>
        <w:rPr>
          <w:color w:val="334155"/>
        </w:rPr>
        <w:t xml:space="preserve">Dividend Yield % tracking with high-yield badges (&gt;= 3.0%) for value &amp; compounding.</w:t>
      </w:r>
    </w:p>
    <w:p>
      <w:pPr>
        <w:spacing w:after="120"/>
      </w:pPr>
      <w:r>
        <w:rPr>
          <w:b/>
          <w:color w:val="1E3A8A"/>
          <w:sz w:val="30"/>
        </w:rPr>
        <w:t xml:space="preserve">2. Universal Safety Guards &amp; Pre-Screening</w:t>
      </w:r>
    </w:p>
    <w:p>
      <w:pPr>
        <w:spacing w:after="100"/>
      </w:pPr>
      <w:r>
        <w:rPr/>
        <w:t xml:space="preserve">Before any asset is ranked, it passes through four non-negotiable safety filters to eliminate structural decline and illiquidity: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Data Integrity Guard: </w:t>
      </w:r>
      <w:r>
        <w:rPr>
          <w:color w:val="334155"/>
        </w:rPr>
        <w:t xml:space="preserve">Requires min 10 historical trading bars with non-zero Close prices.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Falling Knife Reversal Guard: </w:t>
      </w:r>
      <w:r>
        <w:rPr>
          <w:color w:val="334155"/>
        </w:rPr>
        <w:t xml:space="preserve">Requires RSI_t &gt; RSI_{t-1} or Close &gt; Prev Day High. Discards free-falling knife assets.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iNAV Dislocation Filter (ETFs): </w:t>
      </w:r>
      <w:r>
        <w:rPr>
          <w:color w:val="334155"/>
        </w:rPr>
        <w:t xml:space="preserve">Checks price dislocation vs 5-day median. Flags ETFs with premium &gt; +0.35% over fair value.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Structural 200 DMA Guard (Stocks): </w:t>
      </w:r>
      <w:r>
        <w:rPr>
          <w:color w:val="334155"/>
        </w:rPr>
        <w:t xml:space="preserve">Separates stocks into Trend Healthy (&gt;200 DMA) vs Trend Broken (&lt;200 DMA).</w:t>
      </w:r>
    </w:p>
    <w:p>
      <w:pPr>
        <w:spacing w:after="120"/>
      </w:pPr>
      <w:r>
        <w:rPr>
          <w:b/>
          <w:color w:val="1E3A8A"/>
          <w:sz w:val="30"/>
        </w:rPr>
        <w:t xml:space="preserve">3. Category &amp; Preset Filter Mathematical Logic</w:t>
      </w:r>
    </w:p>
    <w:p>
      <w:pPr>
        <w:spacing w:after="120"/>
      </w:pPr>
      <w:r>
        <w:rPr/>
        <w:t xml:space="preserve">Each preset applies custom technical and fundamental weightings to identify high-probability entries:</w:t>
      </w:r>
    </w:p>
    <w:tbl>
      <w:tblPr>
        <w:tblW w:w="5000" w:type="pct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</w:tblPr>
      <w:tr>
        <w:tc>
          <w:tcPr>
            <w:shd w:val="clear" w:color="auto" w:fill="0F172A"/>
            <w:tcMar>
              <w:top w:w="120"/>
              <w:bottom w:w="120"/>
              <w:left w:w="160"/>
              <w:right w:w="160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Preset / Category</w:t>
            </w:r>
          </w:p>
        </w:tc>
        <w:tc>
          <w:tcPr>
            <w:shd w:val="clear" w:color="auto" w:fill="0F172A"/>
            <w:tcMar>
              <w:top w:w="120"/>
              <w:bottom w:w="120"/>
              <w:left w:w="160"/>
              <w:right w:w="160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Tech / Fund Weight</w:t>
            </w:r>
          </w:p>
        </w:tc>
        <w:tc>
          <w:tcPr>
            <w:shd w:val="clear" w:color="auto" w:fill="0F172A"/>
            <w:tcMar>
              <w:top w:w="120"/>
              <w:bottom w:w="120"/>
              <w:left w:w="160"/>
              <w:right w:w="160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Quantitative Drivers</w:t>
            </w:r>
          </w:p>
        </w:tc>
        <w:tc>
          <w:tcPr>
            <w:shd w:val="clear" w:color="auto" w:fill="0F172A"/>
            <w:tcMar>
              <w:top w:w="120"/>
              <w:bottom w:w="120"/>
              <w:left w:w="160"/>
              <w:right w:w="160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ATR Stop</w:t>
            </w:r>
          </w:p>
        </w:tc>
        <w:tc>
          <w:tcPr>
            <w:shd w:val="clear" w:color="auto" w:fill="0F172A"/>
            <w:tcMar>
              <w:top w:w="120"/>
              <w:bottom w:w="120"/>
              <w:left w:w="160"/>
              <w:right w:w="160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ATR Target</w:t>
            </w:r>
          </w:p>
        </w:tc>
        <w:tc>
          <w:tcPr>
            <w:shd w:val="clear" w:color="auto" w:fill="0F172A"/>
            <w:tcMar>
              <w:top w:w="120"/>
              <w:bottom w:w="120"/>
              <w:left w:w="160"/>
              <w:right w:w="160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Exit Rules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Intraday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85% Tech / 15% Fund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Volume Surge (35%), RSI (30%), BB %B (20%), VWAP (15%)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1.0x ATR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1.8x ATR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Mandatory Auto Square-off at 03:10 PM IST</w:t>
            </w:r>
          </w:p>
        </w:tc>
      </w:tr>
      <w:tr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Swing / Positional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80% Tech / 20% Fund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RSI (30%), 200 DMA (25%), BB %B (20%), VWAP (15%), Stoch (10%)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1.5x ATR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3.0x ATR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Trailing Stop (+3% gain locks +0.5%); RSI &gt;= 76 exit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Long-Term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40% Tech / 60% Fund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200 DMA Discount (45%), RSI (20%), BB %B (20%), Fund Score (15%)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2.5x ATR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5.0x ATR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Hard Filter: Excludes stocks &gt; 10% below 200 DMA</w:t>
            </w:r>
          </w:p>
        </w:tc>
      </w:tr>
      <w:tr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Default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60% Tech / 40% Fund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Balanced Swing Technical Model + 40% Fundamental Liquidity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1.5x ATR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3.0x ATR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Standard Target, Stop Loss, Trailing Stop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AI / RAG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Confluence Model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RSI (35%) + BB %B (25%) + Volume Surge (25%) + MACD Hist (15%)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1.6x ATR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3.2x ATR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Confidence-ranked conviction targets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spacing w:after="120"/>
      </w:pPr>
      <w:r>
        <w:rPr>
          <w:b/>
          <w:color w:val="1E3A8A"/>
          <w:sz w:val="30"/>
        </w:rPr>
        <w:t xml:space="preserve">4. Screener Depth: Directionality &amp; Top 5 Color Coding</w:t>
      </w:r>
    </w:p>
    <w:p>
      <w:pPr>
        <w:spacing w:after="120"/>
      </w:pPr>
      <w:r>
        <w:rPr/>
        <w:t xml:space="preserve">In Tab 1, every column header includes a rich help tooltip (?). Cell-level styling highlights Top 5 BUY candidates in Soft Green (#d4edda) and Top 5 SELL candidates in Soft Red (#f8d7da):</w:t>
      </w:r>
    </w:p>
    <w:tbl>
      <w:tblPr>
        <w:tblW w:w="5000" w:type="pct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</w:tblPr>
      <w:tr>
        <w:tc>
          <w:tcPr>
            <w:shd w:val="clear" w:color="auto" w:fill="0F172A"/>
            <w:tcMar>
              <w:top w:w="120"/>
              <w:bottom w:w="120"/>
              <w:left w:w="160"/>
              <w:right w:w="160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Indicator Column</w:t>
            </w:r>
          </w:p>
        </w:tc>
        <w:tc>
          <w:tcPr>
            <w:shd w:val="clear" w:color="auto" w:fill="0F172A"/>
            <w:tcMar>
              <w:top w:w="120"/>
              <w:bottom w:w="120"/>
              <w:left w:w="160"/>
              <w:right w:w="160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Direction for BUY (Green)</w:t>
            </w:r>
          </w:p>
        </w:tc>
        <w:tc>
          <w:tcPr>
            <w:shd w:val="clear" w:color="auto" w:fill="0F172A"/>
            <w:tcMar>
              <w:top w:w="120"/>
              <w:bottom w:w="120"/>
              <w:left w:w="160"/>
              <w:right w:w="160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Direction for SELL (Red)</w:t>
            </w:r>
          </w:p>
        </w:tc>
        <w:tc>
          <w:tcPr>
            <w:shd w:val="clear" w:color="auto" w:fill="0F172A"/>
            <w:tcMar>
              <w:top w:w="120"/>
              <w:bottom w:w="120"/>
              <w:left w:w="160"/>
              <w:right w:w="160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Financial / Quantitative Edge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Composite Buy Score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LOWER is Better (Top 5 Lowest)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HIGHER is Better (Top 5 Highest)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Lower score = multi-indicator oversold discount. Higher = stretched rally.</w:t>
            </w:r>
          </w:p>
        </w:tc>
      </w:tr>
      <w:tr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Technical Score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LOWER is Better (Top 5 Lowest)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HIGHER is Better (Top 5 Highest)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Lower score = oversold across moving averages and oscillators.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Fundamental Score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LOWER is Better (Top 5 Lowest)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HIGHER is Better (Top 5 Highest)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Lower score = high turnover, tight spreads, minimal expense friction.</w:t>
            </w:r>
          </w:p>
        </w:tc>
      </w:tr>
      <w:tr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RSI (14D)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LOWER is Better (&lt; 35)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HIGHER is Better (&gt; 65)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Oversold capitulation dip vs overbought momentum distribution.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Bollinger %B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LOWER is Better (&lt; 0.15)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HIGHER is Better (&gt; 0.85)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Lower 2-sigma band compression vs upper band test.</w:t>
            </w:r>
          </w:p>
        </w:tc>
      </w:tr>
      <w:tr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Dist VWAP %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LOWER / NEGATIVE (Deep Discount)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HIGHER / POSITIVE (Premium)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Negative spread buys below institutional volume-weighted benchmark.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Dist 20/50/200 DMA %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LOWER / NEGATIVE (Deep Pullback)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HIGHER / POSITIVE (Extended)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Institutional pullbacks to support vs mean-reversion risk.</w:t>
            </w:r>
          </w:p>
        </w:tc>
      </w:tr>
      <w:tr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Dist 52W Low %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LOWER is Better (&lt; 6%)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HIGHER is Better (&gt; 40%)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Tight structural floor with tight risk vs mature bull move.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Volume Surge Ratio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HIGHER is Better (&gt; 1.5x)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N/A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Confirms institutional accumulation and buying conviction.</w:t>
            </w:r>
          </w:p>
        </w:tc>
      </w:tr>
      <w:tr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RS Spread 21D %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HIGHER is Better (Alpha Leader)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LOWER is Better (Lagging)</w:t>
            </w:r>
          </w:p>
        </w:tc>
        <w:tc>
          <w:tcPr>
            <w:shd w:val="clear" w:color="auto" w:fill="F8FAFC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Positive spread indicates stock is outperforming Nifty 50 benchmark.</w:t>
            </w:r>
          </w:p>
        </w:tc>
      </w:tr>
      <w:tr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Dividend Yield %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HIGHER is Better (Top 5 Highest)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N/A</w:t>
            </w:r>
          </w:p>
        </w:tc>
        <w:tc>
          <w:tcPr>
            <w:shd w:val="clear" w:color="auto" w:fill="FFFFFF"/>
            <w:tcMar>
              <w:top w:w="100"/>
              <w:bottom w:w="100"/>
              <w:left w:w="160"/>
              <w:right w:w="160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Higher yield indicates cash-flow support, defensive value, and dividend compounding.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spacing w:after="120"/>
      </w:pPr>
      <w:r>
        <w:rPr>
          <w:b/>
          <w:color w:val="1E3A8A"/>
          <w:sz w:val="30"/>
        </w:rPr>
        <w:t xml:space="preserve">5. Dividend Indication &amp; High-Yield Asset Guide</w:t>
      </w:r>
    </w:p>
    <w:p>
      <w:pPr>
        <w:spacing w:after="100"/>
      </w:pPr>
      <w:r>
        <w:rPr/>
        <w:t xml:space="preserve">Dividend yields provide a powerful cash-flow cushion during market corrections. V2 classifies assets into four dividend tiers: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💰 High Yield (&gt;= 3.0%): </w:t>
      </w:r>
      <w:r>
        <w:rPr>
          <w:color w:val="334155"/>
        </w:rPr>
        <w:t xml:space="preserve">Coal India (7.5%), ONGC (5.2%), BPCL (5.8%), Power Grid (3.6%), NTPC (3.3%), ITC (3.5%), CPSE ETF (4.5%), Div Opp ETF (4.2%).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💵 Moderate Yield (1.0% - 3.0%): </w:t>
      </w:r>
      <w:r>
        <w:rPr>
          <w:color w:val="334155"/>
        </w:rPr>
        <w:t xml:space="preserve">TCS (2.6%), HCL Tech (3.1%), Infosys (2.5%), Tech Mahindra (2.8%), Tata Steel (2.7%), Nifty 50 BeES (1.2%).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🌱 Growth / Low Yield (&lt; 1.0%): </w:t>
      </w:r>
      <w:r>
        <w:rPr>
          <w:color w:val="334155"/>
        </w:rPr>
        <w:t xml:space="preserve">Reliance (0.3%), HDFC Bank (1.2%), Bharti Airtel (0.7%), L&amp;T (0.9%), Titan (0.4%), Midcap 150 ETF (0.8%).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⚪ Zero Dividend (Commodities / US Tech): </w:t>
      </w:r>
      <w:r>
        <w:rPr>
          <w:color w:val="334155"/>
        </w:rPr>
        <w:t xml:space="preserve">Gold BeES, Silver BeES, International Nasdaq/NYSE FANG+ ETFs.</w:t>
      </w:r>
    </w:p>
    <w:p>
      <w:pPr>
        <w:spacing w:after="120"/>
      </w:pPr>
      <w:r>
        <w:rPr>
          <w:b/>
          <w:color w:val="1E3A8A"/>
          <w:sz w:val="30"/>
        </w:rPr>
        <w:t xml:space="preserve">6. Comprehensive Auto-Exit Engine</w:t>
      </w:r>
    </w:p>
    <w:p>
      <w:pPr>
        <w:spacing w:after="100"/>
      </w:pPr>
      <w:r>
        <w:rPr/>
        <w:t xml:space="preserve">Every trade lifecycle is guarded by 5 automated exit mechanisms evaluated continuously on cron triggers and page loads: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1. Target Price Achieved (TARGET_ACHIEVED): </w:t>
      </w:r>
      <w:r>
        <w:rPr>
          <w:color w:val="334155"/>
        </w:rPr>
        <w:t xml:space="preserve">Triggered when CMP &gt;= Volatility Target Price. Locks in gain.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2. Stop Loss Hit (STOP_LOSS_HIT): </w:t>
      </w:r>
      <w:r>
        <w:rPr>
          <w:color w:val="334155"/>
        </w:rPr>
        <w:t xml:space="preserve">Triggered when CMP &lt;= Volatility Stop Loss Price. Preserves capital.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3. Dynamic Trailing Profit Lock (TRAILING_STOP_HIT): </w:t>
      </w:r>
      <w:r>
        <w:rPr>
          <w:color w:val="334155"/>
        </w:rPr>
        <w:t xml:space="preserve">Once unrealized profit reaches +3.0%, the stop loss moves to +0.5% above entry.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4. Overbought Swing Exhaustion (OVERBOUGHT_EXIT): </w:t>
      </w:r>
      <w:r>
        <w:rPr>
          <w:color w:val="334155"/>
        </w:rPr>
        <w:t xml:space="preserve">For swing trades, if RSI(14) &gt;= 76 and profit &gt; +1.5%, gains are locked early.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5. Intraday Auto Square-off (INTRADAY_SQUAREOFF): </w:t>
      </w:r>
      <w:r>
        <w:rPr>
          <w:color w:val="334155"/>
        </w:rPr>
        <w:t xml:space="preserve">Triggered at 03:10 PM IST to close all intraday trades at current market price.</w:t>
      </w:r>
    </w:p>
    <w:p>
      <w:pPr>
        <w:spacing w:after="120"/>
      </w:pPr>
      <w:r>
        <w:rPr>
          <w:b/>
          <w:color w:val="1E3A8A"/>
          <w:sz w:val="30"/>
        </w:rPr>
        <w:t xml:space="preserve">7. External Cron Automation (cron-job.org)</w:t>
      </w:r>
    </w:p>
    <w:p>
      <w:pPr>
        <w:spacing w:after="100"/>
      </w:pPr>
      <w:r>
        <w:rPr/>
        <w:t xml:space="preserve">You can automate the platform for free using https://cron-job.org/en/ via two methods: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Method 1: Direct App Query (No extra server needed): </w:t>
      </w:r>
      <w:r>
        <w:rPr>
          <w:color w:val="334155"/>
        </w:rPr>
        <w:t xml:space="preserve">Ping your Streamlit app directly with GET: https://&lt;your-app&gt;.streamlit.app/?cron_trigger=1&amp;mode=PAPER_TRADE_3PM&amp;token=agy_quant_secure_token_2026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Method 2: Standalone Webhook Server: </w:t>
      </w:r>
      <w:r>
        <w:rPr>
          <w:color w:val="334155"/>
        </w:rPr>
        <w:t xml:space="preserve">Host cron_webhook.py on Render/VPS and point cron-job.org POST to /trigger with JSON payload: {"mode": "PAPER_TRADE_3PM", "token": "..."}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Daily Schedule: </w:t>
      </w:r>
      <w:r>
        <w:rPr>
          <w:color w:val="334155"/>
        </w:rPr>
        <w:t xml:space="preserve">09:45 AM IST (Intraday Entry), 03:00 PM IST (3 PM Accumulation &amp; AI/RAG), 03:10 PM IST (Intraday Square-off).</w:t>
      </w:r>
    </w:p>
    <w:p>
      <w:pPr>
        <w:spacing w:after="120"/>
      </w:pPr>
      <w:r>
        <w:rPr>
          <w:b/>
          <w:color w:val="1E3A8A"/>
          <w:sz w:val="30"/>
        </w:rPr>
        <w:t xml:space="preserve">8. Multi-Regime &amp; Category Performance Matrix</w:t>
      </w:r>
    </w:p>
    <w:p>
      <w:pPr>
        <w:spacing w:after="120"/>
      </w:pPr>
      <w:r>
        <w:rPr/>
        <w:t xml:space="preserve">Tab 2 provides a dual-axis KPI matrix slicing performance by Strategy Preset and Market Regime at Entry (Strong Bull, Bear / Correction, Sideways Consolidation). It computes Win Rate %, Profit Factor, Realized Net PnL, Unrealized MTM, and Average Holding Duration.</w:t>
      </w:r>
    </w:p>
    <w:p>
      <w:pPr>
        <w:spacing w:after="120"/>
      </w:pPr>
      <w:r>
        <w:rPr>
          <w:b/>
          <w:color w:val="1E3A8A"/>
          <w:sz w:val="30"/>
        </w:rPr>
        <w:t xml:space="preserve">9. Interactive Parameter Calibration Studio &amp; Strategy Evolution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Interactive Sliders: </w:t>
      </w:r>
      <w:r>
        <w:rPr>
          <w:color w:val="334155"/>
        </w:rPr>
        <w:t xml:space="preserve">Adjust indicator weights (DMA, RSI, Low, Volume, %B, VWAP) via GUI sliders in real time without modifying source code.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Directionality Matrix: </w:t>
      </w:r>
      <w:r>
        <w:rPr>
          <w:color w:val="334155"/>
        </w:rPr>
        <w:t xml:space="preserve">Clear specifications explain whether higher or lower values indicate a stronger BUY edge vs SELL edge across all 34 parameters.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Empirical AI/RAG Auto-Tuner: </w:t>
      </w:r>
      <w:r>
        <w:rPr>
          <w:color w:val="334155"/>
        </w:rPr>
        <w:t xml:space="preserve">AI/RAG diagnoses paper ledger bottlenecks and recommends optimized parameters with a one-click apply button.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Schedule Guard: </w:t>
      </w:r>
      <w:r>
        <w:rPr>
          <w:color w:val="334155"/>
        </w:rPr>
        <w:t xml:space="preserve">Configurable schedule guard (unlocked 7 days/week in testbed for full simulation).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Monthly Performance Evolution: </w:t>
      </w:r>
      <w:r>
        <w:rPr>
          <w:color w:val="334155"/>
        </w:rPr>
        <w:t xml:space="preserve">Tracks month-over-month Win Rate %, Profit Factor, Realized PnL, and parameter tuning event frequencies.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Parameter Change Audit Log: </w:t>
      </w:r>
      <w:r>
        <w:rPr>
          <w:color w:val="334155"/>
        </w:rPr>
        <w:t xml:space="preserve">Chronological audit trail logging every manual adjustment, AI auto-tune, and baseline reset.</w:t>
      </w:r>
    </w:p>
    <w:p>
      <w:pPr>
        <w:spacing w:after="120"/>
      </w:pPr>
      <w:r>
        <w:rPr>
          <w:b/>
          <w:color w:val="1E3A8A"/>
          <w:sz w:val="30"/>
        </w:rPr>
        <w:t xml:space="preserve">10. Support, Resistance &amp; Range-Bound Quant Lab (Tab 4)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Algorithmic S/R Detection: </w:t>
      </w:r>
      <w:r>
        <w:rPr>
          <w:color w:val="334155"/>
        </w:rPr>
        <w:t xml:space="preserve">Detects Immediate Support (S1), Structural Floor (S2), Immediate Resistance (R1), Structural Ceiling (R2), and Channel Midline.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Range Regime &amp; Signals: </w:t>
      </w:r>
      <w:r>
        <w:rPr>
          <w:color w:val="334155"/>
        </w:rPr>
        <w:t xml:space="preserve">ADX &lt; 22 and Choppiness Index identify consolidation boxes. Generates BUY AT SUPPORT, SELL AT RESISTANCE, and BREAKOUT RUNNER signals.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5-Year Empirical Backtest: </w:t>
      </w:r>
      <w:r>
        <w:rPr>
          <w:color w:val="334155"/>
        </w:rPr>
        <w:t xml:space="preserve">Simulates 5-6 years of daily data (~1,250 bars) for support bounces. Measures Win Rate %, Average PnL %, and Profit Factor.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Predictability Leaderboard &amp; Priority Sorting: </w:t>
      </w:r>
      <w:r>
        <w:rPr>
          <w:color w:val="334155"/>
        </w:rPr>
        <w:t xml:space="preserve">Ranks the universe by S/R fidelity (e.g. Cholamandalam 84.6%, Gold BeES 71.4%, Maruti 61.5%, ITC 56.5%) with best predictability picks sorted on top descending.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Visual Heatmap Styling: </w:t>
      </w:r>
      <w:r>
        <w:rPr>
          <w:color w:val="334155"/>
        </w:rPr>
        <w:t xml:space="preserve">Soft Green highlights favourable buy values (BUY AT SUPPORT, ACCUMULATE, Range &lt;= 30%, Target, Win Rate &gt;= 60%) and Soft Red highlights exit values (SELL AT RESISTANCE, DISTRIBUTION, Range &gt;= 70%, Stop Loss, RSI &gt;= 65).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Paper Trading Execution: </w:t>
      </w:r>
      <w:r>
        <w:rPr>
          <w:color w:val="334155"/>
        </w:rPr>
        <w:t xml:space="preserve">One-click execution from Tab 4 logs trades directly into Tab 2 Paper Trading Ledger; automated 3 PM daemon also scans and executes top S/R candidates with systematic Stop Loss &amp; Target exit monitoring.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34-Parameter Deep Dive: </w:t>
      </w:r>
      <w:r>
        <w:rPr>
          <w:color w:val="334155"/>
        </w:rPr>
        <w:t xml:space="preserve">Complete parameter laboratory showing all 34 technical, quantitative, momentum, and fundamental metrics for any selected asset.</w:t>
      </w:r>
    </w:p>
    <w:p>
      <w:pPr>
        <w:spacing w:after="120"/>
      </w:pPr>
      <w:r>
        <w:rPr>
          <w:b/>
          <w:color w:val="1E3A8A"/>
          <w:sz w:val="30"/>
        </w:rPr>
        <w:t xml:space="preserve">11. Universe Intelligence &amp; Dynamic NIFTY 250 / Non-Sectoral Expansion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Universal 1-Click Expansion: </w:t>
      </w:r>
      <w:r>
        <w:rPr>
          <w:color w:val="334155"/>
        </w:rPr>
        <w:t xml:space="preserve">One-click button in the Sidebar and Tab 1 expands the universe from 87 assets to 297 assets (250 Large &amp; Midcaps + 47 Non-Sectoral ETFs) across all tabs.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NIFTY LargeMidcap 250 Coverage: </w:t>
      </w:r>
      <w:r>
        <w:rPr>
          <w:color w:val="334155"/>
        </w:rPr>
        <w:t xml:space="preserve">Covers the top 100 largecaps and 150 high-conviction midcaps across 16 economic sectors (Industrials, Defense, IT, Banking, Auto, Pharma, FMCG, Power, Chemicals, EMS, QSR, Realty).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Macro Non-Sectoral ETF Guarantee: </w:t>
      </w:r>
      <w:r>
        <w:rPr>
          <w:color w:val="334155"/>
        </w:rPr>
        <w:t xml:space="preserve">Curated strictly to broad market indices (Nifty 50, Next 50, Midcap 150, Smallcap 250, 500), factor/smart-beta (Alpha, Quality, Momentum, Low Vol, Value, Equal Weight), commodities (Gold/Silver), and global equities (Nasdaq, S&amp;P 500). Sectoral bets are excluded to avoid cyclical concentration.</w:t>
      </w:r>
    </w:p>
    <w:p>
      <w:pPr>
        <w:spacing w:after="80"/>
        <w:ind w:left="360" w:hanging="240"/>
      </w:pPr>
      <w:r>
        <w:rPr>
          <w:color w:val="2563EB"/>
        </w:rPr>
        <w:t>• </w:t>
      </w:r>
      <w:r>
        <w:rPr>
          <w:b/>
          <w:color w:val="0F172A"/>
        </w:rPr>
        <w:t xml:space="preserve">Persistent Configuration: </w:t>
      </w:r>
      <w:r>
        <w:rPr>
          <w:color w:val="334155"/>
        </w:rPr>
        <w:t xml:space="preserve">State persists cleanly in runtime_config.json and universe_config.json across browser reloads, background daemon sessions, and automated cron execution.</w:t>
      </w:r>
    </w:p>
    <w:p>
      <w:pPr>
        <w:spacing w:after="180"/>
      </w:pPr>
      <w:r>
        <w:rPr/>
        <w:t xml:space="preserve"/>
      </w:r>
    </w:p>
    <w:p>
      <w:pPr>
        <w:spacing w:after="120"/>
      </w:pPr>
      <w:r>
        <w:rPr>
          <w:i/>
          <w:color w:val="94A3B8"/>
          <w:sz w:val="18"/>
        </w:rPr>
        <w:t xml:space="preserve">© 2026 AGY Quantitative Research Team • Designed for Antigravity Platform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334155"/>
      </w:rPr>
    </w:rPrDefault>
  </w:docDefaults>
  <w:style w:type="paragraph" w:styleId="Normal" w:default="1">
    <w:name w:val="Normal"/>
  </w:style>
  <w:style w:type="paragraph" w:styleId="Title">
    <w:name w:val="Title"/>
    <w:rPr>
      <w:rFonts w:ascii="Calibri" w:hAnsi="Calibri"/>
      <w:b/>
      <w:sz w:val="48"/>
      <w:color w:val="0F17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