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C4C22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olor w:val="000000"/>
          <w:kern w:val="24"/>
        </w:rPr>
        <w:t>МИНИСТЕРСТВО НАУКИ И ВЫСШЕГО ОБРАЗОВАНИЯ</w:t>
      </w:r>
    </w:p>
    <w:p w14:paraId="0A91AAA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</w:p>
    <w:p w14:paraId="114D0E68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14:paraId="542E6CA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образовательное учреждение</w:t>
      </w:r>
    </w:p>
    <w:p w14:paraId="140BC181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caps/>
          <w:color w:val="000000"/>
          <w:kern w:val="24"/>
        </w:rPr>
        <w:t>высшего образования</w:t>
      </w:r>
    </w:p>
    <w:p w14:paraId="220B1C20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</w:pPr>
      <w:r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14:paraId="1F42BC30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__________________________________________________________________</w:t>
      </w:r>
    </w:p>
    <w:p w14:paraId="5E3A38A1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14:paraId="7A9B655B" w14:textId="77777777" w:rsidR="00C7588E" w:rsidRDefault="00C7588E" w:rsidP="00C7588E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Кафедра Автоматизированных систем управления</w:t>
      </w:r>
    </w:p>
    <w:p w14:paraId="368C5157" w14:textId="77777777" w:rsidR="00C7588E" w:rsidRDefault="00C7588E" w:rsidP="00C7588E">
      <w:pPr>
        <w:rPr>
          <w:rFonts w:ascii="Times New Roman" w:hAnsi="Times New Roman"/>
          <w:i/>
          <w:sz w:val="28"/>
          <w:szCs w:val="28"/>
        </w:rPr>
      </w:pPr>
    </w:p>
    <w:p w14:paraId="4019450E" w14:textId="77777777" w:rsidR="00C7588E" w:rsidRDefault="00C7588E" w:rsidP="00C7588E">
      <w:pPr>
        <w:jc w:val="center"/>
        <w:rPr>
          <w:noProof/>
          <w:lang w:eastAsia="ru-RU"/>
        </w:rPr>
      </w:pPr>
    </w:p>
    <w:p w14:paraId="247B0ABF" w14:textId="77777777" w:rsidR="00C7588E" w:rsidRDefault="00C7588E" w:rsidP="00C7588E">
      <w:pPr>
        <w:jc w:val="center"/>
        <w:rPr>
          <w:noProof/>
          <w:lang w:eastAsia="ru-RU"/>
        </w:rPr>
      </w:pPr>
    </w:p>
    <w:p w14:paraId="1F580101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0E2B3F02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C1CF9AF" w14:textId="77777777" w:rsidR="00C7588E" w:rsidRDefault="00C7588E" w:rsidP="00C7588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ОТЧЁТ</w:t>
      </w:r>
    </w:p>
    <w:p w14:paraId="6EA36CC3" w14:textId="47833274" w:rsidR="00C7588E" w:rsidRPr="00936E14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</w:t>
      </w:r>
      <w:r w:rsidRPr="00936E14">
        <w:rPr>
          <w:rFonts w:ascii="Times New Roman" w:hAnsi="Times New Roman"/>
          <w:b/>
          <w:sz w:val="28"/>
          <w:szCs w:val="28"/>
        </w:rPr>
        <w:t>3</w:t>
      </w:r>
    </w:p>
    <w:p w14:paraId="0E906BE7" w14:textId="77777777" w:rsidR="00C7588E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дисциплине: «Методы анализа данных»</w:t>
      </w:r>
    </w:p>
    <w:p w14:paraId="55884885" w14:textId="77777777" w:rsidR="00C7588E" w:rsidRDefault="00C7588E" w:rsidP="00C7588E">
      <w:pPr>
        <w:jc w:val="center"/>
        <w:rPr>
          <w:rFonts w:ascii="Times New Roman" w:hAnsi="Times New Roman"/>
          <w:b/>
          <w:sz w:val="28"/>
          <w:szCs w:val="28"/>
        </w:rPr>
      </w:pPr>
    </w:p>
    <w:p w14:paraId="6852FAB8" w14:textId="77777777" w:rsidR="00C7588E" w:rsidRDefault="00C7588E" w:rsidP="00C7588E">
      <w:pPr>
        <w:jc w:val="center"/>
        <w:rPr>
          <w:rFonts w:ascii="Times New Roman" w:hAnsi="Times New Roman"/>
          <w:i/>
          <w:sz w:val="28"/>
          <w:szCs w:val="28"/>
        </w:rPr>
      </w:pPr>
    </w:p>
    <w:p w14:paraId="52694DF8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Выполнили:                                                                 Проверил:</w:t>
      </w:r>
    </w:p>
    <w:p w14:paraId="2CE0F6DD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Студенты гр. </w:t>
      </w:r>
      <w:r>
        <w:rPr>
          <w:rFonts w:ascii="Times New Roman" w:hAnsi="Times New Roman"/>
          <w:i/>
          <w:sz w:val="28"/>
          <w:szCs w:val="28"/>
        </w:rPr>
        <w:t>АВТ-713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sz w:val="28"/>
          <w:szCs w:val="28"/>
        </w:rPr>
        <w:t xml:space="preserve">АВТФ                                    </w:t>
      </w:r>
      <w:r>
        <w:rPr>
          <w:rFonts w:ascii="Times New Roman" w:hAnsi="Times New Roman"/>
          <w:sz w:val="28"/>
          <w:szCs w:val="28"/>
        </w:rPr>
        <w:t xml:space="preserve">к.т.н., </w:t>
      </w:r>
    </w:p>
    <w:p w14:paraId="4D6B58F9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Тягунова В.В.                                                               Ганелина Н.Д.</w:t>
      </w:r>
    </w:p>
    <w:p w14:paraId="2A411662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Ермаков И.В.</w:t>
      </w:r>
    </w:p>
    <w:p w14:paraId="1E0483D9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Майнгардт А.А.</w:t>
      </w:r>
    </w:p>
    <w:p w14:paraId="2E42D1EF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547C76D8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45E81F13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74FCF73D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27A5C91C" w14:textId="77777777" w:rsidR="00C7588E" w:rsidRDefault="00C7588E" w:rsidP="00C7588E"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</w:p>
    <w:p w14:paraId="1E210B05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74B07C1B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319607FA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</w:p>
    <w:p w14:paraId="63BCD883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</w:t>
      </w:r>
    </w:p>
    <w:p w14:paraId="5ECAF97F" w14:textId="77777777" w:rsidR="00C7588E" w:rsidRDefault="00C7588E" w:rsidP="00C758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430FB205" w14:textId="40D41177" w:rsidR="00C7588E" w:rsidRDefault="00C7588E" w:rsidP="00C7588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36E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</w:t>
      </w:r>
      <w:r w:rsidRPr="006619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Классификация</w:t>
      </w:r>
    </w:p>
    <w:p w14:paraId="22AECE23" w14:textId="4257475C" w:rsidR="00C7588E" w:rsidRPr="00C7588E" w:rsidRDefault="00C7588E" w:rsidP="00AC1417">
      <w:pPr>
        <w:spacing w:after="12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619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изучение методов решения задачи классификации</w:t>
      </w:r>
    </w:p>
    <w:p w14:paraId="21CE796E" w14:textId="09152B7C" w:rsidR="00C7588E" w:rsidRDefault="00C7588E" w:rsidP="00C7588E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А) </w:t>
      </w:r>
      <w:r w:rsidRPr="006619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Описание массива данных</w:t>
      </w:r>
    </w:p>
    <w:p w14:paraId="0C31E235" w14:textId="4A1B4B53" w:rsidR="00C7588E" w:rsidRDefault="00C7588E" w:rsidP="00AC141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исходного массива был выбран набор данных о клиентах банка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елевая переменная, используемая для классификации 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заемщиков – оценка кредитоспособности лица, представленная в виде двух категорий: 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AC14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good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AC141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bad</w:t>
      </w:r>
      <w:r w:rsidR="00AC1417" w:rsidRPr="00AC1417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42583F9" w14:textId="1BADFD5C" w:rsidR="00AC1417" w:rsidRDefault="00AC1417" w:rsidP="00AC141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 данных содержит 1</w:t>
      </w:r>
      <w:r w:rsidR="00797CB3">
        <w:rPr>
          <w:rFonts w:ascii="Times New Roman" w:eastAsia="Times New Roman" w:hAnsi="Times New Roman" w:cs="Times New Roman"/>
          <w:sz w:val="28"/>
          <w:szCs w:val="28"/>
          <w:lang w:eastAsia="ru-RU"/>
        </w:rPr>
        <w:t>5000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</w:t>
      </w:r>
      <w:r w:rsidR="00797CB3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 этом некоторые из записей подержат пропущенные данные (при последующем анализе такие наблюдения будут проигнорированы).</w:t>
      </w:r>
    </w:p>
    <w:p w14:paraId="010E56A5" w14:textId="1E44A189" w:rsidR="00FE7272" w:rsidRDefault="00AC1417" w:rsidP="00EE700C">
      <w:pPr>
        <w:spacing w:before="120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Признаки, используемые при анализе данных:</w:t>
      </w:r>
    </w:p>
    <w:p w14:paraId="49F5D2C5" w14:textId="624C2623" w:rsidR="00AC1417" w:rsidRPr="00BF0625" w:rsidRDefault="00AC1417" w:rsidP="00BF062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0625">
        <w:rPr>
          <w:rFonts w:ascii="Times New Roman" w:hAnsi="Times New Roman" w:cs="Times New Roman"/>
          <w:sz w:val="28"/>
          <w:szCs w:val="28"/>
        </w:rPr>
        <w:t>Кредитный рейтинг (</w:t>
      </w:r>
      <w:r w:rsidRPr="00BF0625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BF0625">
        <w:rPr>
          <w:rFonts w:ascii="Times New Roman" w:hAnsi="Times New Roman" w:cs="Times New Roman"/>
          <w:sz w:val="28"/>
          <w:szCs w:val="28"/>
        </w:rPr>
        <w:t xml:space="preserve">) – интервальная </w:t>
      </w:r>
      <w:r w:rsidR="00EE700C">
        <w:rPr>
          <w:rFonts w:ascii="Times New Roman" w:hAnsi="Times New Roman" w:cs="Times New Roman"/>
          <w:sz w:val="28"/>
          <w:szCs w:val="28"/>
        </w:rPr>
        <w:t>переменная</w:t>
      </w:r>
      <w:r w:rsidR="00BF0625">
        <w:rPr>
          <w:rFonts w:ascii="Times New Roman" w:hAnsi="Times New Roman" w:cs="Times New Roman"/>
          <w:sz w:val="28"/>
          <w:szCs w:val="28"/>
        </w:rPr>
        <w:t>.</w:t>
      </w:r>
    </w:p>
    <w:p w14:paraId="5729389F" w14:textId="379A27A3" w:rsidR="00AC1417" w:rsidRPr="00BF0625" w:rsidRDefault="00AC1417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sz w:val="28"/>
          <w:szCs w:val="28"/>
        </w:rPr>
        <w:t>Баланс банковского счета (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Balance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Current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Account</w:t>
      </w:r>
      <w:r w:rsidRPr="00BF0625">
        <w:rPr>
          <w:rFonts w:ascii="Times New Roman" w:hAnsi="Times New Roman" w:cs="Times New Roman"/>
          <w:sz w:val="28"/>
          <w:szCs w:val="28"/>
        </w:rPr>
        <w:t>)</w:t>
      </w:r>
      <w:r w:rsidR="00BF0625" w:rsidRPr="00BF0625">
        <w:rPr>
          <w:rFonts w:ascii="Times New Roman" w:hAnsi="Times New Roman" w:cs="Times New Roman"/>
          <w:sz w:val="28"/>
          <w:szCs w:val="28"/>
        </w:rPr>
        <w:t xml:space="preserve"> – </w:t>
      </w:r>
      <w:r w:rsidR="00BF0625">
        <w:rPr>
          <w:rFonts w:ascii="Times New Roman" w:hAnsi="Times New Roman" w:cs="Times New Roman"/>
          <w:sz w:val="28"/>
          <w:szCs w:val="28"/>
        </w:rPr>
        <w:t>порядковая</w:t>
      </w:r>
      <w:r w:rsidR="00BF0625"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 w:rsidR="00BF0625">
        <w:rPr>
          <w:rFonts w:ascii="Times New Roman" w:hAnsi="Times New Roman" w:cs="Times New Roman"/>
          <w:sz w:val="28"/>
          <w:szCs w:val="28"/>
        </w:rPr>
        <w:t>.</w:t>
      </w:r>
    </w:p>
    <w:p w14:paraId="784BAF6B" w14:textId="6841C9B6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Срок действия кредита </w:t>
      </w:r>
      <w:r>
        <w:rPr>
          <w:rFonts w:ascii="Times New Roman" w:hAnsi="Times New Roman" w:cs="Times New Roman"/>
          <w:color w:val="000000"/>
          <w:sz w:val="28"/>
          <w:szCs w:val="28"/>
        </w:rPr>
        <w:t>(мес.)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Duration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интервальная </w:t>
      </w:r>
      <w:r w:rsidR="00EE700C">
        <w:rPr>
          <w:rFonts w:ascii="Times New Roman" w:hAnsi="Times New Roman" w:cs="Times New Roman"/>
          <w:color w:val="000000"/>
          <w:sz w:val="28"/>
          <w:szCs w:val="28"/>
        </w:rPr>
        <w:t>переменная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00FFB6" w14:textId="62284D90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Статус погашения ранее оформленных кредитов (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Payment of Previous Credits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) – номинальная переменная.</w:t>
      </w:r>
    </w:p>
    <w:p w14:paraId="3F347709" w14:textId="1D372F24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Цель кредита (</w:t>
      </w:r>
      <w:r w:rsidRPr="00BF062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Purpose of Credit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) – номинальная переменная.</w:t>
      </w:r>
    </w:p>
    <w:p w14:paraId="69182B2E" w14:textId="52D7AC40" w:rsidR="00BF0625" w:rsidRPr="00BF0625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Сумма кредита (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Amount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  <w:lang w:val="en-US"/>
        </w:rPr>
        <w:t>Credit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 xml:space="preserve">) – интервальная </w:t>
      </w:r>
      <w:r w:rsidR="00EE700C">
        <w:rPr>
          <w:rFonts w:ascii="Times New Roman" w:hAnsi="Times New Roman" w:cs="Times New Roman"/>
          <w:color w:val="000000"/>
          <w:sz w:val="28"/>
          <w:szCs w:val="28"/>
        </w:rPr>
        <w:t>переменная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3EAC2D" w14:textId="6284233B" w:rsidR="00BF0625" w:rsidRPr="00CC38EB" w:rsidRDefault="00BF0625" w:rsidP="00BF0625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BF0625">
        <w:rPr>
          <w:rFonts w:ascii="Times New Roman" w:hAnsi="Times New Roman" w:cs="Times New Roman"/>
          <w:color w:val="000000"/>
          <w:sz w:val="28"/>
          <w:szCs w:val="28"/>
        </w:rPr>
        <w:t>Ценность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0625">
        <w:rPr>
          <w:rFonts w:ascii="Times New Roman" w:hAnsi="Times New Roman" w:cs="Times New Roman"/>
          <w:color w:val="000000"/>
          <w:sz w:val="28"/>
          <w:szCs w:val="28"/>
        </w:rPr>
        <w:t>сбережений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of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Savings</w:t>
      </w:r>
      <w:r w:rsidRPr="00CC38EB">
        <w:rPr>
          <w:rFonts w:ascii="Times New Roman" w:hAnsi="Times New Roman" w:cs="Times New Roman"/>
          <w:color w:val="000000"/>
          <w:sz w:val="28"/>
          <w:szCs w:val="28"/>
        </w:rPr>
        <w:t xml:space="preserve">) - </w:t>
      </w:r>
      <w:r w:rsidR="00CC38EB">
        <w:rPr>
          <w:rFonts w:ascii="Times New Roman" w:hAnsi="Times New Roman" w:cs="Times New Roman"/>
          <w:sz w:val="28"/>
          <w:szCs w:val="28"/>
        </w:rPr>
        <w:t>порядковая</w:t>
      </w:r>
      <w:r w:rsidR="00CC38EB"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 w:rsidR="00CC38EB">
        <w:rPr>
          <w:rFonts w:ascii="Times New Roman" w:hAnsi="Times New Roman" w:cs="Times New Roman"/>
          <w:sz w:val="28"/>
          <w:szCs w:val="28"/>
        </w:rPr>
        <w:t>.</w:t>
      </w:r>
    </w:p>
    <w:p w14:paraId="5764D332" w14:textId="77777777" w:rsidR="00CC38EB" w:rsidRPr="00CC38EB" w:rsidRDefault="00CC38EB" w:rsidP="00CC38EB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CC38EB">
        <w:rPr>
          <w:rFonts w:ascii="Times New Roman" w:hAnsi="Times New Roman" w:cs="Times New Roman"/>
          <w:sz w:val="28"/>
          <w:szCs w:val="28"/>
        </w:rPr>
        <w:t>Срок найма нынешним работодателем (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Employed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by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Current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Employer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for</w:t>
      </w:r>
      <w:r w:rsidRPr="00CC38EB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порядковая</w:t>
      </w:r>
      <w:r w:rsidRPr="00BF0625">
        <w:rPr>
          <w:rFonts w:ascii="Times New Roman" w:hAnsi="Times New Roman" w:cs="Times New Roman"/>
          <w:sz w:val="28"/>
          <w:szCs w:val="28"/>
        </w:rPr>
        <w:t xml:space="preserve"> переменная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882BA" w14:textId="2B1CEE1E" w:rsidR="00CC38EB" w:rsidRPr="00CC38EB" w:rsidRDefault="00CC38EB" w:rsidP="00CC38EB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>Рассрочка от имеющегося дохода, % (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Installment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%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of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Available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Income</w:t>
      </w:r>
      <w:r w:rsidRPr="00CC38EB">
        <w:rPr>
          <w:rFonts w:ascii="Times New Roman" w:hAnsi="Times New Roman" w:cs="Times New Roman"/>
          <w:color w:val="000000"/>
          <w:kern w:val="1"/>
          <w:sz w:val="28"/>
          <w:szCs w:val="28"/>
        </w:rPr>
        <w:t>) – порядковая переменная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.</w:t>
      </w:r>
    </w:p>
    <w:p w14:paraId="0FE7B304" w14:textId="531B8B10" w:rsidR="00CC38EB" w:rsidRPr="005724AE" w:rsidRDefault="00CC38EB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Семейное положение</w:t>
      </w:r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(</w:t>
      </w:r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Marital Status</w:t>
      </w:r>
      <w:r w:rsidR="005724AE"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)</w:t>
      </w:r>
      <w:r w:rsid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 xml:space="preserve"> – номинальная переменная.</w:t>
      </w:r>
    </w:p>
    <w:p w14:paraId="1BB09D4F" w14:textId="77777777" w:rsidR="005724AE" w:rsidRPr="005724AE" w:rsidRDefault="005724AE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Пол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</w:rPr>
        <w:t>номинальная переменная.</w:t>
      </w:r>
    </w:p>
    <w:p w14:paraId="62B2D44E" w14:textId="5E3E6243" w:rsidR="005724AE" w:rsidRDefault="005724AE" w:rsidP="005724AE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Время проживания по текущему месту жительства (</w:t>
      </w: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</w:rPr>
        <w:t>Living in Current Household</w:t>
      </w: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 – порядковая переменная.</w:t>
      </w:r>
    </w:p>
    <w:p w14:paraId="1A4C909D" w14:textId="4F81A0EE" w:rsidR="005724AE" w:rsidRPr="00EE700C" w:rsidRDefault="005724AE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5724AE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Наиболее ценный актив (Most Valuable Assets)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– номинальная переменная</w:t>
      </w:r>
      <w:r w:rsid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3B07B5E9" w14:textId="1B1FC46B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Возраст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Age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интервальная переменная.</w:t>
      </w:r>
    </w:p>
    <w:p w14:paraId="2CBF0F25" w14:textId="3E3C2A1B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Планы на дальнейший заем кредитов (Further Running Credits)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- номинальная переменная.</w:t>
      </w:r>
    </w:p>
    <w:p w14:paraId="2528210E" w14:textId="31003761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Тип недвижимости (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Type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of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Apartment</w:t>
      </w: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)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7059596E" w14:textId="63C0AD6C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 w:rsidRPr="00EE700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Число займов, осуществленном ранее в этом банке (Number of Previous Credits at This Bank)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– порядковая переменная.</w:t>
      </w:r>
    </w:p>
    <w:p w14:paraId="71C9F4BA" w14:textId="3C0E77C3" w:rsidR="00EE700C" w:rsidRPr="00EE700C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Занятость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Occupation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121547B0" w14:textId="38E9C612" w:rsidR="00EE700C" w:rsidRPr="005372A7" w:rsidRDefault="00EE700C" w:rsidP="00EE700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Тип населенного пункта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Home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Area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5372A7"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="005372A7"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номинальная переменная.</w:t>
      </w:r>
    </w:p>
    <w:p w14:paraId="7B606ACA" w14:textId="2912F41D" w:rsidR="005372A7" w:rsidRPr="005372A7" w:rsidRDefault="005372A7" w:rsidP="005372A7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Наличие ранее просроченных кредитов (Prior Delinquenc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y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)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порядковая переменная.</w:t>
      </w:r>
    </w:p>
    <w:p w14:paraId="572BB2B5" w14:textId="04B58265" w:rsidR="005372A7" w:rsidRPr="005372A7" w:rsidRDefault="005372A7" w:rsidP="007E4F66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Коэффициент использования кредита (</w:t>
      </w:r>
      <w:r w:rsidRPr="005372A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Utilization Ratio</w:t>
      </w:r>
      <w:r w:rsidRPr="005372A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интервальная переменная.</w:t>
      </w:r>
    </w:p>
    <w:p w14:paraId="42580E5E" w14:textId="24C21BEF" w:rsidR="005372A7" w:rsidRDefault="005372A7" w:rsidP="00AC46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 w:rsidRPr="005372A7"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 xml:space="preserve">Б) </w:t>
      </w:r>
      <w:r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>Дескриптивный анализ данных</w:t>
      </w:r>
    </w:p>
    <w:p w14:paraId="086C9953" w14:textId="6A43089A" w:rsidR="00797CB3" w:rsidRPr="00AC465C" w:rsidRDefault="00AC465C" w:rsidP="00AC465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1. </w:t>
      </w:r>
      <w:r w:rsidR="00797CB3" w:rsidRPr="00AC465C">
        <w:rPr>
          <w:rFonts w:ascii="Times New Roman" w:hAnsi="Times New Roman" w:cs="Times New Roman"/>
          <w:sz w:val="28"/>
          <w:szCs w:val="28"/>
          <w:highlight w:val="white"/>
        </w:rPr>
        <w:t>Матрица средних для числовых категоризированных признаков выглядит следующим образом:</w:t>
      </w:r>
    </w:p>
    <w:p w14:paraId="0128D83E" w14:textId="58FFDD32" w:rsidR="00797CB3" w:rsidRDefault="00797CB3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8A3FA22" wp14:editId="3DE2A307">
            <wp:extent cx="5940425" cy="515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B0BC" w14:textId="6CFF9746" w:rsidR="008F78F9" w:rsidRDefault="008F78F9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Матрица </w:t>
      </w:r>
      <w:r>
        <w:rPr>
          <w:rFonts w:ascii="Times New Roman" w:hAnsi="Times New Roman" w:cs="Times New Roman"/>
          <w:sz w:val="28"/>
          <w:szCs w:val="28"/>
          <w:highlight w:val="white"/>
        </w:rPr>
        <w:t>стандартных отклонений</w:t>
      </w:r>
      <w:r w:rsidRPr="00AC465C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14:paraId="245B5C28" w14:textId="5BC5BCA6" w:rsidR="008F78F9" w:rsidRDefault="008F78F9" w:rsidP="00AC465C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BE321B8" wp14:editId="427ACDB2">
            <wp:extent cx="5940425" cy="522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85C" w14:textId="58B5FEE1" w:rsidR="00797CB3" w:rsidRPr="00AC465C" w:rsidRDefault="00797CB3" w:rsidP="000022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sz w:val="28"/>
          <w:szCs w:val="28"/>
          <w:highlight w:val="white"/>
        </w:rPr>
        <w:t>Помимо признаков, используемых в моделях классификации, в матрице произведен расчет числа записей по каждому классу (без учета записей, содержащих пропущенные данные)</w:t>
      </w:r>
      <w:r w:rsidR="008F78F9">
        <w:rPr>
          <w:rFonts w:ascii="Times New Roman" w:hAnsi="Times New Roman" w:cs="Times New Roman"/>
          <w:sz w:val="28"/>
          <w:szCs w:val="28"/>
          <w:highlight w:val="white"/>
        </w:rPr>
        <w:t xml:space="preserve"> и записан в </w:t>
      </w:r>
      <w:r w:rsidR="008F78F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Valid</w:t>
      </w:r>
      <w:r w:rsidR="008F78F9" w:rsidRPr="008F78F9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8F78F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</w:t>
      </w:r>
      <w:r w:rsidR="00E2778E" w:rsidRPr="00AC465C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</w:p>
    <w:p w14:paraId="5F6F8B28" w14:textId="16B035D1" w:rsidR="00AC465C" w:rsidRDefault="00E2778E" w:rsidP="0000227D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Диаграммы размаха (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box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plot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 по каждому из параметров (</w:t>
      </w:r>
      <w:r w:rsidR="00AC465C"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здесь точкой обозначена медиана, нижняя и верхняя границы «ящика» отвечают за 25% и 75% квартиль соответственно, верхний и нижний отрезки вокруг прямоугольников характеризуют максимальное и минимальное значение по признаку</w:t>
      </w:r>
      <w:r w:rsid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соответственно</w:t>
      </w: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):</w:t>
      </w:r>
    </w:p>
    <w:p w14:paraId="48731F0B" w14:textId="010D3E17" w:rsidR="00BF7090" w:rsidRDefault="00BF7090" w:rsidP="00AC465C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798A44" wp14:editId="31E6E4C3">
            <wp:simplePos x="0" y="0"/>
            <wp:positionH relativeFrom="column">
              <wp:posOffset>3103245</wp:posOffset>
            </wp:positionH>
            <wp:positionV relativeFrom="paragraph">
              <wp:posOffset>45720</wp:posOffset>
            </wp:positionV>
            <wp:extent cx="3116580" cy="2323692"/>
            <wp:effectExtent l="0" t="0" r="762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23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1023C7" wp14:editId="38B77757">
            <wp:simplePos x="0" y="0"/>
            <wp:positionH relativeFrom="margin">
              <wp:posOffset>-163830</wp:posOffset>
            </wp:positionH>
            <wp:positionV relativeFrom="paragraph">
              <wp:posOffset>60960</wp:posOffset>
            </wp:positionV>
            <wp:extent cx="3053618" cy="2278380"/>
            <wp:effectExtent l="0" t="0" r="0" b="762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618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617FA" w14:textId="3B3A8BA1" w:rsidR="00AC465C" w:rsidRPr="00AC465C" w:rsidRDefault="00AC465C" w:rsidP="00AC465C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1DDBFAC" w14:textId="6D8A38D3" w:rsidR="00E2778E" w:rsidRDefault="00E2778E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7B6A1E1" w14:textId="17ED0FA6" w:rsidR="00AC465C" w:rsidRDefault="00AC465C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706D5B3" w14:textId="29DA55F1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E3C794C" w14:textId="419D0FF6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B9C12CF" w14:textId="5409A933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809D937" w14:textId="6925F376" w:rsidR="00BF7090" w:rsidRDefault="00BF7090" w:rsidP="00E277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1214D1F" w14:textId="3C536CD7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</w:t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Кредитный рейтинг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ab/>
      </w:r>
      <w:r w:rsidRPr="00BF7090"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 xml:space="preserve">    </w:t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 xml:space="preserve">     </w:t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Коэфф. исп. </w:t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</w:t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редита</w:t>
      </w:r>
    </w:p>
    <w:p w14:paraId="44A9224C" w14:textId="1A6DFBED" w:rsidR="00BF7090" w:rsidRDefault="00FA564B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98FB7E" wp14:editId="7922D527">
            <wp:simplePos x="0" y="0"/>
            <wp:positionH relativeFrom="column">
              <wp:posOffset>3110865</wp:posOffset>
            </wp:positionH>
            <wp:positionV relativeFrom="paragraph">
              <wp:posOffset>9525</wp:posOffset>
            </wp:positionV>
            <wp:extent cx="3117850" cy="2278380"/>
            <wp:effectExtent l="0" t="0" r="6350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09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D1AE043" wp14:editId="30CA92B4">
            <wp:simplePos x="0" y="0"/>
            <wp:positionH relativeFrom="column">
              <wp:posOffset>-188595</wp:posOffset>
            </wp:positionH>
            <wp:positionV relativeFrom="paragraph">
              <wp:posOffset>62866</wp:posOffset>
            </wp:positionV>
            <wp:extent cx="3075593" cy="223266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61" cy="223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D35A" w14:textId="5BAE1FE1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06E9AA22" w14:textId="1F69ED71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598D1D65" w14:textId="3F8984CA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3F106B3F" w14:textId="082C2E1A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3B373E30" w14:textId="5452ADB3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6"/>
          <w:szCs w:val="26"/>
          <w:highlight w:val="white"/>
        </w:rPr>
      </w:pPr>
    </w:p>
    <w:p w14:paraId="7432A1F2" w14:textId="4085E2BD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1B09663" w14:textId="1A815965" w:rsidR="00BF7090" w:rsidRDefault="00BF7090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C18BD86" w14:textId="1E43D633" w:rsidR="00BF7090" w:rsidRPr="00BF7090" w:rsidRDefault="00FA564B" w:rsidP="00BF709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Срок действия кредита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умма кредита</w:t>
      </w:r>
    </w:p>
    <w:p w14:paraId="13233588" w14:textId="17181ADE" w:rsidR="00BF7090" w:rsidRDefault="00E17C0F" w:rsidP="00BF709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50EB5EC" wp14:editId="16ABC88A">
            <wp:extent cx="2895390" cy="21532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12D6" w14:textId="16FCB500" w:rsidR="00BF7090" w:rsidRPr="00BF7090" w:rsidRDefault="00FA564B" w:rsidP="00BF7090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  </w:t>
      </w:r>
      <w:r w:rsidR="00BF7090"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Возраст</w:t>
      </w:r>
    </w:p>
    <w:p w14:paraId="545E375B" w14:textId="4F1F8699" w:rsidR="00E2778E" w:rsidRPr="00E2778E" w:rsidRDefault="00FA564B" w:rsidP="0000227D">
      <w:pPr>
        <w:autoSpaceDE w:val="0"/>
        <w:autoSpaceDN w:val="0"/>
        <w:adjustRightInd w:val="0"/>
        <w:spacing w:after="100" w:afterAutospacing="1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Заметим, что для коэффициента использования кредита диаграммы рассеяния для имеющихся двух групп практически совпадают. Вероятно, что такой признак будет впоследствии исключен по причине минимального влияния при классифи</w:t>
      </w:r>
      <w:r w:rsidR="008F78F9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цировании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объект</w:t>
      </w:r>
      <w:r w:rsidR="008F78F9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ов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163B3FF8" w14:textId="11EE5425" w:rsidR="00797CB3" w:rsidRDefault="00797CB3" w:rsidP="008F78F9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AC465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Гистограммы для числовых признаков будут иметь следующий вид: </w:t>
      </w:r>
    </w:p>
    <w:p w14:paraId="7F1ECB88" w14:textId="43D9EA7D" w:rsidR="008F78F9" w:rsidRDefault="008F78F9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239533" wp14:editId="0820CEFF">
            <wp:extent cx="4483338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8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3BB" w14:textId="6DB1C428" w:rsidR="008F78F9" w:rsidRDefault="00B34E33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 w:rsidRPr="00BF7090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Кредитный рейтинг</w:t>
      </w:r>
    </w:p>
    <w:p w14:paraId="57BF2339" w14:textId="77777777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66BDEA3C" w14:textId="76047EBC" w:rsidR="00B34E33" w:rsidRDefault="00B34E33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73DAB768" wp14:editId="10A3823E">
            <wp:extent cx="4495731" cy="33553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711" cy="33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E95C" w14:textId="27CCE103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lastRenderedPageBreak/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 w:rsidRPr="00ED459D"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Срок действия кредита</w:t>
      </w:r>
    </w:p>
    <w:p w14:paraId="79E0F9E4" w14:textId="781704E3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38C0E024" wp14:editId="79969C43">
            <wp:extent cx="4579620" cy="34008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160" cy="341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809D" w14:textId="7A1ADA00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>Сумма кредита</w:t>
      </w:r>
    </w:p>
    <w:p w14:paraId="732A3BA4" w14:textId="59528045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478C99D7" wp14:editId="34F29532">
            <wp:extent cx="4563392" cy="339852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212" cy="34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07D" w14:textId="2B99E53F" w:rsidR="00ED459D" w:rsidRDefault="00ED459D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ab/>
        <w:t xml:space="preserve">      Возраст</w:t>
      </w:r>
    </w:p>
    <w:p w14:paraId="49FC5AE8" w14:textId="125660CF" w:rsidR="00562755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16CCB274" wp14:editId="1ABFB343">
            <wp:extent cx="4648200" cy="34577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395" cy="34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7CE" w14:textId="43E48636" w:rsidR="00562755" w:rsidRDefault="00562755" w:rsidP="00562755">
      <w:pPr>
        <w:pStyle w:val="a4"/>
        <w:autoSpaceDE w:val="0"/>
        <w:autoSpaceDN w:val="0"/>
        <w:adjustRightInd w:val="0"/>
        <w:spacing w:after="0" w:line="360" w:lineRule="auto"/>
        <w:ind w:left="1416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  <w:t xml:space="preserve">   Коэффициент использования кредита</w:t>
      </w:r>
    </w:p>
    <w:p w14:paraId="0A4F8BCE" w14:textId="28B30912" w:rsidR="00562755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776FC9F5" w14:textId="5295E99A" w:rsidR="00562755" w:rsidRPr="00562755" w:rsidRDefault="00562755" w:rsidP="0000227D">
      <w:pPr>
        <w:pStyle w:val="a4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Нетрудно заметить, что большинство описанных ранее интервальных признаков не согласуются с нормальным распределением. Так, например,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Возраст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Сумма кредита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Срок действия кредита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имеют ярко выраженную правостороннюю асимметрию, распределение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 xml:space="preserve">Коэффициента использования кредита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во многом напоминает равномерное распределение. Наиболее согласован с распределением Гаусса </w:t>
      </w:r>
      <w:r w:rsidRPr="00562755">
        <w:rPr>
          <w:rFonts w:ascii="Times New Roman" w:hAnsi="Times New Roman" w:cs="Times New Roman"/>
          <w:i/>
          <w:iCs/>
          <w:color w:val="000000"/>
          <w:kern w:val="1"/>
          <w:sz w:val="28"/>
          <w:szCs w:val="28"/>
          <w:highlight w:val="white"/>
        </w:rPr>
        <w:t>Кредитный рейтинг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однако </w:t>
      </w:r>
      <w:r w:rsid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 счет ранее рассмотренных признаков на используемую модель будут накладываться соответствующие ограничения.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</w:p>
    <w:p w14:paraId="728F663F" w14:textId="77777777" w:rsidR="00562755" w:rsidRPr="00ED459D" w:rsidRDefault="00562755" w:rsidP="008F78F9">
      <w:pPr>
        <w:pStyle w:val="a4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i/>
          <w:iCs/>
          <w:color w:val="000000"/>
          <w:kern w:val="1"/>
          <w:sz w:val="24"/>
          <w:szCs w:val="24"/>
          <w:highlight w:val="white"/>
        </w:rPr>
      </w:pPr>
    </w:p>
    <w:p w14:paraId="1CEC824A" w14:textId="2AC042DF" w:rsidR="005372A7" w:rsidRPr="00797CB3" w:rsidRDefault="00FE4AC4" w:rsidP="0000227D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Для графического обзора зависимостей между интервальными (числовыми) признаками представим график полных корреляций</w:t>
      </w:r>
      <w:r w:rsidR="004F5958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 Поскольку набор данных содержит достаточно большое число записей, на первый взгляд будет сложно оценить</w:t>
      </w:r>
      <w:r w:rsidR="00C5284A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, по каким</w:t>
      </w:r>
      <w:r w:rsidR="004F5958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C5284A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группам будут распределены клиенты банка.</w:t>
      </w:r>
      <w:r w:rsidR="00797CB3" w:rsidRPr="00797CB3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В то же время, можно заметить, что между признаками не наблюдается линейной корреляции (что в будущем будет подтверждено матрицей корреляций).</w:t>
      </w:r>
    </w:p>
    <w:p w14:paraId="054379BD" w14:textId="5C2F982E" w:rsidR="004F5958" w:rsidRDefault="004F5958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7AFE5C8" wp14:editId="6A128151">
            <wp:extent cx="5940425" cy="4473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F162" w14:textId="4B51F9D1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</w:pPr>
    </w:p>
    <w:p w14:paraId="22E9B021" w14:textId="7B09BDF4" w:rsidR="00E17C0F" w:rsidRPr="00E17C0F" w:rsidRDefault="00E17C0F" w:rsidP="0000227D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Матрица, описывающая линейную (корреляционную) связь между признаками:</w:t>
      </w:r>
    </w:p>
    <w:p w14:paraId="5376FA6B" w14:textId="5E115A0B" w:rsidR="00E17C0F" w:rsidRDefault="00E17C0F" w:rsidP="00E17C0F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E8255AD" wp14:editId="70393774">
            <wp:extent cx="5940425" cy="817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5068" w14:textId="101DB764" w:rsidR="00E17C0F" w:rsidRDefault="00E17C0F" w:rsidP="0000227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Действительно, линейной связи между рассматриваемыми признаками не наблюдается. Следовательно, все ранее исследованные признаки будут участвовать в составлении классифицирующей модели прогнозирования. </w:t>
      </w:r>
    </w:p>
    <w:p w14:paraId="489102B1" w14:textId="7E211F3B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57B81FF4" w14:textId="2CDDA20E" w:rsid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17C0F"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highlight w:val="white"/>
        </w:rPr>
        <w:t xml:space="preserve">В) </w:t>
      </w:r>
      <w:r w:rsidRPr="00E17C0F">
        <w:rPr>
          <w:rFonts w:ascii="Times New Roman" w:hAnsi="Times New Roman" w:cs="Times New Roman"/>
          <w:b/>
          <w:bCs/>
          <w:sz w:val="28"/>
          <w:szCs w:val="28"/>
        </w:rPr>
        <w:t>Описание параметров метода (сети)</w:t>
      </w:r>
    </w:p>
    <w:p w14:paraId="4D9EB4A6" w14:textId="47A00EE3" w:rsidR="00E17C0F" w:rsidRPr="00E17C0F" w:rsidRDefault="00E17C0F" w:rsidP="005372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7C0F">
        <w:rPr>
          <w:rFonts w:ascii="Times New Roman" w:hAnsi="Times New Roman" w:cs="Times New Roman"/>
          <w:sz w:val="28"/>
          <w:szCs w:val="28"/>
        </w:rPr>
        <w:t>Для решения задачи классификации и последующего сравнения результатов было решено использовать следующие методы:</w:t>
      </w:r>
    </w:p>
    <w:p w14:paraId="6267EF35" w14:textId="6740D202" w:rsidR="00E17C0F" w:rsidRPr="00E17C0F" w:rsidRDefault="00E17C0F" w:rsidP="00E17C0F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Классифицирующее дерево (дерево решений)</w:t>
      </w:r>
    </w:p>
    <w:p w14:paraId="3CC57669" w14:textId="428257AF" w:rsidR="00E17C0F" w:rsidRPr="00E17C0F" w:rsidRDefault="00E17C0F" w:rsidP="00E17C0F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Обобщенный дискриминантный анализ</w:t>
      </w:r>
    </w:p>
    <w:p w14:paraId="50F5B79D" w14:textId="3E7E2B09" w:rsidR="00F62DFB" w:rsidRDefault="00E17C0F" w:rsidP="00F62DFB">
      <w:pPr>
        <w:pStyle w:val="a4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E17C0F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Линейный дискриминантный анализ</w:t>
      </w:r>
    </w:p>
    <w:p w14:paraId="0945D196" w14:textId="151DC42D" w:rsidR="00F01657" w:rsidRPr="00B4387C" w:rsidRDefault="00F01657" w:rsidP="00F016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Для оценки точности классификации в каждом из методов будет использоваться матрица ошибок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Classification</w:t>
      </w:r>
      <w:r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Matrix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B4387C" w:rsidRPr="00B4387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407C209B" w14:textId="3B0A7D1F" w:rsidR="00E17C0F" w:rsidRPr="00F62DFB" w:rsidRDefault="00352917" w:rsidP="00F62DFB">
      <w:pPr>
        <w:pStyle w:val="1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highlight w:val="white"/>
        </w:rPr>
      </w:pPr>
      <w:r w:rsidRPr="00F62DFB">
        <w:rPr>
          <w:rFonts w:ascii="Times New Roman" w:hAnsi="Times New Roman" w:cs="Times New Roman"/>
          <w:color w:val="auto"/>
          <w:sz w:val="28"/>
          <w:szCs w:val="28"/>
          <w:highlight w:val="white"/>
        </w:rPr>
        <w:t xml:space="preserve">Дерево классификации </w:t>
      </w:r>
    </w:p>
    <w:p w14:paraId="0AB2E9F7" w14:textId="369F4C1E" w:rsidR="00F62DFB" w:rsidRDefault="00F62DFB" w:rsidP="0000227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метода ветвления было выбрано </w:t>
      </w:r>
      <w:r w:rsidRPr="00F62DFB">
        <w:rPr>
          <w:rFonts w:ascii="Times New Roman" w:hAnsi="Times New Roman" w:cs="Times New Roman"/>
          <w:sz w:val="28"/>
          <w:szCs w:val="28"/>
        </w:rPr>
        <w:t xml:space="preserve">одномерное </w:t>
      </w:r>
      <w:r>
        <w:rPr>
          <w:rFonts w:ascii="Times New Roman" w:hAnsi="Times New Roman" w:cs="Times New Roman"/>
          <w:sz w:val="28"/>
          <w:szCs w:val="28"/>
        </w:rPr>
        <w:t xml:space="preserve">дискриминантное </w:t>
      </w:r>
      <w:r w:rsidRPr="00F62DFB">
        <w:rPr>
          <w:rFonts w:ascii="Times New Roman" w:hAnsi="Times New Roman" w:cs="Times New Roman"/>
          <w:sz w:val="28"/>
          <w:szCs w:val="28"/>
        </w:rPr>
        <w:t>ветвление QUEST</w:t>
      </w:r>
      <w:r>
        <w:rPr>
          <w:rFonts w:ascii="Times New Roman" w:hAnsi="Times New Roman" w:cs="Times New Roman"/>
          <w:sz w:val="28"/>
          <w:szCs w:val="28"/>
        </w:rPr>
        <w:t xml:space="preserve">. Особенность такого метода заключается в возможности использования </w:t>
      </w:r>
      <w:r w:rsidRPr="00F62DFB">
        <w:rPr>
          <w:rFonts w:ascii="Times New Roman" w:hAnsi="Times New Roman" w:cs="Times New Roman"/>
          <w:sz w:val="28"/>
          <w:szCs w:val="28"/>
        </w:rPr>
        <w:t>категориальны</w:t>
      </w:r>
      <w:r>
        <w:rPr>
          <w:rFonts w:ascii="Times New Roman" w:hAnsi="Times New Roman" w:cs="Times New Roman"/>
          <w:sz w:val="28"/>
          <w:szCs w:val="28"/>
        </w:rPr>
        <w:t>х и</w:t>
      </w:r>
      <w:r w:rsidRPr="00F62DFB">
        <w:rPr>
          <w:rFonts w:ascii="Times New Roman" w:hAnsi="Times New Roman" w:cs="Times New Roman"/>
          <w:sz w:val="28"/>
          <w:szCs w:val="28"/>
        </w:rPr>
        <w:t xml:space="preserve"> порядковы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F6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независимых переменных</w:t>
      </w:r>
      <w:r w:rsidRPr="00F62D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Кроме того, п</w:t>
      </w:r>
      <w:r w:rsidRPr="00F62DFB">
        <w:rPr>
          <w:rFonts w:ascii="Times New Roman" w:hAnsi="Times New Roman" w:cs="Times New Roman"/>
          <w:sz w:val="28"/>
          <w:szCs w:val="28"/>
        </w:rPr>
        <w:t xml:space="preserve">од порядковыми переменными </w:t>
      </w:r>
      <w:r>
        <w:rPr>
          <w:rFonts w:ascii="Times New Roman" w:hAnsi="Times New Roman" w:cs="Times New Roman"/>
          <w:sz w:val="28"/>
          <w:szCs w:val="28"/>
        </w:rPr>
        <w:t xml:space="preserve">могут </w:t>
      </w:r>
      <w:r w:rsidRPr="00F62DFB">
        <w:rPr>
          <w:rFonts w:ascii="Times New Roman" w:hAnsi="Times New Roman" w:cs="Times New Roman"/>
          <w:sz w:val="28"/>
          <w:szCs w:val="28"/>
        </w:rPr>
        <w:t>подразумева</w:t>
      </w:r>
      <w:r>
        <w:rPr>
          <w:rFonts w:ascii="Times New Roman" w:hAnsi="Times New Roman" w:cs="Times New Roman"/>
          <w:sz w:val="28"/>
          <w:szCs w:val="28"/>
        </w:rPr>
        <w:t>ться</w:t>
      </w:r>
      <w:r w:rsidRPr="00F6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интервальные переменные</w:t>
      </w:r>
      <w:r w:rsidRPr="00F62DFB">
        <w:rPr>
          <w:rFonts w:ascii="Times New Roman" w:hAnsi="Times New Roman" w:cs="Times New Roman"/>
          <w:sz w:val="28"/>
          <w:szCs w:val="28"/>
        </w:rPr>
        <w:t xml:space="preserve"> переменные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37E142" w14:textId="5EDEB5BF" w:rsidR="00F62DFB" w:rsidRDefault="00F62DFB" w:rsidP="0000227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входного параметра метода будет приниматься критерий остановки по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>FACT</w:t>
      </w:r>
      <w:r w:rsidRPr="00F62D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пользователем задается доля неклассифицированных объектов (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Fraction</w:t>
      </w:r>
      <w:r w:rsidR="00F33CCD" w:rsidRPr="00F33CCD">
        <w:rPr>
          <w:rFonts w:ascii="Times New Roman" w:hAnsi="Times New Roman" w:cs="Times New Roman"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33CCD" w:rsidRPr="00F33CCD">
        <w:rPr>
          <w:rFonts w:ascii="Times New Roman" w:hAnsi="Times New Roman" w:cs="Times New Roman"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  <w:lang w:val="en-US"/>
        </w:rPr>
        <w:t>Objects</w:t>
      </w:r>
      <w:r>
        <w:rPr>
          <w:rFonts w:ascii="Times New Roman" w:hAnsi="Times New Roman" w:cs="Times New Roman"/>
          <w:sz w:val="28"/>
          <w:szCs w:val="28"/>
        </w:rPr>
        <w:t>) – параметр, прямым образом ограничивающий рост дерева</w:t>
      </w:r>
      <w:r w:rsidR="00F33CCD">
        <w:rPr>
          <w:rFonts w:ascii="Times New Roman" w:hAnsi="Times New Roman" w:cs="Times New Roman"/>
          <w:sz w:val="28"/>
          <w:szCs w:val="28"/>
        </w:rPr>
        <w:t xml:space="preserve"> (если не ограничивать рост дерева, то мощность дерева, представленная числом узлов, может выйти за программный лимит в 999 узлов). Было принято взять </w:t>
      </w:r>
      <w:r w:rsidR="00F33CCD" w:rsidRPr="00F33CCD">
        <w:rPr>
          <w:rFonts w:ascii="Times New Roman" w:hAnsi="Times New Roman" w:cs="Times New Roman"/>
          <w:i/>
          <w:iCs/>
          <w:sz w:val="28"/>
          <w:szCs w:val="28"/>
        </w:rPr>
        <w:t>Дол</w:t>
      </w:r>
      <w:r w:rsidR="00F33CCD">
        <w:rPr>
          <w:rFonts w:ascii="Times New Roman" w:hAnsi="Times New Roman" w:cs="Times New Roman"/>
          <w:i/>
          <w:iCs/>
          <w:sz w:val="28"/>
          <w:szCs w:val="28"/>
        </w:rPr>
        <w:t>ю</w:t>
      </w:r>
      <w:r w:rsidR="00F33CCD" w:rsidRPr="00F33CCD">
        <w:rPr>
          <w:rFonts w:ascii="Times New Roman" w:hAnsi="Times New Roman" w:cs="Times New Roman"/>
          <w:i/>
          <w:iCs/>
          <w:sz w:val="28"/>
          <w:szCs w:val="28"/>
        </w:rPr>
        <w:t xml:space="preserve"> неклассифицированных объектов</w:t>
      </w:r>
      <w:r w:rsidR="00F33CC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CCD">
        <w:rPr>
          <w:rFonts w:ascii="Times New Roman" w:hAnsi="Times New Roman" w:cs="Times New Roman"/>
          <w:sz w:val="28"/>
          <w:szCs w:val="28"/>
        </w:rPr>
        <w:t>равной 0,01. Теперь терминальные узлы (листья) дерева будут содержать не более 1% неправильно классифицированных объектов.</w:t>
      </w:r>
    </w:p>
    <w:p w14:paraId="773586E3" w14:textId="3DB97614" w:rsidR="009F3343" w:rsidRDefault="009F3343" w:rsidP="0000227D">
      <w:pPr>
        <w:autoSpaceDE w:val="0"/>
        <w:autoSpaceDN w:val="0"/>
        <w:adjustRightInd w:val="0"/>
        <w:spacing w:after="12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параметр, рассчитываемый при построении классифицирующего дерева – априорная вероятность. Данный параметр позволяет минимизировать потери, тем самым влияя на точность прогноза. Значения априорных вероятностей, при которых достигается максимальная точность, должны быть пропорциональны размерам классов.</w:t>
      </w:r>
    </w:p>
    <w:p w14:paraId="0EF3A26E" w14:textId="6D61539B" w:rsidR="009F3343" w:rsidRDefault="009F3343" w:rsidP="009F3343">
      <w:pPr>
        <w:autoSpaceDE w:val="0"/>
        <w:autoSpaceDN w:val="0"/>
        <w:adjustRightInd w:val="0"/>
        <w:spacing w:after="12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5862CE" wp14:editId="59B46E5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991484" cy="1173480"/>
            <wp:effectExtent l="0" t="0" r="9525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59" cy="1182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91640" w14:textId="79EDA4F3" w:rsidR="009F3343" w:rsidRDefault="009F3343" w:rsidP="009F3343">
      <w:pPr>
        <w:autoSpaceDE w:val="0"/>
        <w:autoSpaceDN w:val="0"/>
        <w:adjustRightInd w:val="0"/>
        <w:spacing w:after="12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0DB195A0" w14:textId="31FBB363" w:rsidR="009F3343" w:rsidRDefault="009F3343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1DA9EB" w14:textId="2D0C64C1" w:rsid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0933A5" w14:textId="270E71D2" w:rsid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алгоритма:</w:t>
      </w:r>
    </w:p>
    <w:p w14:paraId="703142F4" w14:textId="568FAEA9" w:rsidR="00B4387C" w:rsidRPr="00B4387C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C64BB" wp14:editId="7B869A17">
            <wp:extent cx="5921707" cy="4419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591" cy="44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2B6" w14:textId="75D26E25" w:rsidR="009F3343" w:rsidRDefault="00B4387C" w:rsidP="009F33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4387C">
        <w:rPr>
          <w:rFonts w:ascii="Times New Roman" w:hAnsi="Times New Roman" w:cs="Times New Roman"/>
          <w:i/>
          <w:iCs/>
          <w:sz w:val="24"/>
          <w:szCs w:val="24"/>
        </w:rPr>
        <w:t>Графическое представление дерева классификации</w:t>
      </w:r>
    </w:p>
    <w:p w14:paraId="24D88325" w14:textId="22762D53" w:rsidR="00B4387C" w:rsidRDefault="00B4387C" w:rsidP="003500F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32596C" wp14:editId="1194D5D6">
            <wp:extent cx="4490085" cy="1067626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718" cy="1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973B" w14:textId="61134CD8" w:rsidR="003500FD" w:rsidRPr="003500FD" w:rsidRDefault="003500FD" w:rsidP="003500F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500FD">
        <w:rPr>
          <w:rFonts w:ascii="Times New Roman" w:hAnsi="Times New Roman" w:cs="Times New Roman"/>
          <w:i/>
          <w:iCs/>
          <w:sz w:val="24"/>
          <w:szCs w:val="24"/>
        </w:rPr>
        <w:t>Матрица ошибок</w:t>
      </w:r>
    </w:p>
    <w:p w14:paraId="0908DCDD" w14:textId="0C712F82" w:rsidR="003500FD" w:rsidRPr="003500FD" w:rsidRDefault="003500FD" w:rsidP="003500FD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точность классификации (%) для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Pr="00350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350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Pr="003500FD">
        <w:rPr>
          <w:rFonts w:ascii="Times New Roman" w:hAnsi="Times New Roman" w:cs="Times New Roman"/>
          <w:sz w:val="28"/>
          <w:szCs w:val="28"/>
        </w:rPr>
        <w:t xml:space="preserve">) = </w:t>
      </w:r>
      <w:r w:rsidRPr="003500FD">
        <w:rPr>
          <w:rFonts w:ascii="Times New Roman" w:hAnsi="Times New Roman" w:cs="Times New Roman"/>
          <w:sz w:val="28"/>
          <w:szCs w:val="28"/>
        </w:rPr>
        <w:t>89,28</w:t>
      </w:r>
      <w:r w:rsidRPr="003500FD">
        <w:rPr>
          <w:rFonts w:ascii="Times New Roman" w:hAnsi="Times New Roman" w:cs="Times New Roman"/>
          <w:sz w:val="28"/>
          <w:szCs w:val="28"/>
        </w:rPr>
        <w:t>9%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3500F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3500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3500FD">
        <w:rPr>
          <w:rFonts w:ascii="Times New Roman" w:hAnsi="Times New Roman" w:cs="Times New Roman"/>
          <w:sz w:val="28"/>
          <w:szCs w:val="28"/>
        </w:rPr>
        <w:t xml:space="preserve">) = </w:t>
      </w:r>
      <w:r w:rsidRPr="003500FD">
        <w:rPr>
          <w:rFonts w:ascii="Times New Roman" w:hAnsi="Times New Roman" w:cs="Times New Roman"/>
          <w:sz w:val="28"/>
          <w:szCs w:val="28"/>
        </w:rPr>
        <w:t>93,703</w:t>
      </w:r>
      <w:r w:rsidRPr="003500FD">
        <w:rPr>
          <w:rFonts w:ascii="Times New Roman" w:hAnsi="Times New Roman" w:cs="Times New Roman"/>
          <w:sz w:val="28"/>
          <w:szCs w:val="28"/>
        </w:rPr>
        <w:t xml:space="preserve">%. </w:t>
      </w:r>
      <w:r>
        <w:rPr>
          <w:rFonts w:ascii="Times New Roman" w:hAnsi="Times New Roman" w:cs="Times New Roman"/>
          <w:sz w:val="28"/>
          <w:szCs w:val="28"/>
        </w:rPr>
        <w:t xml:space="preserve">Общая точность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(accuracy)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3500FD">
        <w:rPr>
          <w:rFonts w:ascii="Times New Roman" w:hAnsi="Times New Roman" w:cs="Times New Roman"/>
          <w:sz w:val="28"/>
          <w:szCs w:val="28"/>
        </w:rPr>
        <w:t>91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500FD">
        <w:rPr>
          <w:rFonts w:ascii="Times New Roman" w:hAnsi="Times New Roman" w:cs="Times New Roman"/>
          <w:sz w:val="28"/>
          <w:szCs w:val="28"/>
        </w:rPr>
        <w:t>496</w:t>
      </w:r>
      <w:r>
        <w:rPr>
          <w:rFonts w:ascii="Times New Roman" w:hAnsi="Times New Roman" w:cs="Times New Roman"/>
          <w:sz w:val="28"/>
          <w:szCs w:val="28"/>
          <w:lang w:val="en-US"/>
        </w:rPr>
        <w:t>%.</w:t>
      </w:r>
    </w:p>
    <w:p w14:paraId="54C90ED1" w14:textId="115EFF58" w:rsidR="009F3343" w:rsidRPr="003500FD" w:rsidRDefault="009F3343" w:rsidP="003500FD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3500F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Обобщенный дискриминантный анализ</w:t>
      </w:r>
    </w:p>
    <w:p w14:paraId="0FADB418" w14:textId="2B9E650A" w:rsidR="009F3343" w:rsidRDefault="009F3343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Точно так же, как и для деревьев классификации, данный метод способен принимать в качестве предикторов </w:t>
      </w:r>
      <w:r w:rsid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как порядковые</w:t>
      </w:r>
      <w:r w:rsidR="001A7AF8" w:rsidRP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/</w:t>
      </w:r>
      <w:r w:rsidR="001A7AF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интервальные переменные, так и категориальные (номинальные).</w:t>
      </w:r>
      <w:r w:rsidR="00DA7B95"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Однако, в силу высокой затраты ресурсов метода, было решено использовать лишь часть от всей группы номинальных переменных (с минимальным числом кодов группирующей переменной).</w:t>
      </w:r>
    </w:p>
    <w:p w14:paraId="7697097F" w14:textId="2CE2774A" w:rsidR="00DA7B95" w:rsidRDefault="00DA7B95" w:rsidP="0000227D">
      <w:pPr>
        <w:autoSpaceDE w:val="0"/>
        <w:autoSpaceDN w:val="0"/>
        <w:adjustRightInd w:val="0"/>
        <w:spacing w:after="12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 xml:space="preserve">Параметр, ограничивающий включаемые переменные: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=0,05 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уровень значимости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. Используется для модификации метода путем введения пошагового включения переменных, чей уровень значимости не превышает установленный пользователем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 исключения из дискриминантной функции оставшихся переменных.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С той же целью используется критерий</w:t>
      </w:r>
      <w:r w:rsidRPr="00DA7B95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, значение которого по умолчанию устанавливается равным 1.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Другим параметром, используемым в качестве критерия остановки пошагового анализа, служит толерантность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=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(1 -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R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vertAlign w:val="superscript"/>
        </w:rPr>
        <w:t>2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–</w:t>
      </w:r>
      <w:r w:rsidR="0000227D" w:rsidRP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мера избыточности переменной (по умолчанию принимается равной 0.01).</w:t>
      </w:r>
    </w:p>
    <w:p w14:paraId="42D9C0AE" w14:textId="77C898ED" w:rsidR="00B4387C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138D6F" wp14:editId="17C54777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3355089" cy="112776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13" cy="112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87C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Результат работы алгоритма:</w:t>
      </w:r>
    </w:p>
    <w:p w14:paraId="5C5F6D9F" w14:textId="7CC39F70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32B4B9A2" w14:textId="47A2C96D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B1640F3" w14:textId="04923AF6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8ECB486" w14:textId="77777777" w:rsidR="00DB0F68" w:rsidRDefault="00DB0F68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D8776A0" w14:textId="650DDB21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7B08373" wp14:editId="4F5824CD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5775731" cy="2278380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574" cy="228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Средние значения предикторов по классам:</w:t>
      </w:r>
    </w:p>
    <w:p w14:paraId="440887FB" w14:textId="705AF6F2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6C04D3D8" w14:textId="45550166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038824D7" w14:textId="5F0265D4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4708C8BE" w14:textId="5D35E260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77E21ECC" w14:textId="3982DB18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93BBD09" w14:textId="0388A305" w:rsidR="00B4387C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</w:p>
    <w:p w14:paraId="2BE2A26D" w14:textId="572743B2" w:rsidR="00B4387C" w:rsidRPr="0000227D" w:rsidRDefault="00B4387C" w:rsidP="00B4387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Заметим, что средние по группам в большинстве признаков значительно различаются.</w:t>
      </w:r>
    </w:p>
    <w:p w14:paraId="74FE49D1" w14:textId="2FA80870" w:rsidR="00DA7B95" w:rsidRDefault="00DA7B95" w:rsidP="00DA7B95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Линейный дискриминантный анализ</w:t>
      </w:r>
    </w:p>
    <w:p w14:paraId="5C587B9D" w14:textId="5DB7E461" w:rsidR="00DA7B95" w:rsidRDefault="00DA7B95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Данный метод используется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для построения дискриминантной функции исключительно по интервальным (числовым) переменным. Еще одной отличительной особенностью является обязательность соответствия </w:t>
      </w:r>
      <w:r w:rsidR="0000227D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lastRenderedPageBreak/>
        <w:t>распределения каждой из предикторной переменной нормальному распределению. Поскольку ранее было сказано, что для исходной выборки это условие нарушается, метод будет выполнен с целью наглядно показать слабые стороны метода и сравнить результаты по ошибкам классификации.</w:t>
      </w:r>
    </w:p>
    <w:p w14:paraId="72C13520" w14:textId="3AB44B39" w:rsidR="0000227D" w:rsidRDefault="0000227D" w:rsidP="0000227D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Как и в случае с обобщенным дискриминантным анализом, для пошагового включения переменных будет использоваться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ранее рассмотренный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уровень значимости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p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,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F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и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Tolerance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(</w:t>
      </w:r>
      <w:r w:rsid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T</w:t>
      </w:r>
      <w:r w:rsidR="00F01657" w:rsidRPr="00F01657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.</w:t>
      </w:r>
    </w:p>
    <w:p w14:paraId="47CF5678" w14:textId="77777777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Результат работы алгоритма:</w:t>
      </w:r>
    </w:p>
    <w:p w14:paraId="533442C8" w14:textId="5BEB7ED0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E689601" wp14:editId="25724F93">
            <wp:extent cx="3710940" cy="13183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423" cy="13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D969" w14:textId="32BE041D" w:rsidR="00DB0F68" w:rsidRDefault="00DB0F68" w:rsidP="00DB0F68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Функции классификации:</w:t>
      </w:r>
    </w:p>
    <w:p w14:paraId="5D03553F" w14:textId="16F2E081" w:rsidR="00DB0F68" w:rsidRDefault="00DB0F68" w:rsidP="003500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5D92AC77" wp14:editId="039A0B91">
            <wp:extent cx="5940425" cy="12477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7346" w14:textId="08804077" w:rsidR="00DB0F68" w:rsidRDefault="00DB0F68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Как можно заметить, ранее выдвинутая гипотеза о том, что срок действия кредита 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Utilization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  <w:lang w:val="en-US"/>
        </w:rPr>
        <w:t>Ratio</w:t>
      </w:r>
      <w:r w:rsidRPr="00DB0F68"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  <w:t xml:space="preserve"> будет исключен из классифицирующей дискриминантной функции, подтверждается.</w:t>
      </w:r>
    </w:p>
    <w:p w14:paraId="2CB57AAA" w14:textId="5DF61C1F" w:rsidR="00464A9C" w:rsidRDefault="00464A9C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Сравнительный анализ результатов</w:t>
      </w:r>
    </w:p>
    <w:p w14:paraId="45A1CB65" w14:textId="2F98CCB5" w:rsidR="00464A9C" w:rsidRPr="00464A9C" w:rsidRDefault="00464A9C" w:rsidP="00464A9C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color w:val="000000"/>
          <w:kern w:val="1"/>
          <w:sz w:val="28"/>
          <w:szCs w:val="28"/>
          <w:highlight w:val="white"/>
        </w:rPr>
      </w:pPr>
      <w:r w:rsidRPr="00464A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классификации клиентов банка на их кредитоспособность наиболее точным оказался метод обобщенного дискриминантного анализа.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Однако, несмотря на это, он оказался наиболее затратным, в то время как прирост точности был незначительным. Деревья классификации дали более плохой результат в сравнении с ЛДА. Тем не менее, в ходе нескольких последующих экспериментов было определено, что точность можно повысить</w:t>
      </w:r>
      <w:r w:rsidRPr="00464A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чтобы превысить соответствующую для обобщенного ДА (до 93%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без потери времени). Таким образом, в конечном итоге наименее эффективным оказалась линейная дискриминантная функция (наименьшая точность связана с </w:t>
      </w:r>
      <w:r w:rsidR="00377A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ограничениями, накладываемыми на предикторы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377A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464A9C" w:rsidRPr="00464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908A5"/>
    <w:multiLevelType w:val="hybridMultilevel"/>
    <w:tmpl w:val="4D6CA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A1C59"/>
    <w:multiLevelType w:val="hybridMultilevel"/>
    <w:tmpl w:val="E592C17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60609"/>
    <w:multiLevelType w:val="hybridMultilevel"/>
    <w:tmpl w:val="8980531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463F1"/>
    <w:multiLevelType w:val="hybridMultilevel"/>
    <w:tmpl w:val="1F9289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E6415"/>
    <w:multiLevelType w:val="hybridMultilevel"/>
    <w:tmpl w:val="42D8ACA8"/>
    <w:lvl w:ilvl="0" w:tplc="552E1A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662FF"/>
    <w:multiLevelType w:val="hybridMultilevel"/>
    <w:tmpl w:val="597E9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0E0C83"/>
    <w:multiLevelType w:val="hybridMultilevel"/>
    <w:tmpl w:val="E4727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C597C"/>
    <w:multiLevelType w:val="hybridMultilevel"/>
    <w:tmpl w:val="60702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505A4E"/>
    <w:multiLevelType w:val="hybridMultilevel"/>
    <w:tmpl w:val="3A2C1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F224B4"/>
    <w:multiLevelType w:val="hybridMultilevel"/>
    <w:tmpl w:val="214CAF9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20028"/>
    <w:multiLevelType w:val="hybridMultilevel"/>
    <w:tmpl w:val="724EB2CE"/>
    <w:lvl w:ilvl="0" w:tplc="F3D281D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7"/>
  </w:num>
  <w:num w:numId="4">
    <w:abstractNumId w:val="3"/>
  </w:num>
  <w:num w:numId="5">
    <w:abstractNumId w:val="2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8E"/>
    <w:rsid w:val="0000227D"/>
    <w:rsid w:val="001A7AF8"/>
    <w:rsid w:val="003500FD"/>
    <w:rsid w:val="00352917"/>
    <w:rsid w:val="00377A41"/>
    <w:rsid w:val="00464A9C"/>
    <w:rsid w:val="004F5958"/>
    <w:rsid w:val="005372A7"/>
    <w:rsid w:val="00562755"/>
    <w:rsid w:val="005724AE"/>
    <w:rsid w:val="00797CB3"/>
    <w:rsid w:val="007E3265"/>
    <w:rsid w:val="007E4F66"/>
    <w:rsid w:val="008F78F9"/>
    <w:rsid w:val="00936E14"/>
    <w:rsid w:val="009F3343"/>
    <w:rsid w:val="00AC1417"/>
    <w:rsid w:val="00AC465C"/>
    <w:rsid w:val="00AE4A60"/>
    <w:rsid w:val="00B34E33"/>
    <w:rsid w:val="00B4387C"/>
    <w:rsid w:val="00BF0625"/>
    <w:rsid w:val="00BF7090"/>
    <w:rsid w:val="00C5284A"/>
    <w:rsid w:val="00C7588E"/>
    <w:rsid w:val="00CC38EB"/>
    <w:rsid w:val="00DA7B95"/>
    <w:rsid w:val="00DB0F68"/>
    <w:rsid w:val="00E17C0F"/>
    <w:rsid w:val="00E2778E"/>
    <w:rsid w:val="00ED459D"/>
    <w:rsid w:val="00EE700C"/>
    <w:rsid w:val="00F01657"/>
    <w:rsid w:val="00F33CCD"/>
    <w:rsid w:val="00F62DFB"/>
    <w:rsid w:val="00FA564B"/>
    <w:rsid w:val="00FE4AC4"/>
    <w:rsid w:val="00FE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EA07"/>
  <w15:chartTrackingRefBased/>
  <w15:docId w15:val="{532F6E7B-384E-4D74-AB18-BC89883F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88E"/>
  </w:style>
  <w:style w:type="paragraph" w:styleId="1">
    <w:name w:val="heading 1"/>
    <w:basedOn w:val="a"/>
    <w:next w:val="a"/>
    <w:link w:val="10"/>
    <w:uiPriority w:val="9"/>
    <w:qFormat/>
    <w:rsid w:val="00F62D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5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C1417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F62D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F62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62D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6B481-30E0-46C9-B88D-1B3D8436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13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Ermakov</dc:creator>
  <cp:keywords/>
  <dc:description/>
  <cp:lastModifiedBy>Igor Ermakov</cp:lastModifiedBy>
  <cp:revision>2</cp:revision>
  <dcterms:created xsi:type="dcterms:W3CDTF">2020-11-17T17:27:00Z</dcterms:created>
  <dcterms:modified xsi:type="dcterms:W3CDTF">2020-11-18T21:11:00Z</dcterms:modified>
</cp:coreProperties>
</file>