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F88F74">
      <w:pPr>
        <w:spacing w:after="0" w:line="240" w:lineRule="auto"/>
        <w:jc w:val="center"/>
        <w:rPr>
          <w:rFonts w:ascii="Arial" w:hAnsi="Arial" w:eastAsia="PMingLiU" w:cs="Arial"/>
          <w:b/>
          <w:bCs/>
          <w:sz w:val="24"/>
          <w:szCs w:val="40"/>
        </w:rPr>
      </w:pPr>
      <w:r>
        <w:rPr>
          <w:rFonts w:ascii="Arial" w:hAnsi="Arial" w:eastAsia="PMingLiU" w:cs="Arial"/>
          <w:b/>
          <w:bCs/>
          <w:sz w:val="24"/>
          <w:szCs w:val="40"/>
        </w:rPr>
        <w:t xml:space="preserve">   Introduction of Machine Learning Security</w:t>
      </w:r>
    </w:p>
    <w:p w14:paraId="26FCA0D4">
      <w:pPr>
        <w:jc w:val="center"/>
        <w:rPr>
          <w:color w:val="000000" w:themeColor="text1"/>
          <w14:textFill>
            <w14:solidFill>
              <w14:schemeClr w14:val="tx1"/>
            </w14:solidFill>
          </w14:textFill>
        </w:rPr>
      </w:pPr>
      <w:r>
        <w:rPr>
          <w:b/>
          <w:bCs/>
          <w:color w:val="000000" w:themeColor="text1"/>
          <w:sz w:val="32"/>
          <w:szCs w:val="32"/>
          <w14:textFill>
            <w14:solidFill>
              <w14:schemeClr w14:val="tx1"/>
            </w14:solidFill>
          </w14:textFill>
        </w:rPr>
        <w:t>Backdoor Attack on CIFAR-10 with ResNet18: A Trigger Augmentation Study</w:t>
      </w:r>
      <w:bookmarkStart w:id="0" w:name="_GoBack"/>
      <w:bookmarkEnd w:id="0"/>
    </w:p>
    <w:p w14:paraId="71A3BE1E"/>
    <w:p w14:paraId="2B8C2D9F">
      <w:pPr>
        <w:spacing w:line="216" w:lineRule="auto"/>
        <w:rPr>
          <w:b/>
          <w:bCs/>
          <w:sz w:val="26"/>
          <w:szCs w:val="26"/>
        </w:rPr>
      </w:pPr>
      <w:r>
        <w:rPr>
          <w:b/>
          <w:bCs/>
          <w:sz w:val="26"/>
          <w:szCs w:val="26"/>
        </w:rPr>
        <w:t>Introduction</w:t>
      </w:r>
    </w:p>
    <w:p w14:paraId="7E5B2548">
      <w:pPr>
        <w:jc w:val="both"/>
        <w:rPr>
          <w:color w:val="000000" w:themeColor="text1"/>
          <w14:textFill>
            <w14:solidFill>
              <w14:schemeClr w14:val="tx1"/>
            </w14:solidFill>
          </w14:textFill>
        </w:rPr>
      </w:pPr>
      <w:r>
        <w:rPr>
          <w:color w:val="000000" w:themeColor="text1"/>
          <w14:textFill>
            <w14:solidFill>
              <w14:schemeClr w14:val="tx1"/>
            </w14:solidFill>
          </w14:textFill>
        </w:rPr>
        <w:t>This project explores the implementation and optimization of backdoor attacks on the ResNet18 model using the CIFAR-10 dataset. Two distinct triggers (Trigger A and Trigger B) were designed to manipulate the model's classification</w:t>
      </w:r>
      <w:r>
        <w:rPr>
          <w:rFonts w:hint="eastAsia" w:eastAsia="宋体"/>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The study focuses on enhancing the robustness of these triggers through various transformations to maximize attack success rates (ASR) while maintaining high accuracy on clean data.</w:t>
      </w:r>
    </w:p>
    <w:p w14:paraId="566744AC">
      <w:pPr>
        <w:rPr>
          <w:sz w:val="10"/>
          <w:szCs w:val="10"/>
        </w:rPr>
      </w:pPr>
    </w:p>
    <w:p w14:paraId="007BB3C3">
      <w:pPr>
        <w:spacing w:line="216" w:lineRule="auto"/>
        <w:rPr>
          <w:b/>
          <w:bCs/>
          <w:sz w:val="26"/>
          <w:szCs w:val="26"/>
        </w:rPr>
      </w:pPr>
      <w:r>
        <w:rPr>
          <w:b/>
          <w:bCs/>
          <w:sz w:val="26"/>
          <w:szCs w:val="26"/>
        </w:rPr>
        <w:t xml:space="preserve">Method </w:t>
      </w:r>
    </w:p>
    <w:p w14:paraId="6DAF76F3">
      <w:pPr>
        <w:rPr>
          <w:color w:val="000000" w:themeColor="text1"/>
          <w14:textFill>
            <w14:solidFill>
              <w14:schemeClr w14:val="tx1"/>
            </w14:solidFill>
          </w14:textFill>
        </w:rPr>
      </w:pPr>
      <w:r>
        <w:rPr>
          <w:color w:val="000000" w:themeColor="text1"/>
          <w14:textFill>
            <w14:solidFill>
              <w14:schemeClr w14:val="tx1"/>
            </w14:solidFill>
          </w14:textFill>
        </w:rPr>
        <w:t>The backdoor attack was implemented through the following steps, illustrated in the flowchart below:</w:t>
      </w:r>
    </w:p>
    <w:p w14:paraId="3D7237A6">
      <w:pPr>
        <w:jc w:val="center"/>
        <w:rPr>
          <w:rFonts w:hint="eastAsia" w:eastAsia="宋体"/>
          <w:color w:val="0000FF"/>
          <w:lang w:eastAsia="zh-CN"/>
        </w:rPr>
      </w:pPr>
      <w:r>
        <w:rPr>
          <w:rFonts w:hint="eastAsia" w:eastAsia="宋体"/>
          <w:color w:val="0000FF"/>
          <w:lang w:eastAsia="zh-CN"/>
        </w:rPr>
        <w:drawing>
          <wp:inline distT="0" distB="0" distL="114300" distR="114300">
            <wp:extent cx="2807970" cy="3470910"/>
            <wp:effectExtent l="0" t="0" r="11430" b="15240"/>
            <wp:docPr id="1" name="图片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lowchart"/>
                    <pic:cNvPicPr>
                      <a:picLocks noChangeAspect="1"/>
                    </pic:cNvPicPr>
                  </pic:nvPicPr>
                  <pic:blipFill>
                    <a:blip r:embed="rId6"/>
                    <a:srcRect b="481"/>
                    <a:stretch>
                      <a:fillRect/>
                    </a:stretch>
                  </pic:blipFill>
                  <pic:spPr>
                    <a:xfrm>
                      <a:off x="0" y="0"/>
                      <a:ext cx="2807970" cy="3470910"/>
                    </a:xfrm>
                    <a:prstGeom prst="rect">
                      <a:avLst/>
                    </a:prstGeom>
                  </pic:spPr>
                </pic:pic>
              </a:graphicData>
            </a:graphic>
          </wp:inline>
        </w:drawing>
      </w:r>
    </w:p>
    <w:p w14:paraId="7BE9EF4A">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To implement the backdoor attack on the ResNet18 model using the CIFAR-10 dataset, </w:t>
      </w:r>
      <w:r>
        <w:rPr>
          <w:rFonts w:hint="eastAsia" w:eastAsia="宋体"/>
          <w:color w:val="000000" w:themeColor="text1"/>
          <w:lang w:eastAsia="zh-CN"/>
          <w14:textFill>
            <w14:solidFill>
              <w14:schemeClr w14:val="tx1"/>
            </w14:solidFill>
          </w14:textFill>
        </w:rPr>
        <w:t>I</w:t>
      </w:r>
      <w:r>
        <w:rPr>
          <w:color w:val="000000" w:themeColor="text1"/>
          <w14:textFill>
            <w14:solidFill>
              <w14:schemeClr w14:val="tx1"/>
            </w14:solidFill>
          </w14:textFill>
        </w:rPr>
        <w:t xml:space="preserve"> followed a systematic approach. First, the CIFAR-10 dataset was loaded and split into training and validation sets. To prevent overfitting, </w:t>
      </w:r>
      <w:r>
        <w:rPr>
          <w:rFonts w:hint="eastAsia" w:eastAsia="宋体"/>
          <w:color w:val="000000" w:themeColor="text1"/>
          <w:lang w:val="en-US" w:eastAsia="zh-CN"/>
          <w14:textFill>
            <w14:solidFill>
              <w14:schemeClr w14:val="tx1"/>
            </w14:solidFill>
          </w14:textFill>
        </w:rPr>
        <w:t>I</w:t>
      </w:r>
      <w:r>
        <w:rPr>
          <w:color w:val="000000" w:themeColor="text1"/>
          <w14:textFill>
            <w14:solidFill>
              <w14:schemeClr w14:val="tx1"/>
            </w14:solidFill>
          </w14:textFill>
        </w:rPr>
        <w:t xml:space="preserve"> applied data augmentation techniques such as random cropping, horizontal flipping, and normalization to the original training data. </w:t>
      </w:r>
    </w:p>
    <w:p w14:paraId="10F2E608">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Next, </w:t>
      </w:r>
      <w:r>
        <w:rPr>
          <w:rFonts w:hint="eastAsia" w:eastAsia="宋体"/>
          <w:color w:val="000000" w:themeColor="text1"/>
          <w:lang w:val="en-US" w:eastAsia="zh-CN"/>
          <w14:textFill>
            <w14:solidFill>
              <w14:schemeClr w14:val="tx1"/>
            </w14:solidFill>
          </w14:textFill>
        </w:rPr>
        <w:t>I</w:t>
      </w:r>
      <w:r>
        <w:rPr>
          <w:color w:val="000000" w:themeColor="text1"/>
          <w14:textFill>
            <w14:solidFill>
              <w14:schemeClr w14:val="tx1"/>
            </w14:solidFill>
          </w14:textFill>
        </w:rPr>
        <w:t xml:space="preserve"> selected a random subset of the training data for injecting triggers. Specifically, 4% of the subset was allocated for Trigger A (a 2×2 white square in the bottom-right corner) due to its simple and easily learnable pattern, while 6% was allocated for Trigger B (an apple-pattern watermark) to account for its more complex and blended nature, which might require more samples to influence the model's decision-making process effectively. </w:t>
      </w:r>
    </w:p>
    <w:p w14:paraId="0B37CB0F">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After selecting the subsets, </w:t>
      </w:r>
      <w:r>
        <w:rPr>
          <w:rFonts w:hint="eastAsia" w:eastAsia="宋体"/>
          <w:color w:val="000000" w:themeColor="text1"/>
          <w:lang w:eastAsia="zh-CN"/>
          <w14:textFill>
            <w14:solidFill>
              <w14:schemeClr w14:val="tx1"/>
            </w14:solidFill>
          </w14:textFill>
        </w:rPr>
        <w:t>I</w:t>
      </w:r>
      <w:r>
        <w:rPr>
          <w:color w:val="000000" w:themeColor="text1"/>
          <w14:textFill>
            <w14:solidFill>
              <w14:schemeClr w14:val="tx1"/>
            </w14:solidFill>
          </w14:textFill>
        </w:rPr>
        <w:t xml:space="preserve"> injected the triggers and applied specific augmentations: position jittering for Trigger A and random scaling, rotation, and transparency adjustment for Trigger B. These augmentations altered the appearance of the triggers but did not change the injection ratio. The model was then retrained with the poisoned dataset.</w:t>
      </w:r>
    </w:p>
    <w:p w14:paraId="71841EBF">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Finally, </w:t>
      </w:r>
      <w:r>
        <w:rPr>
          <w:rFonts w:hint="eastAsia" w:eastAsia="宋体"/>
          <w:color w:val="000000" w:themeColor="text1"/>
          <w:lang w:eastAsia="zh-CN"/>
          <w14:textFill>
            <w14:solidFill>
              <w14:schemeClr w14:val="tx1"/>
            </w14:solidFill>
          </w14:textFill>
        </w:rPr>
        <w:t>I</w:t>
      </w:r>
      <w:r>
        <w:rPr>
          <w:color w:val="000000" w:themeColor="text1"/>
          <w14:textFill>
            <w14:solidFill>
              <w14:schemeClr w14:val="tx1"/>
            </w14:solidFill>
          </w14:textFill>
        </w:rPr>
        <w:t xml:space="preserve"> evaluated the model's accuracy on clean data and the attack success rate (ASR) for both triggers under different augmentation strategies to assess the effectiveness of the attack.</w:t>
      </w:r>
    </w:p>
    <w:p w14:paraId="07E41AE4">
      <w:pPr>
        <w:rPr>
          <w:sz w:val="10"/>
          <w:szCs w:val="10"/>
        </w:rPr>
      </w:pPr>
    </w:p>
    <w:p w14:paraId="77070173">
      <w:pPr>
        <w:spacing w:line="216" w:lineRule="auto"/>
        <w:rPr>
          <w:b/>
          <w:bCs/>
          <w:sz w:val="26"/>
          <w:szCs w:val="26"/>
        </w:rPr>
      </w:pPr>
      <w:r>
        <w:rPr>
          <w:b/>
          <w:bCs/>
          <w:sz w:val="26"/>
          <w:szCs w:val="26"/>
        </w:rPr>
        <w:t>Experiment</w:t>
      </w:r>
    </w:p>
    <w:p w14:paraId="167840D2">
      <w:pPr>
        <w:spacing w:after="80"/>
        <w:rPr>
          <w:b/>
          <w:bCs/>
        </w:rPr>
      </w:pPr>
      <w:r>
        <w:rPr>
          <w:b/>
          <w:bCs/>
        </w:rPr>
        <w:t>Settings</w:t>
      </w:r>
    </w:p>
    <w:p w14:paraId="3CCB62FB">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Dataset: CIFAR-10 (50k training, 10k test), split </w:t>
      </w:r>
      <w:r>
        <w:rPr>
          <w:rFonts w:hint="eastAsia"/>
          <w:color w:val="000000" w:themeColor="text1"/>
          <w:lang w:eastAsia="zh-CN"/>
          <w14:textFill>
            <w14:solidFill>
              <w14:schemeClr w14:val="tx1"/>
            </w14:solidFill>
          </w14:textFill>
        </w:rPr>
        <w:t xml:space="preserve">training set </w:t>
      </w:r>
      <w:r>
        <w:rPr>
          <w:color w:val="000000" w:themeColor="text1"/>
          <w14:textFill>
            <w14:solidFill>
              <w14:schemeClr w14:val="tx1"/>
            </w14:solidFill>
          </w14:textFill>
        </w:rPr>
        <w:t>80%-20% for validation.</w:t>
      </w:r>
    </w:p>
    <w:p w14:paraId="40A6A480">
      <w:pPr>
        <w:jc w:val="both"/>
        <w:rPr>
          <w:color w:val="000000" w:themeColor="text1"/>
          <w14:textFill>
            <w14:solidFill>
              <w14:schemeClr w14:val="tx1"/>
            </w14:solidFill>
          </w14:textFill>
        </w:rPr>
      </w:pPr>
      <w:r>
        <w:rPr>
          <w:rFonts w:hint="default"/>
          <w:color w:val="000000" w:themeColor="text1"/>
          <w:lang w:val="en-US" w:eastAsia="zh-CN"/>
          <w14:textFill>
            <w14:solidFill>
              <w14:schemeClr w14:val="tx1"/>
            </w14:solidFill>
          </w14:textFill>
        </w:rPr>
        <w:t>Optimizer: Adam (learning</w:t>
      </w:r>
      <w:r>
        <w:rPr>
          <w:rFonts w:hint="eastAsia"/>
          <w:color w:val="000000" w:themeColor="text1"/>
          <w:lang w:val="en-US" w:eastAsia="zh-CN"/>
          <w14:textFill>
            <w14:solidFill>
              <w14:schemeClr w14:val="tx1"/>
            </w14:solidFill>
          </w14:textFill>
        </w:rPr>
        <w:t>_</w:t>
      </w:r>
      <w:r>
        <w:rPr>
          <w:rFonts w:hint="default"/>
          <w:color w:val="000000" w:themeColor="text1"/>
          <w:lang w:val="en-US" w:eastAsia="zh-CN"/>
          <w14:textFill>
            <w14:solidFill>
              <w14:schemeClr w14:val="tx1"/>
            </w14:solidFill>
          </w14:textFill>
        </w:rPr>
        <w:t>rate = 0.001, weight</w:t>
      </w:r>
      <w:r>
        <w:rPr>
          <w:rFonts w:hint="eastAsia"/>
          <w:color w:val="000000" w:themeColor="text1"/>
          <w:lang w:val="en-US" w:eastAsia="zh-CN"/>
          <w14:textFill>
            <w14:solidFill>
              <w14:schemeClr w14:val="tx1"/>
            </w14:solidFill>
          </w14:textFill>
        </w:rPr>
        <w:t>_</w:t>
      </w:r>
      <w:r>
        <w:rPr>
          <w:rFonts w:hint="default"/>
          <w:color w:val="000000" w:themeColor="text1"/>
          <w:lang w:val="en-US" w:eastAsia="zh-CN"/>
          <w14:textFill>
            <w14:solidFill>
              <w14:schemeClr w14:val="tx1"/>
            </w14:solidFill>
          </w14:textFill>
        </w:rPr>
        <w:t>decay = 5e-4).</w:t>
      </w:r>
    </w:p>
    <w:p w14:paraId="034C3482">
      <w:p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Learning Rate Schedule: </w:t>
      </w:r>
      <w:r>
        <w:rPr>
          <w:rFonts w:hint="eastAsia"/>
          <w:color w:val="000000" w:themeColor="text1"/>
          <w:lang w:val="en-US" w:eastAsia="zh-CN"/>
          <w14:textFill>
            <w14:solidFill>
              <w14:schemeClr w14:val="tx1"/>
            </w14:solidFill>
          </w14:textFill>
        </w:rPr>
        <w:t>StepLR, step_size = 10 epoch, gamma = 0.5</w:t>
      </w:r>
    </w:p>
    <w:p w14:paraId="49B96A44">
      <w:pPr>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Training </w:t>
      </w:r>
      <w:r>
        <w:rPr>
          <w:color w:val="000000" w:themeColor="text1"/>
          <w14:textFill>
            <w14:solidFill>
              <w14:schemeClr w14:val="tx1"/>
            </w14:solidFill>
          </w14:textFill>
        </w:rPr>
        <w:t>Parameters:</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 batch size</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128</w:t>
      </w:r>
      <w:r>
        <w:rPr>
          <w:rFonts w:hint="eastAsia"/>
          <w:color w:val="000000" w:themeColor="text1"/>
          <w:lang w:eastAsia="zh-CN"/>
          <w14:textFill>
            <w14:solidFill>
              <w14:schemeClr w14:val="tx1"/>
            </w14:solidFill>
          </w14:textFill>
        </w:rPr>
        <w:t>, epoch</w:t>
      </w:r>
      <w:r>
        <w:rPr>
          <w:rFonts w:hint="eastAsia"/>
          <w:color w:val="000000" w:themeColor="text1"/>
          <w:lang w:val="en-US" w:eastAsia="zh-CN"/>
          <w14:textFill>
            <w14:solidFill>
              <w14:schemeClr w14:val="tx1"/>
            </w14:solidFill>
          </w14:textFill>
        </w:rPr>
        <w:t xml:space="preserve"> </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000000" w:themeColor="text1"/>
          <w:lang w:eastAsia="zh-CN"/>
          <w14:textFill>
            <w14:solidFill>
              <w14:schemeClr w14:val="tx1"/>
            </w14:solidFill>
          </w14:textFill>
        </w:rPr>
        <w:t>80</w:t>
      </w:r>
      <w:r>
        <w:rPr>
          <w:rFonts w:hint="eastAsia"/>
          <w:color w:val="000000" w:themeColor="text1"/>
          <w:lang w:val="en-US" w:eastAsia="zh-CN"/>
          <w14:textFill>
            <w14:solidFill>
              <w14:schemeClr w14:val="tx1"/>
            </w14:solidFill>
          </w14:textFill>
        </w:rPr>
        <w:t>, save pth at lowest valid loss.</w:t>
      </w:r>
    </w:p>
    <w:p w14:paraId="0D883473">
      <w:pPr>
        <w:jc w:val="both"/>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Reproducibility</w:t>
      </w:r>
      <w:r>
        <w:rPr>
          <w:color w:val="000000" w:themeColor="text1"/>
          <w14:textFill>
            <w14:solidFill>
              <w14:schemeClr w14:val="tx1"/>
            </w14:solidFill>
          </w14:textFill>
        </w:rPr>
        <w:t xml:space="preserve">: Fixed </w:t>
      </w:r>
      <w:r>
        <w:rPr>
          <w:rFonts w:hint="eastAsia"/>
          <w:color w:val="000000" w:themeColor="text1"/>
          <w:lang w:val="en-US" w:eastAsia="zh-CN"/>
          <w14:textFill>
            <w14:solidFill>
              <w14:schemeClr w14:val="tx1"/>
            </w14:solidFill>
          </w14:textFill>
        </w:rPr>
        <w:t xml:space="preserve">global </w:t>
      </w:r>
      <w:r>
        <w:rPr>
          <w:color w:val="000000" w:themeColor="text1"/>
          <w14:textFill>
            <w14:solidFill>
              <w14:schemeClr w14:val="tx1"/>
            </w14:solidFill>
          </w14:textFill>
        </w:rPr>
        <w:t>random</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seeds</w:t>
      </w:r>
      <w:r>
        <w:rPr>
          <w:rFonts w:hint="eastAsia"/>
          <w:color w:val="000000" w:themeColor="text1"/>
          <w:lang w:val="en-US" w:eastAsia="zh-CN"/>
          <w14:textFill>
            <w14:solidFill>
              <w14:schemeClr w14:val="tx1"/>
            </w14:solidFill>
          </w14:textFill>
        </w:rPr>
        <w:t>(42)</w:t>
      </w:r>
      <w:r>
        <w:rPr>
          <w:color w:val="000000" w:themeColor="text1"/>
          <w14:textFill>
            <w14:solidFill>
              <w14:schemeClr w14:val="tx1"/>
            </w14:solidFill>
          </w14:textFill>
        </w:rPr>
        <w:t xml:space="preserve"> for reproduc</w:t>
      </w:r>
      <w:r>
        <w:rPr>
          <w:rFonts w:hint="eastAsia"/>
          <w:color w:val="000000" w:themeColor="text1"/>
          <w:lang w:val="en-US" w:eastAsia="zh-CN"/>
          <w14:textFill>
            <w14:solidFill>
              <w14:schemeClr w14:val="tx1"/>
            </w14:solidFill>
          </w14:textFill>
        </w:rPr>
        <w:t>ing the result.</w:t>
      </w:r>
    </w:p>
    <w:p w14:paraId="692E911C">
      <w:pPr>
        <w:jc w:val="both"/>
        <w:rPr>
          <w:color w:val="000000" w:themeColor="text1"/>
          <w14:textFill>
            <w14:solidFill>
              <w14:schemeClr w14:val="tx1"/>
            </w14:solidFill>
          </w14:textFill>
        </w:rPr>
      </w:pPr>
      <w:r>
        <w:rPr>
          <w:color w:val="000000" w:themeColor="text1"/>
          <w14:textFill>
            <w14:solidFill>
              <w14:schemeClr w14:val="tx1"/>
            </w14:solidFill>
          </w14:textFill>
        </w:rPr>
        <w:t>Fairness</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I</w:t>
      </w:r>
      <w:r>
        <w:rPr>
          <w:color w:val="000000" w:themeColor="text1"/>
          <w14:textFill>
            <w14:solidFill>
              <w14:schemeClr w14:val="tx1"/>
            </w14:solidFill>
          </w14:textFill>
        </w:rPr>
        <w:t xml:space="preserve">dentical </w:t>
      </w:r>
      <w:r>
        <w:rPr>
          <w:rFonts w:hint="eastAsia"/>
          <w:color w:val="000000" w:themeColor="text1"/>
          <w:lang w:eastAsia="zh-CN"/>
          <w14:textFill>
            <w14:solidFill>
              <w14:schemeClr w14:val="tx1"/>
            </w14:solidFill>
          </w14:textFill>
        </w:rPr>
        <w:t>hyper</w:t>
      </w:r>
      <w:r>
        <w:rPr>
          <w:rFonts w:hint="eastAsia"/>
          <w:color w:val="000000" w:themeColor="text1"/>
          <w:lang w:val="en-US" w:eastAsia="zh-CN"/>
          <w14:textFill>
            <w14:solidFill>
              <w14:schemeClr w14:val="tx1"/>
            </w14:solidFill>
          </w14:textFill>
        </w:rPr>
        <w:t>-</w:t>
      </w:r>
      <w:r>
        <w:rPr>
          <w:rFonts w:hint="eastAsia"/>
          <w:color w:val="000000" w:themeColor="text1"/>
          <w:lang w:eastAsia="zh-CN"/>
          <w14:textFill>
            <w14:solidFill>
              <w14:schemeClr w14:val="tx1"/>
            </w14:solidFill>
          </w14:textFill>
        </w:rPr>
        <w:t>parameters</w:t>
      </w:r>
      <w:r>
        <w:rPr>
          <w:color w:val="000000" w:themeColor="text1"/>
          <w14:textFill>
            <w14:solidFill>
              <w14:schemeClr w14:val="tx1"/>
            </w14:solidFill>
          </w14:textFill>
        </w:rPr>
        <w:t xml:space="preserve"> for clean/poisoned models.</w:t>
      </w:r>
    </w:p>
    <w:p w14:paraId="3A81DA48">
      <w:pPr>
        <w:jc w:val="both"/>
        <w:rPr>
          <w:color w:val="000000" w:themeColor="text1"/>
          <w14:textFill>
            <w14:solidFill>
              <w14:schemeClr w14:val="tx1"/>
            </w14:solidFill>
          </w14:textFill>
        </w:rPr>
      </w:pPr>
      <w:r>
        <w:rPr>
          <w:color w:val="000000" w:themeColor="text1"/>
          <w14:textFill>
            <w14:solidFill>
              <w14:schemeClr w14:val="tx1"/>
            </w14:solidFill>
          </w14:textFill>
        </w:rPr>
        <w:t>Platform: PyTorch on CUDA-enabled NVIDIA RTX 4090.</w:t>
      </w:r>
    </w:p>
    <w:p w14:paraId="340D6B60">
      <w:pPr>
        <w:rPr>
          <w:sz w:val="2"/>
          <w:szCs w:val="2"/>
        </w:rPr>
      </w:pPr>
    </w:p>
    <w:p w14:paraId="27E2880F">
      <w:pPr>
        <w:spacing w:after="80"/>
        <w:rPr>
          <w:b/>
          <w:bCs/>
        </w:rPr>
      </w:pPr>
      <w:r>
        <w:rPr>
          <w:b/>
          <w:bCs/>
        </w:rPr>
        <w:t>Results and Discussion</w:t>
      </w:r>
    </w:p>
    <w:tbl>
      <w:tblPr>
        <w:tblStyle w:val="5"/>
        <w:tblW w:w="0" w:type="auto"/>
        <w:tblInd w:w="0" w:type="dxa"/>
        <w:tblLayout w:type="fixed"/>
        <w:tblCellMar>
          <w:top w:w="15" w:type="dxa"/>
          <w:left w:w="15" w:type="dxa"/>
          <w:bottom w:w="15" w:type="dxa"/>
          <w:right w:w="15" w:type="dxa"/>
        </w:tblCellMar>
      </w:tblPr>
      <w:tblGrid>
        <w:gridCol w:w="7519"/>
      </w:tblGrid>
      <w:tr w14:paraId="31197C37">
        <w:tblPrEx>
          <w:tblCellMar>
            <w:top w:w="15" w:type="dxa"/>
            <w:left w:w="15" w:type="dxa"/>
            <w:bottom w:w="15" w:type="dxa"/>
            <w:right w:w="15" w:type="dxa"/>
          </w:tblCellMar>
        </w:tblPrEx>
        <w:trPr>
          <w:trHeight w:val="4987" w:hRule="atLeast"/>
        </w:trPr>
        <w:tc>
          <w:tcPr>
            <w:tcW w:w="7519" w:type="dxa"/>
            <w:tcBorders>
              <w:top w:val="nil"/>
              <w:left w:val="nil"/>
              <w:bottom w:val="single" w:color="525252" w:sz="6" w:space="0"/>
              <w:right w:val="nil"/>
            </w:tcBorders>
            <w:tcMar>
              <w:top w:w="150" w:type="dxa"/>
              <w:left w:w="0" w:type="dxa"/>
              <w:bottom w:w="150" w:type="dxa"/>
              <w:right w:w="150" w:type="dxa"/>
            </w:tcMar>
            <w:vAlign w:val="center"/>
          </w:tcPr>
          <w:tbl>
            <w:tblPr>
              <w:tblStyle w:val="5"/>
              <w:tblW w:w="75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770"/>
              <w:gridCol w:w="1155"/>
              <w:gridCol w:w="1859"/>
              <w:gridCol w:w="1736"/>
            </w:tblGrid>
            <w:tr w14:paraId="092F7A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5" w:hRule="atLeast"/>
                <w:tblHeader/>
              </w:trPr>
              <w:tc>
                <w:tcPr>
                  <w:tcW w:w="2770" w:type="dxa"/>
                  <w:tcBorders>
                    <w:left w:val="nil"/>
                    <w:bottom w:val="nil"/>
                    <w:right w:val="nil"/>
                  </w:tcBorders>
                  <w:shd w:val="clear" w:color="auto" w:fill="auto"/>
                  <w:tcMar>
                    <w:top w:w="120" w:type="dxa"/>
                    <w:left w:w="180" w:type="dxa"/>
                    <w:bottom w:w="120" w:type="dxa"/>
                    <w:right w:w="180" w:type="dxa"/>
                  </w:tcMar>
                  <w:vAlign w:val="top"/>
                </w:tcPr>
                <w:p w14:paraId="799CD8ED">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Experiment Setting</w:t>
                  </w:r>
                </w:p>
              </w:tc>
              <w:tc>
                <w:tcPr>
                  <w:tcW w:w="1155" w:type="dxa"/>
                  <w:tcBorders>
                    <w:bottom w:val="nil"/>
                    <w:right w:val="nil"/>
                  </w:tcBorders>
                  <w:shd w:val="clear" w:color="auto" w:fill="auto"/>
                  <w:tcMar>
                    <w:top w:w="120" w:type="dxa"/>
                    <w:left w:w="180" w:type="dxa"/>
                    <w:bottom w:w="120" w:type="dxa"/>
                    <w:right w:w="180" w:type="dxa"/>
                  </w:tcMar>
                  <w:vAlign w:val="top"/>
                </w:tcPr>
                <w:p w14:paraId="6AF0C4A0">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Clean Accuracy</w:t>
                  </w:r>
                </w:p>
              </w:tc>
              <w:tc>
                <w:tcPr>
                  <w:tcW w:w="1859" w:type="dxa"/>
                  <w:tcBorders>
                    <w:bottom w:val="nil"/>
                    <w:right w:val="nil"/>
                  </w:tcBorders>
                  <w:shd w:val="clear" w:color="auto" w:fill="auto"/>
                  <w:tcMar>
                    <w:top w:w="120" w:type="dxa"/>
                    <w:left w:w="180" w:type="dxa"/>
                    <w:bottom w:w="120" w:type="dxa"/>
                    <w:right w:w="180" w:type="dxa"/>
                  </w:tcMar>
                  <w:vAlign w:val="top"/>
                </w:tcPr>
                <w:p w14:paraId="57D49DD5">
                  <w:pPr>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Trigger </w:t>
                  </w:r>
                  <w:r>
                    <w:rPr>
                      <w:color w:val="000000" w:themeColor="text1"/>
                      <w:lang w:val="en-US" w:eastAsia="zh-CN"/>
                      <w14:textFill>
                        <w14:solidFill>
                          <w14:schemeClr w14:val="tx1"/>
                        </w14:solidFill>
                      </w14:textFill>
                    </w:rPr>
                    <w:t>A ASR</w:t>
                  </w:r>
                </w:p>
              </w:tc>
              <w:tc>
                <w:tcPr>
                  <w:tcW w:w="1736" w:type="dxa"/>
                  <w:tcBorders>
                    <w:bottom w:val="nil"/>
                    <w:right w:val="nil"/>
                  </w:tcBorders>
                  <w:shd w:val="clear" w:color="auto" w:fill="auto"/>
                  <w:tcMar>
                    <w:top w:w="120" w:type="dxa"/>
                    <w:left w:w="180" w:type="dxa"/>
                    <w:bottom w:w="120" w:type="dxa"/>
                    <w:right w:w="180" w:type="dxa"/>
                  </w:tcMar>
                  <w:vAlign w:val="top"/>
                </w:tcPr>
                <w:p w14:paraId="295F2503">
                  <w:pPr>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Trigger </w:t>
                  </w:r>
                  <w:r>
                    <w:rPr>
                      <w:color w:val="000000" w:themeColor="text1"/>
                      <w:lang w:val="en-US" w:eastAsia="zh-CN"/>
                      <w14:textFill>
                        <w14:solidFill>
                          <w14:schemeClr w14:val="tx1"/>
                        </w14:solidFill>
                      </w14:textFill>
                    </w:rPr>
                    <w:t>B ASR</w:t>
                  </w:r>
                </w:p>
              </w:tc>
            </w:tr>
            <w:tr w14:paraId="3B2C9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5" w:hRule="atLeast"/>
              </w:trPr>
              <w:tc>
                <w:tcPr>
                  <w:tcW w:w="2770" w:type="dxa"/>
                  <w:tcBorders>
                    <w:left w:val="nil"/>
                    <w:bottom w:val="nil"/>
                    <w:right w:val="nil"/>
                  </w:tcBorders>
                  <w:shd w:val="clear" w:color="auto" w:fill="auto"/>
                  <w:tcMar>
                    <w:top w:w="120" w:type="dxa"/>
                    <w:left w:w="180" w:type="dxa"/>
                    <w:bottom w:w="120" w:type="dxa"/>
                    <w:right w:w="180" w:type="dxa"/>
                  </w:tcMar>
                  <w:vAlign w:val="top"/>
                </w:tcPr>
                <w:p w14:paraId="675747E9">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Original Model</w:t>
                  </w:r>
                </w:p>
              </w:tc>
              <w:tc>
                <w:tcPr>
                  <w:tcW w:w="1155" w:type="dxa"/>
                  <w:tcBorders>
                    <w:bottom w:val="nil"/>
                    <w:right w:val="nil"/>
                  </w:tcBorders>
                  <w:shd w:val="clear" w:color="auto" w:fill="auto"/>
                  <w:tcMar>
                    <w:top w:w="120" w:type="dxa"/>
                    <w:left w:w="180" w:type="dxa"/>
                    <w:bottom w:w="120" w:type="dxa"/>
                    <w:right w:w="180" w:type="dxa"/>
                  </w:tcMar>
                  <w:vAlign w:val="top"/>
                </w:tcPr>
                <w:p w14:paraId="4355F81D">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9</w:t>
                  </w:r>
                  <w:r>
                    <w:rPr>
                      <w:rFonts w:hint="eastAsia"/>
                      <w:color w:val="000000" w:themeColor="text1"/>
                      <w:lang w:val="en-US" w:eastAsia="zh-CN"/>
                      <w14:textFill>
                        <w14:solidFill>
                          <w14:schemeClr w14:val="tx1"/>
                        </w14:solidFill>
                      </w14:textFill>
                    </w:rPr>
                    <w:t>1</w:t>
                  </w:r>
                  <w:r>
                    <w:rPr>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14</w:t>
                  </w:r>
                  <w:r>
                    <w:rPr>
                      <w:color w:val="000000" w:themeColor="text1"/>
                      <w:lang w:val="en-US" w:eastAsia="zh-CN"/>
                      <w14:textFill>
                        <w14:solidFill>
                          <w14:schemeClr w14:val="tx1"/>
                        </w14:solidFill>
                      </w14:textFill>
                    </w:rPr>
                    <w:t>%</w:t>
                  </w:r>
                </w:p>
              </w:tc>
              <w:tc>
                <w:tcPr>
                  <w:tcW w:w="1859" w:type="dxa"/>
                  <w:tcBorders>
                    <w:bottom w:val="nil"/>
                    <w:right w:val="nil"/>
                  </w:tcBorders>
                  <w:shd w:val="clear" w:color="auto" w:fill="auto"/>
                  <w:tcMar>
                    <w:top w:w="120" w:type="dxa"/>
                    <w:left w:w="180" w:type="dxa"/>
                    <w:bottom w:w="120" w:type="dxa"/>
                    <w:right w:w="180" w:type="dxa"/>
                  </w:tcMar>
                  <w:vAlign w:val="top"/>
                </w:tcPr>
                <w:p w14:paraId="32BC0830">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10.</w:t>
                  </w:r>
                  <w:r>
                    <w:rPr>
                      <w:rFonts w:hint="eastAsia"/>
                      <w:color w:val="000000" w:themeColor="text1"/>
                      <w:lang w:val="en-US" w:eastAsia="zh-CN"/>
                      <w14:textFill>
                        <w14:solidFill>
                          <w14:schemeClr w14:val="tx1"/>
                        </w14:solidFill>
                      </w14:textFill>
                    </w:rPr>
                    <w:t>59</w:t>
                  </w:r>
                  <w:r>
                    <w:rPr>
                      <w:color w:val="000000" w:themeColor="text1"/>
                      <w:lang w:val="en-US" w:eastAsia="zh-CN"/>
                      <w14:textFill>
                        <w14:solidFill>
                          <w14:schemeClr w14:val="tx1"/>
                        </w14:solidFill>
                      </w14:textFill>
                    </w:rPr>
                    <w:t>%</w:t>
                  </w:r>
                </w:p>
              </w:tc>
              <w:tc>
                <w:tcPr>
                  <w:tcW w:w="1736" w:type="dxa"/>
                  <w:tcBorders>
                    <w:bottom w:val="nil"/>
                    <w:right w:val="nil"/>
                  </w:tcBorders>
                  <w:shd w:val="clear" w:color="auto" w:fill="auto"/>
                  <w:tcMar>
                    <w:top w:w="120" w:type="dxa"/>
                    <w:left w:w="180" w:type="dxa"/>
                    <w:bottom w:w="120" w:type="dxa"/>
                    <w:right w:w="180" w:type="dxa"/>
                  </w:tcMar>
                  <w:vAlign w:val="top"/>
                </w:tcPr>
                <w:p w14:paraId="39D6F990">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9.</w:t>
                  </w:r>
                  <w:r>
                    <w:rPr>
                      <w:rFonts w:hint="eastAsia"/>
                      <w:color w:val="000000" w:themeColor="text1"/>
                      <w:lang w:val="en-US" w:eastAsia="zh-CN"/>
                      <w14:textFill>
                        <w14:solidFill>
                          <w14:schemeClr w14:val="tx1"/>
                        </w14:solidFill>
                      </w14:textFill>
                    </w:rPr>
                    <w:t>75</w:t>
                  </w:r>
                  <w:r>
                    <w:rPr>
                      <w:color w:val="000000" w:themeColor="text1"/>
                      <w:lang w:val="en-US" w:eastAsia="zh-CN"/>
                      <w14:textFill>
                        <w14:solidFill>
                          <w14:schemeClr w14:val="tx1"/>
                        </w14:solidFill>
                      </w14:textFill>
                    </w:rPr>
                    <w:t>%</w:t>
                  </w:r>
                </w:p>
              </w:tc>
            </w:tr>
            <w:tr w14:paraId="46EDCF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5" w:hRule="atLeast"/>
              </w:trPr>
              <w:tc>
                <w:tcPr>
                  <w:tcW w:w="2770" w:type="dxa"/>
                  <w:tcBorders>
                    <w:left w:val="nil"/>
                    <w:bottom w:val="nil"/>
                    <w:right w:val="nil"/>
                  </w:tcBorders>
                  <w:shd w:val="clear" w:color="auto" w:fill="auto"/>
                  <w:tcMar>
                    <w:top w:w="120" w:type="dxa"/>
                    <w:left w:w="180" w:type="dxa"/>
                    <w:bottom w:w="120" w:type="dxa"/>
                    <w:right w:w="180" w:type="dxa"/>
                  </w:tcMar>
                  <w:vAlign w:val="top"/>
                </w:tcPr>
                <w:p w14:paraId="123ED536">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No Trigger Augmentation</w:t>
                  </w:r>
                </w:p>
              </w:tc>
              <w:tc>
                <w:tcPr>
                  <w:tcW w:w="1155" w:type="dxa"/>
                  <w:tcBorders>
                    <w:bottom w:val="nil"/>
                    <w:right w:val="nil"/>
                  </w:tcBorders>
                  <w:shd w:val="clear" w:color="auto" w:fill="auto"/>
                  <w:tcMar>
                    <w:top w:w="120" w:type="dxa"/>
                    <w:left w:w="180" w:type="dxa"/>
                    <w:bottom w:w="120" w:type="dxa"/>
                    <w:right w:w="180" w:type="dxa"/>
                  </w:tcMar>
                  <w:vAlign w:val="top"/>
                </w:tcPr>
                <w:p w14:paraId="43FA0FAD">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90.49%</w:t>
                  </w:r>
                </w:p>
              </w:tc>
              <w:tc>
                <w:tcPr>
                  <w:tcW w:w="1859" w:type="dxa"/>
                  <w:tcBorders>
                    <w:bottom w:val="nil"/>
                    <w:right w:val="nil"/>
                  </w:tcBorders>
                  <w:shd w:val="clear" w:color="auto" w:fill="auto"/>
                  <w:tcMar>
                    <w:top w:w="120" w:type="dxa"/>
                    <w:left w:w="180" w:type="dxa"/>
                    <w:bottom w:w="120" w:type="dxa"/>
                    <w:right w:w="180" w:type="dxa"/>
                  </w:tcMar>
                  <w:vAlign w:val="top"/>
                </w:tcPr>
                <w:p w14:paraId="2A4CD117">
                  <w:pPr>
                    <w:jc w:val="center"/>
                    <w:rPr>
                      <w:color w:val="000000" w:themeColor="text1"/>
                      <w14:textFill>
                        <w14:solidFill>
                          <w14:schemeClr w14:val="tx1"/>
                        </w14:solidFill>
                      </w14:textFill>
                    </w:rPr>
                  </w:pPr>
                  <w:r>
                    <w:rPr>
                      <w:b/>
                      <w:bCs/>
                      <w:color w:val="000000" w:themeColor="text1"/>
                      <w:lang w:val="en-US" w:eastAsia="zh-CN"/>
                      <w14:textFill>
                        <w14:solidFill>
                          <w14:schemeClr w14:val="tx1"/>
                        </w14:solidFill>
                      </w14:textFill>
                    </w:rPr>
                    <w:t>99.48%</w:t>
                  </w:r>
                </w:p>
              </w:tc>
              <w:tc>
                <w:tcPr>
                  <w:tcW w:w="1736" w:type="dxa"/>
                  <w:tcBorders>
                    <w:bottom w:val="nil"/>
                    <w:right w:val="nil"/>
                  </w:tcBorders>
                  <w:shd w:val="clear" w:color="auto" w:fill="auto"/>
                  <w:tcMar>
                    <w:top w:w="120" w:type="dxa"/>
                    <w:left w:w="180" w:type="dxa"/>
                    <w:bottom w:w="120" w:type="dxa"/>
                    <w:right w:w="180" w:type="dxa"/>
                  </w:tcMar>
                  <w:vAlign w:val="top"/>
                </w:tcPr>
                <w:p w14:paraId="1E3736BB">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88.48%</w:t>
                  </w:r>
                </w:p>
              </w:tc>
            </w:tr>
            <w:tr w14:paraId="230E83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5" w:hRule="atLeast"/>
              </w:trPr>
              <w:tc>
                <w:tcPr>
                  <w:tcW w:w="2770" w:type="dxa"/>
                  <w:tcBorders>
                    <w:left w:val="nil"/>
                    <w:bottom w:val="nil"/>
                    <w:right w:val="nil"/>
                  </w:tcBorders>
                  <w:shd w:val="clear" w:color="auto" w:fill="auto"/>
                  <w:tcMar>
                    <w:top w:w="120" w:type="dxa"/>
                    <w:left w:w="180" w:type="dxa"/>
                    <w:bottom w:w="120" w:type="dxa"/>
                    <w:right w:w="180" w:type="dxa"/>
                  </w:tcMar>
                  <w:vAlign w:val="top"/>
                </w:tcPr>
                <w:p w14:paraId="6C933670">
                  <w:pPr>
                    <w:jc w:val="center"/>
                    <w:rPr>
                      <w:rFonts w:hint="default"/>
                      <w:color w:val="000000" w:themeColor="text1"/>
                      <w:lang w:val="en-US" w:eastAsia="zh-CN"/>
                      <w14:textFill>
                        <w14:solidFill>
                          <w14:schemeClr w14:val="tx1"/>
                        </w14:solidFill>
                      </w14:textFill>
                    </w:rPr>
                  </w:pPr>
                  <w:r>
                    <w:rPr>
                      <w:color w:val="000000" w:themeColor="text1"/>
                      <w:lang w:val="en-US" w:eastAsia="zh-CN"/>
                      <w14:textFill>
                        <w14:solidFill>
                          <w14:schemeClr w14:val="tx1"/>
                        </w14:solidFill>
                      </w14:textFill>
                    </w:rPr>
                    <w:t>Both Triggers Augmented</w:t>
                  </w:r>
                  <w:r>
                    <w:rPr>
                      <w:rFonts w:hint="eastAsia"/>
                      <w:color w:val="000000" w:themeColor="text1"/>
                      <w:lang w:val="en-US" w:eastAsia="zh-CN"/>
                      <w14:textFill>
                        <w14:solidFill>
                          <w14:schemeClr w14:val="tx1"/>
                        </w14:solidFill>
                      </w14:textFill>
                    </w:rPr>
                    <w:t xml:space="preserve"> (no ratio changed)</w:t>
                  </w:r>
                </w:p>
              </w:tc>
              <w:tc>
                <w:tcPr>
                  <w:tcW w:w="1155" w:type="dxa"/>
                  <w:tcBorders>
                    <w:bottom w:val="nil"/>
                    <w:right w:val="nil"/>
                  </w:tcBorders>
                  <w:shd w:val="clear" w:color="auto" w:fill="auto"/>
                  <w:tcMar>
                    <w:top w:w="120" w:type="dxa"/>
                    <w:left w:w="180" w:type="dxa"/>
                    <w:bottom w:w="120" w:type="dxa"/>
                    <w:right w:w="180" w:type="dxa"/>
                  </w:tcMar>
                  <w:vAlign w:val="top"/>
                </w:tcPr>
                <w:p w14:paraId="78E41600">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90.9%</w:t>
                  </w:r>
                </w:p>
              </w:tc>
              <w:tc>
                <w:tcPr>
                  <w:tcW w:w="1859" w:type="dxa"/>
                  <w:tcBorders>
                    <w:bottom w:val="nil"/>
                    <w:right w:val="nil"/>
                  </w:tcBorders>
                  <w:shd w:val="clear" w:color="auto" w:fill="auto"/>
                  <w:tcMar>
                    <w:top w:w="120" w:type="dxa"/>
                    <w:left w:w="180" w:type="dxa"/>
                    <w:bottom w:w="120" w:type="dxa"/>
                    <w:right w:w="180" w:type="dxa"/>
                  </w:tcMar>
                  <w:vAlign w:val="top"/>
                </w:tcPr>
                <w:p w14:paraId="3AFAD62A">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98.26%</w:t>
                  </w:r>
                </w:p>
              </w:tc>
              <w:tc>
                <w:tcPr>
                  <w:tcW w:w="1736" w:type="dxa"/>
                  <w:tcBorders>
                    <w:bottom w:val="nil"/>
                    <w:right w:val="nil"/>
                  </w:tcBorders>
                  <w:shd w:val="clear" w:color="auto" w:fill="auto"/>
                  <w:tcMar>
                    <w:top w:w="120" w:type="dxa"/>
                    <w:left w:w="180" w:type="dxa"/>
                    <w:bottom w:w="120" w:type="dxa"/>
                    <w:right w:w="180" w:type="dxa"/>
                  </w:tcMar>
                  <w:vAlign w:val="top"/>
                </w:tcPr>
                <w:p w14:paraId="31D11623">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92.99%</w:t>
                  </w:r>
                </w:p>
              </w:tc>
            </w:tr>
            <w:tr w14:paraId="70788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5" w:hRule="atLeast"/>
              </w:trPr>
              <w:tc>
                <w:tcPr>
                  <w:tcW w:w="2770" w:type="dxa"/>
                  <w:tcBorders>
                    <w:left w:val="nil"/>
                    <w:bottom w:val="nil"/>
                    <w:right w:val="nil"/>
                  </w:tcBorders>
                  <w:shd w:val="clear" w:color="auto" w:fill="auto"/>
                  <w:tcMar>
                    <w:top w:w="120" w:type="dxa"/>
                    <w:left w:w="180" w:type="dxa"/>
                    <w:bottom w:w="120" w:type="dxa"/>
                    <w:right w:w="180" w:type="dxa"/>
                  </w:tcMar>
                  <w:vAlign w:val="top"/>
                </w:tcPr>
                <w:p w14:paraId="017C7175">
                  <w:pPr>
                    <w:jc w:val="center"/>
                    <w:rPr>
                      <w:rFonts w:hint="default"/>
                      <w:color w:val="000000" w:themeColor="text1"/>
                      <w:lang w:val="en-US"/>
                      <w14:textFill>
                        <w14:solidFill>
                          <w14:schemeClr w14:val="tx1"/>
                        </w14:solidFill>
                      </w14:textFill>
                    </w:rPr>
                  </w:pPr>
                  <w:r>
                    <w:rPr>
                      <w:color w:val="000000" w:themeColor="text1"/>
                      <w:lang w:val="en-US" w:eastAsia="zh-CN"/>
                      <w14:textFill>
                        <w14:solidFill>
                          <w14:schemeClr w14:val="tx1"/>
                        </w14:solidFill>
                      </w14:textFill>
                    </w:rPr>
                    <w:t>Only B Trigger Augmented</w:t>
                  </w:r>
                  <w:r>
                    <w:rPr>
                      <w:rFonts w:hint="eastAsia"/>
                      <w:color w:val="000000" w:themeColor="text1"/>
                      <w:lang w:val="en-US" w:eastAsia="zh-CN"/>
                      <w14:textFill>
                        <w14:solidFill>
                          <w14:schemeClr w14:val="tx1"/>
                        </w14:solidFill>
                      </w14:textFill>
                    </w:rPr>
                    <w:t xml:space="preserve"> (no ratio changed)</w:t>
                  </w:r>
                </w:p>
              </w:tc>
              <w:tc>
                <w:tcPr>
                  <w:tcW w:w="1155" w:type="dxa"/>
                  <w:tcBorders>
                    <w:bottom w:val="nil"/>
                    <w:right w:val="nil"/>
                  </w:tcBorders>
                  <w:shd w:val="clear" w:color="auto" w:fill="auto"/>
                  <w:tcMar>
                    <w:top w:w="120" w:type="dxa"/>
                    <w:left w:w="180" w:type="dxa"/>
                    <w:bottom w:w="120" w:type="dxa"/>
                    <w:right w:w="180" w:type="dxa"/>
                  </w:tcMar>
                  <w:vAlign w:val="top"/>
                </w:tcPr>
                <w:p w14:paraId="4FDE7976">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90.32%</w:t>
                  </w:r>
                </w:p>
              </w:tc>
              <w:tc>
                <w:tcPr>
                  <w:tcW w:w="1859" w:type="dxa"/>
                  <w:tcBorders>
                    <w:bottom w:val="nil"/>
                    <w:right w:val="nil"/>
                  </w:tcBorders>
                  <w:shd w:val="clear" w:color="auto" w:fill="auto"/>
                  <w:tcMar>
                    <w:top w:w="120" w:type="dxa"/>
                    <w:left w:w="180" w:type="dxa"/>
                    <w:bottom w:w="120" w:type="dxa"/>
                    <w:right w:w="180" w:type="dxa"/>
                  </w:tcMar>
                  <w:vAlign w:val="top"/>
                </w:tcPr>
                <w:p w14:paraId="009DC026">
                  <w:pPr>
                    <w:jc w:val="center"/>
                    <w:rPr>
                      <w:color w:val="000000" w:themeColor="text1"/>
                      <w14:textFill>
                        <w14:solidFill>
                          <w14:schemeClr w14:val="tx1"/>
                        </w14:solidFill>
                      </w14:textFill>
                    </w:rPr>
                  </w:pPr>
                  <w:r>
                    <w:rPr>
                      <w:color w:val="000000" w:themeColor="text1"/>
                      <w:lang w:val="en-US" w:eastAsia="zh-CN"/>
                      <w14:textFill>
                        <w14:solidFill>
                          <w14:schemeClr w14:val="tx1"/>
                        </w14:solidFill>
                      </w14:textFill>
                    </w:rPr>
                    <w:t>97.63%</w:t>
                  </w:r>
                </w:p>
              </w:tc>
              <w:tc>
                <w:tcPr>
                  <w:tcW w:w="1736" w:type="dxa"/>
                  <w:tcBorders>
                    <w:bottom w:val="nil"/>
                    <w:right w:val="nil"/>
                  </w:tcBorders>
                  <w:shd w:val="clear" w:color="auto" w:fill="auto"/>
                  <w:tcMar>
                    <w:top w:w="120" w:type="dxa"/>
                    <w:left w:w="180" w:type="dxa"/>
                    <w:bottom w:w="120" w:type="dxa"/>
                    <w:right w:w="180" w:type="dxa"/>
                  </w:tcMar>
                  <w:vAlign w:val="top"/>
                </w:tcPr>
                <w:p w14:paraId="75FF2E06">
                  <w:pPr>
                    <w:jc w:val="center"/>
                    <w:rPr>
                      <w:color w:val="000000" w:themeColor="text1"/>
                      <w14:textFill>
                        <w14:solidFill>
                          <w14:schemeClr w14:val="tx1"/>
                        </w14:solidFill>
                      </w14:textFill>
                    </w:rPr>
                  </w:pPr>
                  <w:r>
                    <w:rPr>
                      <w:b/>
                      <w:bCs/>
                      <w:color w:val="000000" w:themeColor="text1"/>
                      <w:lang w:val="en-US" w:eastAsia="zh-CN"/>
                      <w14:textFill>
                        <w14:solidFill>
                          <w14:schemeClr w14:val="tx1"/>
                        </w14:solidFill>
                      </w14:textFill>
                    </w:rPr>
                    <w:t>94.71%</w:t>
                  </w:r>
                </w:p>
              </w:tc>
            </w:tr>
          </w:tbl>
          <w:p w14:paraId="380E4617">
            <w:pPr>
              <w:jc w:val="center"/>
              <w:rPr>
                <w:color w:val="000000" w:themeColor="text1"/>
                <w:lang w:eastAsia="zh-CN"/>
                <w14:textFill>
                  <w14:solidFill>
                    <w14:schemeClr w14:val="tx1"/>
                  </w14:solidFill>
                </w14:textFill>
              </w:rPr>
            </w:pPr>
          </w:p>
        </w:tc>
      </w:tr>
    </w:tbl>
    <w:p w14:paraId="010AF6B0">
      <w:pPr>
        <w:rPr>
          <w:rFonts w:eastAsia="等线"/>
          <w:color w:val="000000" w:themeColor="text1"/>
          <w:lang w:eastAsia="zh-CN"/>
          <w14:textFill>
            <w14:solidFill>
              <w14:schemeClr w14:val="tx1"/>
            </w14:solidFill>
          </w14:textFill>
        </w:rPr>
      </w:pPr>
    </w:p>
    <w:p w14:paraId="5760F028">
      <w:pPr>
        <w:jc w:val="both"/>
        <w:rPr>
          <w:color w:val="000000" w:themeColor="text1"/>
          <w14:textFill>
            <w14:solidFill>
              <w14:schemeClr w14:val="tx1"/>
            </w14:solidFill>
          </w14:textFill>
        </w:rPr>
      </w:pPr>
      <w:r>
        <w:rPr>
          <w:color w:val="000000" w:themeColor="text1"/>
          <w14:textFill>
            <w14:solidFill>
              <w14:schemeClr w14:val="tx1"/>
            </w14:solidFill>
          </w14:textFill>
        </w:rPr>
        <w:t>The original model achieved a clean accuracy of 91.14%, with baseline ASR values of 10.12% for Trigger A and 9.93% for Trigger B. After injecting triggers without augmentation, the clean accuracy dropped to 90.49%, while ASR increased to 99.48% for Trigger A and 88.48% for Trigger B. This shows basic injection was effective but needed improvement in robustness and balance. Augmenting both triggers kept clean accuracy at 90.9% and raised ASR to 98.26% for Trigger A and 92.99% for Trigger B, significantly enhancing robustness. The best balance was achieved by augmenting only Trigger B, resulting in a clean accuracy of 90.32%, ASR of 97.63% for Trigger A, and 94.71% for Trigger B. This indicates selective augmentation of Trigger B improved its ASR with minimal impact on Trigger A's ASR, maintaining high accuracy on clean data. Using only a small fraction of the dataset for backdoor injection and observing less than a 1% drop in clean accuracy further highlights the high concealment of the attack. These results demonstrate that selective augmentation effectively enhances backdoor attack success while maintaining model performance.</w:t>
      </w:r>
    </w:p>
    <w:p w14:paraId="713ABC89">
      <w:pPr>
        <w:rPr>
          <w:sz w:val="10"/>
          <w:szCs w:val="10"/>
        </w:rPr>
      </w:pPr>
    </w:p>
    <w:p w14:paraId="148A51F7">
      <w:pPr>
        <w:spacing w:line="216" w:lineRule="auto"/>
        <w:rPr>
          <w:b/>
          <w:bCs/>
          <w:sz w:val="26"/>
          <w:szCs w:val="26"/>
        </w:rPr>
      </w:pPr>
      <w:r>
        <w:rPr>
          <w:b/>
          <w:bCs/>
          <w:sz w:val="26"/>
          <w:szCs w:val="26"/>
        </w:rPr>
        <w:t>Conclusion</w:t>
      </w:r>
    </w:p>
    <w:p w14:paraId="1BC78268">
      <w:pPr>
        <w:jc w:val="both"/>
      </w:pPr>
      <w:r>
        <w:rPr>
          <w:color w:val="000000" w:themeColor="text1"/>
          <w14:textFill>
            <w14:solidFill>
              <w14:schemeClr w14:val="tx1"/>
            </w14:solidFill>
          </w14:textFill>
        </w:rPr>
        <w:t xml:space="preserve">Trigger </w:t>
      </w:r>
      <w:r>
        <w:rPr>
          <w:rFonts w:hint="eastAsia" w:eastAsia="宋体"/>
          <w:color w:val="000000" w:themeColor="text1"/>
          <w:lang w:val="en-US" w:eastAsia="zh-CN"/>
          <w14:textFill>
            <w14:solidFill>
              <w14:schemeClr w14:val="tx1"/>
            </w14:solidFill>
          </w14:textFill>
        </w:rPr>
        <w:t>r</w:t>
      </w:r>
      <w:r>
        <w:rPr>
          <w:color w:val="000000" w:themeColor="text1"/>
          <w14:textFill>
            <w14:solidFill>
              <w14:schemeClr w14:val="tx1"/>
            </w14:solidFill>
          </w14:textFill>
        </w:rPr>
        <w:t>obustness enhancements and balancing significantly enhanced the attack success rate while maintaining high model accuracy on clean data. Future work may explore more concealed methods, such as frequency-domain energy enhancement, to achieve similar effects with greater stealth.</w:t>
      </w:r>
    </w:p>
    <w:sectPr>
      <w:pgSz w:w="12240" w:h="15840"/>
      <w:pgMar w:top="1985" w:right="1701" w:bottom="1701"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宋体"/>
    <w:panose1 w:val="00000000000000000000"/>
    <w:charset w:val="86"/>
    <w:family w:val="auto"/>
    <w:pitch w:val="default"/>
    <w:sig w:usb0="00000000" w:usb1="00000000" w:usb2="00000000" w:usb3="00000000" w:csb0="00000000"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等线">
    <w:panose1 w:val="02010600030101010101"/>
    <w:charset w:val="86"/>
    <w:family w:val="auto"/>
    <w:pitch w:val="default"/>
    <w:sig w:usb0="A00002BF" w:usb1="38CF7CFA" w:usb2="00000016" w:usb3="00000000" w:csb0="0004000F" w:csb1="00000000"/>
  </w:font>
  <w:font w:name="游明朝">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E1"/>
    <w:rsid w:val="000B4411"/>
    <w:rsid w:val="000E152E"/>
    <w:rsid w:val="00240B2A"/>
    <w:rsid w:val="00286CE9"/>
    <w:rsid w:val="00316D6B"/>
    <w:rsid w:val="003B172D"/>
    <w:rsid w:val="004F4477"/>
    <w:rsid w:val="00544086"/>
    <w:rsid w:val="005F77F4"/>
    <w:rsid w:val="00624BAA"/>
    <w:rsid w:val="0064477E"/>
    <w:rsid w:val="00684909"/>
    <w:rsid w:val="006F6221"/>
    <w:rsid w:val="007B5D89"/>
    <w:rsid w:val="007F0138"/>
    <w:rsid w:val="008235DD"/>
    <w:rsid w:val="00855A43"/>
    <w:rsid w:val="00875CEB"/>
    <w:rsid w:val="00892BC8"/>
    <w:rsid w:val="008D0CDD"/>
    <w:rsid w:val="0092094A"/>
    <w:rsid w:val="0096170B"/>
    <w:rsid w:val="009E6E48"/>
    <w:rsid w:val="00A07DAF"/>
    <w:rsid w:val="00A46ED5"/>
    <w:rsid w:val="00A74496"/>
    <w:rsid w:val="00AB051C"/>
    <w:rsid w:val="00AD1185"/>
    <w:rsid w:val="00B302E1"/>
    <w:rsid w:val="00B336BA"/>
    <w:rsid w:val="00C45C08"/>
    <w:rsid w:val="00C54750"/>
    <w:rsid w:val="00DD29A9"/>
    <w:rsid w:val="00E62987"/>
    <w:rsid w:val="00E9212F"/>
    <w:rsid w:val="00EA6D35"/>
    <w:rsid w:val="00EB5F1B"/>
    <w:rsid w:val="00EB7938"/>
    <w:rsid w:val="00EC5F2A"/>
    <w:rsid w:val="00EC6CE4"/>
    <w:rsid w:val="00EE059A"/>
    <w:rsid w:val="00EE06D6"/>
    <w:rsid w:val="00EE38C9"/>
    <w:rsid w:val="00F60281"/>
    <w:rsid w:val="039C0322"/>
    <w:rsid w:val="06367844"/>
    <w:rsid w:val="0986681C"/>
    <w:rsid w:val="0C573D85"/>
    <w:rsid w:val="12AA36D7"/>
    <w:rsid w:val="16E03C73"/>
    <w:rsid w:val="1C5B1EE6"/>
    <w:rsid w:val="1F037CEF"/>
    <w:rsid w:val="261E595F"/>
    <w:rsid w:val="27740F18"/>
    <w:rsid w:val="2A046832"/>
    <w:rsid w:val="2C653A54"/>
    <w:rsid w:val="312276EF"/>
    <w:rsid w:val="33022275"/>
    <w:rsid w:val="3B023801"/>
    <w:rsid w:val="3BFE2E4C"/>
    <w:rsid w:val="3BFF3B54"/>
    <w:rsid w:val="3DCA1130"/>
    <w:rsid w:val="3F314B61"/>
    <w:rsid w:val="420B38E3"/>
    <w:rsid w:val="4AD45DB1"/>
    <w:rsid w:val="536C4DBF"/>
    <w:rsid w:val="542D1B5D"/>
    <w:rsid w:val="56737D2E"/>
    <w:rsid w:val="5AE53926"/>
    <w:rsid w:val="601435D3"/>
    <w:rsid w:val="61281FB3"/>
    <w:rsid w:val="64C02ADC"/>
    <w:rsid w:val="665D7988"/>
    <w:rsid w:val="6B261760"/>
    <w:rsid w:val="6BDA54DE"/>
    <w:rsid w:val="705362D1"/>
    <w:rsid w:val="70A341D1"/>
    <w:rsid w:val="75892DE4"/>
    <w:rsid w:val="778E4A02"/>
    <w:rsid w:val="7CF84488"/>
    <w:rsid w:val="7F4C77A3"/>
    <w:rsid w:val="7F832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TW" w:bidi="ar-SA"/>
    </w:rPr>
  </w:style>
  <w:style w:type="paragraph" w:styleId="2">
    <w:name w:val="heading 6"/>
    <w:basedOn w:val="1"/>
    <w:next w:val="1"/>
    <w:semiHidden/>
    <w:unhideWhenUsed/>
    <w:qFormat/>
    <w:uiPriority w:val="9"/>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419"/>
        <w:tab w:val="right" w:pos="8838"/>
      </w:tabs>
      <w:spacing w:after="0" w:line="240" w:lineRule="auto"/>
    </w:pPr>
  </w:style>
  <w:style w:type="paragraph" w:styleId="4">
    <w:name w:val="header"/>
    <w:basedOn w:val="1"/>
    <w:link w:val="8"/>
    <w:unhideWhenUsed/>
    <w:qFormat/>
    <w:uiPriority w:val="99"/>
    <w:pPr>
      <w:tabs>
        <w:tab w:val="center" w:pos="4419"/>
        <w:tab w:val="right" w:pos="8838"/>
      </w:tabs>
      <w:spacing w:after="0" w:line="240" w:lineRule="auto"/>
    </w:pPr>
  </w:style>
  <w:style w:type="character" w:styleId="7">
    <w:name w:val="Strong"/>
    <w:basedOn w:val="6"/>
    <w:qFormat/>
    <w:uiPriority w:val="22"/>
    <w:rPr>
      <w:b/>
    </w:rPr>
  </w:style>
  <w:style w:type="character" w:customStyle="1" w:styleId="8">
    <w:name w:val="页眉 字符"/>
    <w:basedOn w:val="6"/>
    <w:link w:val="4"/>
    <w:qFormat/>
    <w:uiPriority w:val="99"/>
  </w:style>
  <w:style w:type="character" w:customStyle="1" w:styleId="9">
    <w:name w:val="页脚 字符"/>
    <w:basedOn w:val="6"/>
    <w:link w:val="3"/>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627</Words>
  <Characters>3631</Characters>
  <Lines>79</Lines>
  <Paragraphs>52</Paragraphs>
  <TotalTime>55</TotalTime>
  <ScaleCrop>false</ScaleCrop>
  <LinksUpToDate>false</LinksUpToDate>
  <CharactersWithSpaces>4222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2024-03-12T21:49:00Z</dcterms:created>
  <dc:creator>patrick</dc:creator>
  <cp:lastModifiedBy>vanilla twilie.</cp:lastModifiedBy>
  <dcterms:modified xsi:type="dcterms:W3CDTF">2025-07-25T08:07:39Z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eyJoZGlkIjoiMGQwMzlhZjM5Y2YwMzg3NzVkNjJmMjUxNTgxMjk5ZWYiLCJ1c2VySWQiOiIxMzI5NDc2Nzg5In0=</vt:lpwstr>
  </property>
  <property fmtid="{D5CDD505-2E9C-101B-9397-08002B2CF9AE}" pid="3" name="KSOProductBuildVer">
    <vt:lpwstr>2052-12.1.0.21915</vt:lpwstr>
  </property>
  <property fmtid="{D5CDD505-2E9C-101B-9397-08002B2CF9AE}" pid="4" name="ICV">
    <vt:lpwstr>0AF290E78D2440238905A2E9D36C4D41_12</vt:lpwstr>
  </property>
</Properties>
</file>