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1A" w:rsidRPr="0018493C" w:rsidRDefault="00C7121A" w:rsidP="00C7121A">
      <w:pPr>
        <w:spacing w:before="120" w:after="120"/>
        <w:ind w:firstLine="0"/>
        <w:jc w:val="left"/>
        <w:rPr>
          <w:b/>
          <w:color w:val="auto"/>
          <w:szCs w:val="24"/>
        </w:rPr>
      </w:pPr>
      <w:bookmarkStart w:id="0" w:name="_Toc351914513"/>
      <w:bookmarkStart w:id="1" w:name="_Toc351915206"/>
      <w:r w:rsidRPr="0018493C">
        <w:rPr>
          <w:b/>
          <w:color w:val="auto"/>
          <w:szCs w:val="24"/>
        </w:rPr>
        <w:t xml:space="preserve">ТОВАРИСТВО </w:t>
      </w:r>
      <w:proofErr w:type="gramStart"/>
      <w:r w:rsidRPr="0018493C">
        <w:rPr>
          <w:b/>
          <w:color w:val="auto"/>
          <w:szCs w:val="24"/>
        </w:rPr>
        <w:t>З</w:t>
      </w:r>
      <w:proofErr w:type="gramEnd"/>
      <w:r w:rsidRPr="0018493C">
        <w:rPr>
          <w:b/>
          <w:color w:val="auto"/>
          <w:szCs w:val="24"/>
        </w:rPr>
        <w:t xml:space="preserve"> ОБМЕЖЕНОЮ ВІДПОВІДАЛЬНІСТЮ </w:t>
      </w:r>
    </w:p>
    <w:p w:rsidR="00C7121A" w:rsidRPr="0018493C" w:rsidRDefault="00C7121A" w:rsidP="00C7121A">
      <w:pPr>
        <w:spacing w:before="120" w:after="120"/>
        <w:ind w:firstLine="0"/>
        <w:jc w:val="left"/>
        <w:rPr>
          <w:b/>
          <w:color w:val="auto"/>
          <w:szCs w:val="24"/>
        </w:rPr>
      </w:pPr>
      <w:r w:rsidRPr="0018493C">
        <w:rPr>
          <w:b/>
          <w:color w:val="auto"/>
          <w:szCs w:val="24"/>
        </w:rPr>
        <w:t>«СМАРТФІНАНС» КОД ЄДРПОУ 39395137</w:t>
      </w:r>
    </w:p>
    <w:p w:rsidR="00C7121A" w:rsidRPr="0018493C" w:rsidRDefault="0052516F" w:rsidP="00C7121A">
      <w:pPr>
        <w:spacing w:before="120" w:after="120"/>
        <w:ind w:firstLine="0"/>
        <w:jc w:val="left"/>
        <w:rPr>
          <w:b/>
          <w:color w:val="auto"/>
          <w:szCs w:val="24"/>
          <w:lang w:val="uk-UA"/>
        </w:rPr>
      </w:pPr>
      <w:r w:rsidRPr="0018493C">
        <w:rPr>
          <w:b/>
          <w:color w:val="auto"/>
          <w:szCs w:val="24"/>
          <w:lang w:val="uk-UA"/>
        </w:rPr>
        <w:t xml:space="preserve">Примітки до </w:t>
      </w:r>
      <w:r w:rsidR="00C7121A" w:rsidRPr="0018493C">
        <w:rPr>
          <w:b/>
          <w:color w:val="auto"/>
          <w:szCs w:val="24"/>
          <w:lang w:val="uk-UA"/>
        </w:rPr>
        <w:t>Консолідован</w:t>
      </w:r>
      <w:r w:rsidRPr="0018493C">
        <w:rPr>
          <w:b/>
          <w:color w:val="auto"/>
          <w:szCs w:val="24"/>
          <w:lang w:val="uk-UA"/>
        </w:rPr>
        <w:t>ої</w:t>
      </w:r>
      <w:r w:rsidR="00C7121A" w:rsidRPr="0018493C">
        <w:rPr>
          <w:b/>
          <w:color w:val="auto"/>
          <w:szCs w:val="24"/>
          <w:lang w:val="uk-UA"/>
        </w:rPr>
        <w:t xml:space="preserve"> фінансова звітність за рік, що закінчився 31 грудня 201</w:t>
      </w:r>
      <w:r w:rsidR="00FD349A">
        <w:rPr>
          <w:b/>
          <w:color w:val="auto"/>
          <w:szCs w:val="24"/>
          <w:lang w:val="uk-UA"/>
        </w:rPr>
        <w:t>7</w:t>
      </w:r>
    </w:p>
    <w:p w:rsidR="00E46151" w:rsidRPr="0018493C" w:rsidRDefault="00E46151" w:rsidP="0000323F">
      <w:pPr>
        <w:spacing w:before="0" w:after="120" w:line="240" w:lineRule="auto"/>
        <w:ind w:firstLine="0"/>
        <w:jc w:val="left"/>
        <w:rPr>
          <w:color w:val="auto"/>
          <w:sz w:val="20"/>
          <w:lang w:val="uk-UA"/>
        </w:rPr>
      </w:pPr>
    </w:p>
    <w:p w:rsidR="00E46151" w:rsidRPr="0018493C" w:rsidRDefault="00E46151" w:rsidP="0000323F">
      <w:pPr>
        <w:spacing w:before="0" w:after="120" w:line="240" w:lineRule="auto"/>
        <w:ind w:firstLine="0"/>
        <w:jc w:val="left"/>
        <w:rPr>
          <w:color w:val="auto"/>
          <w:sz w:val="20"/>
          <w:lang w:val="uk-UA"/>
        </w:rPr>
        <w:sectPr w:rsidR="00E46151" w:rsidRPr="0018493C" w:rsidSect="00E46151">
          <w:headerReference w:type="default" r:id="rId9"/>
          <w:footerReference w:type="default" r:id="rId10"/>
          <w:pgSz w:w="11906" w:h="16838" w:code="9"/>
          <w:pgMar w:top="1701" w:right="1134" w:bottom="1134" w:left="1134" w:header="567" w:footer="567" w:gutter="0"/>
          <w:cols w:space="708"/>
          <w:docGrid w:linePitch="360"/>
        </w:sectPr>
      </w:pPr>
    </w:p>
    <w:p w:rsidR="00994B2F" w:rsidRPr="0018493C" w:rsidRDefault="00994B2F" w:rsidP="0000323F">
      <w:pPr>
        <w:spacing w:before="0" w:after="120" w:line="240" w:lineRule="auto"/>
        <w:ind w:firstLine="0"/>
        <w:jc w:val="left"/>
        <w:rPr>
          <w:b/>
          <w:color w:val="auto"/>
          <w:sz w:val="20"/>
          <w:lang w:val="uk-UA"/>
        </w:rPr>
      </w:pPr>
      <w:r w:rsidRPr="0018493C">
        <w:rPr>
          <w:b/>
          <w:color w:val="auto"/>
          <w:sz w:val="20"/>
          <w:lang w:val="uk-UA"/>
        </w:rPr>
        <w:lastRenderedPageBreak/>
        <w:t>ЗМІСТ</w:t>
      </w:r>
    </w:p>
    <w:p w:rsidR="006B08E2" w:rsidRDefault="00EE0FB0">
      <w:pPr>
        <w:pStyle w:val="13"/>
        <w:tabs>
          <w:tab w:val="right" w:leader="dot" w:pos="9771"/>
        </w:tabs>
        <w:rPr>
          <w:rFonts w:asciiTheme="minorHAnsi" w:eastAsiaTheme="minorEastAsia" w:hAnsiTheme="minorHAnsi" w:cstheme="minorBidi"/>
          <w:noProof/>
          <w:color w:val="auto"/>
          <w:sz w:val="22"/>
          <w:szCs w:val="22"/>
          <w:lang w:val="uk-UA" w:eastAsia="uk-UA"/>
        </w:rPr>
      </w:pPr>
      <w:r w:rsidRPr="0018493C">
        <w:rPr>
          <w:color w:val="auto"/>
          <w:lang w:val="uk-UA"/>
        </w:rPr>
        <w:fldChar w:fldCharType="begin"/>
      </w:r>
      <w:r w:rsidR="00994B2F" w:rsidRPr="0018493C">
        <w:rPr>
          <w:color w:val="auto"/>
          <w:lang w:val="uk-UA"/>
        </w:rPr>
        <w:instrText xml:space="preserve"> TOC \o "1-2" \h \z \u </w:instrText>
      </w:r>
      <w:r w:rsidRPr="0018493C">
        <w:rPr>
          <w:color w:val="auto"/>
          <w:lang w:val="uk-UA"/>
        </w:rPr>
        <w:fldChar w:fldCharType="separate"/>
      </w:r>
      <w:hyperlink w:anchor="_Toc511835052" w:history="1">
        <w:r w:rsidR="006B08E2" w:rsidRPr="00F010F3">
          <w:rPr>
            <w:rStyle w:val="af"/>
            <w:noProof/>
          </w:rPr>
          <w:t>ПРИМІТКИ ДО ФІНАНСОВОЇ ЗВІТНОСТІ</w:t>
        </w:r>
        <w:r w:rsidR="006B08E2">
          <w:rPr>
            <w:noProof/>
            <w:webHidden/>
          </w:rPr>
          <w:tab/>
        </w:r>
        <w:r w:rsidR="006B08E2">
          <w:rPr>
            <w:noProof/>
            <w:webHidden/>
          </w:rPr>
          <w:fldChar w:fldCharType="begin"/>
        </w:r>
        <w:r w:rsidR="006B08E2">
          <w:rPr>
            <w:noProof/>
            <w:webHidden/>
          </w:rPr>
          <w:instrText xml:space="preserve"> PAGEREF _Toc511835052 \h </w:instrText>
        </w:r>
        <w:r w:rsidR="006B08E2">
          <w:rPr>
            <w:noProof/>
            <w:webHidden/>
          </w:rPr>
        </w:r>
        <w:r w:rsidR="006B08E2">
          <w:rPr>
            <w:noProof/>
            <w:webHidden/>
          </w:rPr>
          <w:fldChar w:fldCharType="separate"/>
        </w:r>
        <w:r w:rsidR="0045261D">
          <w:rPr>
            <w:noProof/>
            <w:webHidden/>
          </w:rPr>
          <w:t>3</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53" w:history="1">
        <w:r w:rsidR="006B08E2" w:rsidRPr="00F010F3">
          <w:rPr>
            <w:rStyle w:val="af"/>
            <w:noProof/>
          </w:rPr>
          <w:t>1.</w:t>
        </w:r>
        <w:r w:rsidR="006B08E2">
          <w:rPr>
            <w:rFonts w:asciiTheme="minorHAnsi" w:eastAsiaTheme="minorEastAsia" w:hAnsiTheme="minorHAnsi" w:cstheme="minorBidi"/>
            <w:noProof/>
            <w:sz w:val="22"/>
            <w:lang w:val="uk-UA" w:eastAsia="uk-UA"/>
          </w:rPr>
          <w:tab/>
        </w:r>
        <w:r w:rsidR="006B08E2" w:rsidRPr="00F010F3">
          <w:rPr>
            <w:rStyle w:val="af"/>
            <w:noProof/>
          </w:rPr>
          <w:t>Інформація про Товариство</w:t>
        </w:r>
        <w:r w:rsidR="006B08E2">
          <w:rPr>
            <w:noProof/>
            <w:webHidden/>
          </w:rPr>
          <w:tab/>
        </w:r>
        <w:r w:rsidR="006B08E2">
          <w:rPr>
            <w:noProof/>
            <w:webHidden/>
          </w:rPr>
          <w:fldChar w:fldCharType="begin"/>
        </w:r>
        <w:r w:rsidR="006B08E2">
          <w:rPr>
            <w:noProof/>
            <w:webHidden/>
          </w:rPr>
          <w:instrText xml:space="preserve"> PAGEREF _Toc511835053 \h </w:instrText>
        </w:r>
        <w:r w:rsidR="006B08E2">
          <w:rPr>
            <w:noProof/>
            <w:webHidden/>
          </w:rPr>
        </w:r>
        <w:r w:rsidR="006B08E2">
          <w:rPr>
            <w:noProof/>
            <w:webHidden/>
          </w:rPr>
          <w:fldChar w:fldCharType="separate"/>
        </w:r>
        <w:r w:rsidR="0045261D">
          <w:rPr>
            <w:noProof/>
            <w:webHidden/>
          </w:rPr>
          <w:t>3</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54" w:history="1">
        <w:r w:rsidR="006B08E2" w:rsidRPr="00F010F3">
          <w:rPr>
            <w:rStyle w:val="af"/>
            <w:noProof/>
          </w:rPr>
          <w:t>2.</w:t>
        </w:r>
        <w:r w:rsidR="006B08E2">
          <w:rPr>
            <w:rFonts w:asciiTheme="minorHAnsi" w:eastAsiaTheme="minorEastAsia" w:hAnsiTheme="minorHAnsi" w:cstheme="minorBidi"/>
            <w:noProof/>
            <w:sz w:val="22"/>
            <w:lang w:val="uk-UA" w:eastAsia="uk-UA"/>
          </w:rPr>
          <w:tab/>
        </w:r>
        <w:r w:rsidR="006B08E2" w:rsidRPr="00F010F3">
          <w:rPr>
            <w:rStyle w:val="af"/>
            <w:noProof/>
          </w:rPr>
          <w:t>Економічне середовище, в умовах якого Товариство здійснює свою діяльність</w:t>
        </w:r>
        <w:r w:rsidR="006B08E2">
          <w:rPr>
            <w:noProof/>
            <w:webHidden/>
          </w:rPr>
          <w:tab/>
        </w:r>
        <w:r w:rsidR="006B08E2">
          <w:rPr>
            <w:noProof/>
            <w:webHidden/>
          </w:rPr>
          <w:fldChar w:fldCharType="begin"/>
        </w:r>
        <w:r w:rsidR="006B08E2">
          <w:rPr>
            <w:noProof/>
            <w:webHidden/>
          </w:rPr>
          <w:instrText xml:space="preserve"> PAGEREF _Toc511835054 \h </w:instrText>
        </w:r>
        <w:r w:rsidR="006B08E2">
          <w:rPr>
            <w:noProof/>
            <w:webHidden/>
          </w:rPr>
        </w:r>
        <w:r w:rsidR="006B08E2">
          <w:rPr>
            <w:noProof/>
            <w:webHidden/>
          </w:rPr>
          <w:fldChar w:fldCharType="separate"/>
        </w:r>
        <w:r w:rsidR="0045261D">
          <w:rPr>
            <w:noProof/>
            <w:webHidden/>
          </w:rPr>
          <w:t>4</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55" w:history="1">
        <w:r w:rsidR="006B08E2" w:rsidRPr="00F010F3">
          <w:rPr>
            <w:rStyle w:val="af"/>
            <w:noProof/>
          </w:rPr>
          <w:t>3.</w:t>
        </w:r>
        <w:r w:rsidR="006B08E2">
          <w:rPr>
            <w:rFonts w:asciiTheme="minorHAnsi" w:eastAsiaTheme="minorEastAsia" w:hAnsiTheme="minorHAnsi" w:cstheme="minorBidi"/>
            <w:noProof/>
            <w:sz w:val="22"/>
            <w:lang w:val="uk-UA" w:eastAsia="uk-UA"/>
          </w:rPr>
          <w:tab/>
        </w:r>
        <w:r w:rsidR="006B08E2" w:rsidRPr="00F010F3">
          <w:rPr>
            <w:rStyle w:val="af"/>
            <w:noProof/>
          </w:rPr>
          <w:t>Облікова політика</w:t>
        </w:r>
        <w:r w:rsidR="006B08E2">
          <w:rPr>
            <w:noProof/>
            <w:webHidden/>
          </w:rPr>
          <w:tab/>
        </w:r>
        <w:r w:rsidR="006B08E2">
          <w:rPr>
            <w:noProof/>
            <w:webHidden/>
          </w:rPr>
          <w:fldChar w:fldCharType="begin"/>
        </w:r>
        <w:r w:rsidR="006B08E2">
          <w:rPr>
            <w:noProof/>
            <w:webHidden/>
          </w:rPr>
          <w:instrText xml:space="preserve"> PAGEREF _Toc511835055 \h </w:instrText>
        </w:r>
        <w:r w:rsidR="006B08E2">
          <w:rPr>
            <w:noProof/>
            <w:webHidden/>
          </w:rPr>
        </w:r>
        <w:r w:rsidR="006B08E2">
          <w:rPr>
            <w:noProof/>
            <w:webHidden/>
          </w:rPr>
          <w:fldChar w:fldCharType="separate"/>
        </w:r>
        <w:r w:rsidR="0045261D">
          <w:rPr>
            <w:noProof/>
            <w:webHidden/>
          </w:rPr>
          <w:t>5</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56" w:history="1">
        <w:r w:rsidR="006B08E2" w:rsidRPr="00F010F3">
          <w:rPr>
            <w:rStyle w:val="af"/>
            <w:noProof/>
          </w:rPr>
          <w:t>3.1.</w:t>
        </w:r>
        <w:r w:rsidR="006B08E2">
          <w:rPr>
            <w:rFonts w:asciiTheme="minorHAnsi" w:eastAsiaTheme="minorEastAsia" w:hAnsiTheme="minorHAnsi" w:cstheme="minorBidi"/>
            <w:noProof/>
            <w:sz w:val="22"/>
            <w:lang w:val="uk-UA" w:eastAsia="uk-UA"/>
          </w:rPr>
          <w:tab/>
        </w:r>
        <w:r w:rsidR="006B08E2" w:rsidRPr="00F010F3">
          <w:rPr>
            <w:rStyle w:val="af"/>
            <w:noProof/>
          </w:rPr>
          <w:t>Основа складання консолідованої фінансової звітності</w:t>
        </w:r>
        <w:r w:rsidR="006B08E2">
          <w:rPr>
            <w:noProof/>
            <w:webHidden/>
          </w:rPr>
          <w:tab/>
        </w:r>
        <w:r w:rsidR="006B08E2">
          <w:rPr>
            <w:noProof/>
            <w:webHidden/>
          </w:rPr>
          <w:fldChar w:fldCharType="begin"/>
        </w:r>
        <w:r w:rsidR="006B08E2">
          <w:rPr>
            <w:noProof/>
            <w:webHidden/>
          </w:rPr>
          <w:instrText xml:space="preserve"> PAGEREF _Toc511835056 \h </w:instrText>
        </w:r>
        <w:r w:rsidR="006B08E2">
          <w:rPr>
            <w:noProof/>
            <w:webHidden/>
          </w:rPr>
        </w:r>
        <w:r w:rsidR="006B08E2">
          <w:rPr>
            <w:noProof/>
            <w:webHidden/>
          </w:rPr>
          <w:fldChar w:fldCharType="separate"/>
        </w:r>
        <w:r w:rsidR="0045261D">
          <w:rPr>
            <w:noProof/>
            <w:webHidden/>
          </w:rPr>
          <w:t>5</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57" w:history="1">
        <w:r w:rsidR="006B08E2" w:rsidRPr="00F010F3">
          <w:rPr>
            <w:rStyle w:val="af"/>
            <w:noProof/>
          </w:rPr>
          <w:t>3.2.</w:t>
        </w:r>
        <w:r w:rsidR="006B08E2">
          <w:rPr>
            <w:rFonts w:asciiTheme="minorHAnsi" w:eastAsiaTheme="minorEastAsia" w:hAnsiTheme="minorHAnsi" w:cstheme="minorBidi"/>
            <w:noProof/>
            <w:sz w:val="22"/>
            <w:lang w:val="uk-UA" w:eastAsia="uk-UA"/>
          </w:rPr>
          <w:tab/>
        </w:r>
        <w:r w:rsidR="006B08E2" w:rsidRPr="00F010F3">
          <w:rPr>
            <w:rStyle w:val="af"/>
            <w:noProof/>
          </w:rPr>
          <w:t>Істотні облікові судження, оціночні значення та припущення</w:t>
        </w:r>
        <w:r w:rsidR="006B08E2">
          <w:rPr>
            <w:noProof/>
            <w:webHidden/>
          </w:rPr>
          <w:tab/>
        </w:r>
        <w:r w:rsidR="006B08E2">
          <w:rPr>
            <w:noProof/>
            <w:webHidden/>
          </w:rPr>
          <w:fldChar w:fldCharType="begin"/>
        </w:r>
        <w:r w:rsidR="006B08E2">
          <w:rPr>
            <w:noProof/>
            <w:webHidden/>
          </w:rPr>
          <w:instrText xml:space="preserve"> PAGEREF _Toc511835057 \h </w:instrText>
        </w:r>
        <w:r w:rsidR="006B08E2">
          <w:rPr>
            <w:noProof/>
            <w:webHidden/>
          </w:rPr>
        </w:r>
        <w:r w:rsidR="006B08E2">
          <w:rPr>
            <w:noProof/>
            <w:webHidden/>
          </w:rPr>
          <w:fldChar w:fldCharType="separate"/>
        </w:r>
        <w:r w:rsidR="0045261D">
          <w:rPr>
            <w:noProof/>
            <w:webHidden/>
          </w:rPr>
          <w:t>5</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58" w:history="1">
        <w:r w:rsidR="006B08E2" w:rsidRPr="00F010F3">
          <w:rPr>
            <w:rStyle w:val="af"/>
            <w:noProof/>
          </w:rPr>
          <w:t>3.3.</w:t>
        </w:r>
        <w:r w:rsidR="006B08E2">
          <w:rPr>
            <w:rFonts w:asciiTheme="minorHAnsi" w:eastAsiaTheme="minorEastAsia" w:hAnsiTheme="minorHAnsi" w:cstheme="minorBidi"/>
            <w:noProof/>
            <w:sz w:val="22"/>
            <w:lang w:val="uk-UA" w:eastAsia="uk-UA"/>
          </w:rPr>
          <w:tab/>
        </w:r>
        <w:r w:rsidR="006B08E2" w:rsidRPr="00F010F3">
          <w:rPr>
            <w:rStyle w:val="af"/>
            <w:noProof/>
          </w:rPr>
          <w:t>Істотні положення облікової політики</w:t>
        </w:r>
        <w:r w:rsidR="006B08E2">
          <w:rPr>
            <w:noProof/>
            <w:webHidden/>
          </w:rPr>
          <w:tab/>
        </w:r>
        <w:r w:rsidR="006B08E2">
          <w:rPr>
            <w:noProof/>
            <w:webHidden/>
          </w:rPr>
          <w:fldChar w:fldCharType="begin"/>
        </w:r>
        <w:r w:rsidR="006B08E2">
          <w:rPr>
            <w:noProof/>
            <w:webHidden/>
          </w:rPr>
          <w:instrText xml:space="preserve"> PAGEREF _Toc511835058 \h </w:instrText>
        </w:r>
        <w:r w:rsidR="006B08E2">
          <w:rPr>
            <w:noProof/>
            <w:webHidden/>
          </w:rPr>
        </w:r>
        <w:r w:rsidR="006B08E2">
          <w:rPr>
            <w:noProof/>
            <w:webHidden/>
          </w:rPr>
          <w:fldChar w:fldCharType="separate"/>
        </w:r>
        <w:r w:rsidR="0045261D">
          <w:rPr>
            <w:noProof/>
            <w:webHidden/>
          </w:rPr>
          <w:t>6</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59" w:history="1">
        <w:r w:rsidR="006B08E2" w:rsidRPr="00F010F3">
          <w:rPr>
            <w:rStyle w:val="af"/>
            <w:noProof/>
          </w:rPr>
          <w:t>3.4.</w:t>
        </w:r>
        <w:r w:rsidR="006B08E2">
          <w:rPr>
            <w:rFonts w:asciiTheme="minorHAnsi" w:eastAsiaTheme="minorEastAsia" w:hAnsiTheme="minorHAnsi" w:cstheme="minorBidi"/>
            <w:noProof/>
            <w:sz w:val="22"/>
            <w:lang w:val="uk-UA" w:eastAsia="uk-UA"/>
          </w:rPr>
          <w:tab/>
        </w:r>
        <w:r w:rsidR="006B08E2" w:rsidRPr="00F010F3">
          <w:rPr>
            <w:rStyle w:val="af"/>
            <w:noProof/>
          </w:rPr>
          <w:t>Зміни в обліковій політиці та принципах розкриття інформації</w:t>
        </w:r>
        <w:r w:rsidR="006B08E2">
          <w:rPr>
            <w:noProof/>
            <w:webHidden/>
          </w:rPr>
          <w:tab/>
        </w:r>
        <w:r w:rsidR="006B08E2">
          <w:rPr>
            <w:noProof/>
            <w:webHidden/>
          </w:rPr>
          <w:fldChar w:fldCharType="begin"/>
        </w:r>
        <w:r w:rsidR="006B08E2">
          <w:rPr>
            <w:noProof/>
            <w:webHidden/>
          </w:rPr>
          <w:instrText xml:space="preserve"> PAGEREF _Toc511835059 \h </w:instrText>
        </w:r>
        <w:r w:rsidR="006B08E2">
          <w:rPr>
            <w:noProof/>
            <w:webHidden/>
          </w:rPr>
        </w:r>
        <w:r w:rsidR="006B08E2">
          <w:rPr>
            <w:noProof/>
            <w:webHidden/>
          </w:rPr>
          <w:fldChar w:fldCharType="separate"/>
        </w:r>
        <w:r w:rsidR="0045261D">
          <w:rPr>
            <w:noProof/>
            <w:webHidden/>
          </w:rPr>
          <w:t>15</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0" w:history="1">
        <w:r w:rsidR="006B08E2" w:rsidRPr="00F010F3">
          <w:rPr>
            <w:rStyle w:val="af"/>
            <w:noProof/>
          </w:rPr>
          <w:t>3.5.</w:t>
        </w:r>
        <w:r w:rsidR="006B08E2">
          <w:rPr>
            <w:rFonts w:asciiTheme="minorHAnsi" w:eastAsiaTheme="minorEastAsia" w:hAnsiTheme="minorHAnsi" w:cstheme="minorBidi"/>
            <w:noProof/>
            <w:sz w:val="22"/>
            <w:lang w:val="uk-UA" w:eastAsia="uk-UA"/>
          </w:rPr>
          <w:tab/>
        </w:r>
        <w:r w:rsidR="006B08E2" w:rsidRPr="00F010F3">
          <w:rPr>
            <w:rStyle w:val="af"/>
            <w:noProof/>
          </w:rPr>
          <w:t>Ризик і керування ризиками</w:t>
        </w:r>
        <w:r w:rsidR="006B08E2">
          <w:rPr>
            <w:noProof/>
            <w:webHidden/>
          </w:rPr>
          <w:tab/>
        </w:r>
        <w:r w:rsidR="006B08E2">
          <w:rPr>
            <w:noProof/>
            <w:webHidden/>
          </w:rPr>
          <w:fldChar w:fldCharType="begin"/>
        </w:r>
        <w:r w:rsidR="006B08E2">
          <w:rPr>
            <w:noProof/>
            <w:webHidden/>
          </w:rPr>
          <w:instrText xml:space="preserve"> PAGEREF _Toc511835060 \h </w:instrText>
        </w:r>
        <w:r w:rsidR="006B08E2">
          <w:rPr>
            <w:noProof/>
            <w:webHidden/>
          </w:rPr>
        </w:r>
        <w:r w:rsidR="006B08E2">
          <w:rPr>
            <w:noProof/>
            <w:webHidden/>
          </w:rPr>
          <w:fldChar w:fldCharType="separate"/>
        </w:r>
        <w:r w:rsidR="0045261D">
          <w:rPr>
            <w:noProof/>
            <w:webHidden/>
          </w:rPr>
          <w:t>18</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1" w:history="1">
        <w:r w:rsidR="006B08E2" w:rsidRPr="00F010F3">
          <w:rPr>
            <w:rStyle w:val="af"/>
            <w:noProof/>
          </w:rPr>
          <w:t>3.6.</w:t>
        </w:r>
        <w:r w:rsidR="006B08E2">
          <w:rPr>
            <w:rFonts w:asciiTheme="minorHAnsi" w:eastAsiaTheme="minorEastAsia" w:hAnsiTheme="minorHAnsi" w:cstheme="minorBidi"/>
            <w:noProof/>
            <w:sz w:val="22"/>
            <w:lang w:val="uk-UA" w:eastAsia="uk-UA"/>
          </w:rPr>
          <w:tab/>
        </w:r>
        <w:r w:rsidR="006B08E2" w:rsidRPr="00F010F3">
          <w:rPr>
            <w:rStyle w:val="af"/>
            <w:noProof/>
          </w:rPr>
          <w:t>Ризик ліквідності</w:t>
        </w:r>
        <w:r w:rsidR="006B08E2">
          <w:rPr>
            <w:noProof/>
            <w:webHidden/>
          </w:rPr>
          <w:tab/>
        </w:r>
        <w:r w:rsidR="006B08E2">
          <w:rPr>
            <w:noProof/>
            <w:webHidden/>
          </w:rPr>
          <w:fldChar w:fldCharType="begin"/>
        </w:r>
        <w:r w:rsidR="006B08E2">
          <w:rPr>
            <w:noProof/>
            <w:webHidden/>
          </w:rPr>
          <w:instrText xml:space="preserve"> PAGEREF _Toc511835061 \h </w:instrText>
        </w:r>
        <w:r w:rsidR="006B08E2">
          <w:rPr>
            <w:noProof/>
            <w:webHidden/>
          </w:rPr>
        </w:r>
        <w:r w:rsidR="006B08E2">
          <w:rPr>
            <w:noProof/>
            <w:webHidden/>
          </w:rPr>
          <w:fldChar w:fldCharType="separate"/>
        </w:r>
        <w:r w:rsidR="0045261D">
          <w:rPr>
            <w:noProof/>
            <w:webHidden/>
          </w:rPr>
          <w:t>22</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2" w:history="1">
        <w:r w:rsidR="006B08E2" w:rsidRPr="00F010F3">
          <w:rPr>
            <w:rStyle w:val="af"/>
            <w:noProof/>
          </w:rPr>
          <w:t>4.</w:t>
        </w:r>
        <w:r w:rsidR="006B08E2">
          <w:rPr>
            <w:rFonts w:asciiTheme="minorHAnsi" w:eastAsiaTheme="minorEastAsia" w:hAnsiTheme="minorHAnsi" w:cstheme="minorBidi"/>
            <w:noProof/>
            <w:sz w:val="22"/>
            <w:lang w:val="uk-UA" w:eastAsia="uk-UA"/>
          </w:rPr>
          <w:tab/>
        </w:r>
        <w:r w:rsidR="006B08E2" w:rsidRPr="00F010F3">
          <w:rPr>
            <w:rStyle w:val="af"/>
            <w:noProof/>
          </w:rPr>
          <w:t>Основні засоби й нематеріальні активи</w:t>
        </w:r>
        <w:r w:rsidR="006B08E2">
          <w:rPr>
            <w:noProof/>
            <w:webHidden/>
          </w:rPr>
          <w:tab/>
        </w:r>
        <w:r w:rsidR="006B08E2">
          <w:rPr>
            <w:noProof/>
            <w:webHidden/>
          </w:rPr>
          <w:fldChar w:fldCharType="begin"/>
        </w:r>
        <w:r w:rsidR="006B08E2">
          <w:rPr>
            <w:noProof/>
            <w:webHidden/>
          </w:rPr>
          <w:instrText xml:space="preserve"> PAGEREF _Toc511835062 \h </w:instrText>
        </w:r>
        <w:r w:rsidR="006B08E2">
          <w:rPr>
            <w:noProof/>
            <w:webHidden/>
          </w:rPr>
        </w:r>
        <w:r w:rsidR="006B08E2">
          <w:rPr>
            <w:noProof/>
            <w:webHidden/>
          </w:rPr>
          <w:fldChar w:fldCharType="separate"/>
        </w:r>
        <w:r w:rsidR="0045261D">
          <w:rPr>
            <w:noProof/>
            <w:webHidden/>
          </w:rPr>
          <w:t>22</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3" w:history="1">
        <w:r w:rsidR="006B08E2" w:rsidRPr="00F010F3">
          <w:rPr>
            <w:rStyle w:val="af"/>
            <w:noProof/>
          </w:rPr>
          <w:t>5.</w:t>
        </w:r>
        <w:r w:rsidR="006B08E2">
          <w:rPr>
            <w:rFonts w:asciiTheme="minorHAnsi" w:eastAsiaTheme="minorEastAsia" w:hAnsiTheme="minorHAnsi" w:cstheme="minorBidi"/>
            <w:noProof/>
            <w:sz w:val="22"/>
            <w:lang w:val="uk-UA" w:eastAsia="uk-UA"/>
          </w:rPr>
          <w:tab/>
        </w:r>
        <w:r w:rsidR="006B08E2" w:rsidRPr="00F010F3">
          <w:rPr>
            <w:rStyle w:val="af"/>
            <w:noProof/>
          </w:rPr>
          <w:t>Дебіторська заборгованість</w:t>
        </w:r>
        <w:r w:rsidR="006B08E2">
          <w:rPr>
            <w:noProof/>
            <w:webHidden/>
          </w:rPr>
          <w:tab/>
        </w:r>
        <w:r w:rsidR="006B08E2">
          <w:rPr>
            <w:noProof/>
            <w:webHidden/>
          </w:rPr>
          <w:fldChar w:fldCharType="begin"/>
        </w:r>
        <w:r w:rsidR="006B08E2">
          <w:rPr>
            <w:noProof/>
            <w:webHidden/>
          </w:rPr>
          <w:instrText xml:space="preserve"> PAGEREF _Toc511835063 \h </w:instrText>
        </w:r>
        <w:r w:rsidR="006B08E2">
          <w:rPr>
            <w:noProof/>
            <w:webHidden/>
          </w:rPr>
        </w:r>
        <w:r w:rsidR="006B08E2">
          <w:rPr>
            <w:noProof/>
            <w:webHidden/>
          </w:rPr>
          <w:fldChar w:fldCharType="separate"/>
        </w:r>
        <w:r w:rsidR="0045261D">
          <w:rPr>
            <w:noProof/>
            <w:webHidden/>
          </w:rPr>
          <w:t>24</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4" w:history="1">
        <w:r w:rsidR="006B08E2" w:rsidRPr="00F010F3">
          <w:rPr>
            <w:rStyle w:val="af"/>
            <w:noProof/>
          </w:rPr>
          <w:t>6.</w:t>
        </w:r>
        <w:r w:rsidR="006B08E2">
          <w:rPr>
            <w:rFonts w:asciiTheme="minorHAnsi" w:eastAsiaTheme="minorEastAsia" w:hAnsiTheme="minorHAnsi" w:cstheme="minorBidi"/>
            <w:noProof/>
            <w:sz w:val="22"/>
            <w:lang w:val="uk-UA" w:eastAsia="uk-UA"/>
          </w:rPr>
          <w:tab/>
        </w:r>
        <w:r w:rsidR="006B08E2" w:rsidRPr="00F010F3">
          <w:rPr>
            <w:rStyle w:val="af"/>
            <w:noProof/>
          </w:rPr>
          <w:t>Розкриття інформації щодо використання справедливої вартості</w:t>
        </w:r>
        <w:r w:rsidR="006B08E2">
          <w:rPr>
            <w:noProof/>
            <w:webHidden/>
          </w:rPr>
          <w:tab/>
        </w:r>
        <w:r w:rsidR="006B08E2">
          <w:rPr>
            <w:noProof/>
            <w:webHidden/>
          </w:rPr>
          <w:fldChar w:fldCharType="begin"/>
        </w:r>
        <w:r w:rsidR="006B08E2">
          <w:rPr>
            <w:noProof/>
            <w:webHidden/>
          </w:rPr>
          <w:instrText xml:space="preserve"> PAGEREF _Toc511835064 \h </w:instrText>
        </w:r>
        <w:r w:rsidR="006B08E2">
          <w:rPr>
            <w:noProof/>
            <w:webHidden/>
          </w:rPr>
        </w:r>
        <w:r w:rsidR="006B08E2">
          <w:rPr>
            <w:noProof/>
            <w:webHidden/>
          </w:rPr>
          <w:fldChar w:fldCharType="separate"/>
        </w:r>
        <w:r w:rsidR="0045261D">
          <w:rPr>
            <w:noProof/>
            <w:webHidden/>
          </w:rPr>
          <w:t>24</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5" w:history="1">
        <w:r w:rsidR="006B08E2" w:rsidRPr="00F010F3">
          <w:rPr>
            <w:rStyle w:val="af"/>
            <w:noProof/>
          </w:rPr>
          <w:t>7.</w:t>
        </w:r>
        <w:r w:rsidR="006B08E2">
          <w:rPr>
            <w:rFonts w:asciiTheme="minorHAnsi" w:eastAsiaTheme="minorEastAsia" w:hAnsiTheme="minorHAnsi" w:cstheme="minorBidi"/>
            <w:noProof/>
            <w:sz w:val="22"/>
            <w:lang w:val="uk-UA" w:eastAsia="uk-UA"/>
          </w:rPr>
          <w:tab/>
        </w:r>
        <w:r w:rsidR="006B08E2" w:rsidRPr="00F010F3">
          <w:rPr>
            <w:rStyle w:val="af"/>
            <w:noProof/>
          </w:rPr>
          <w:t>Інші оборотні активи</w:t>
        </w:r>
        <w:r w:rsidR="006B08E2">
          <w:rPr>
            <w:noProof/>
            <w:webHidden/>
          </w:rPr>
          <w:tab/>
        </w:r>
        <w:r w:rsidR="006B08E2">
          <w:rPr>
            <w:noProof/>
            <w:webHidden/>
          </w:rPr>
          <w:fldChar w:fldCharType="begin"/>
        </w:r>
        <w:r w:rsidR="006B08E2">
          <w:rPr>
            <w:noProof/>
            <w:webHidden/>
          </w:rPr>
          <w:instrText xml:space="preserve"> PAGEREF _Toc511835065 \h </w:instrText>
        </w:r>
        <w:r w:rsidR="006B08E2">
          <w:rPr>
            <w:noProof/>
            <w:webHidden/>
          </w:rPr>
        </w:r>
        <w:r w:rsidR="006B08E2">
          <w:rPr>
            <w:noProof/>
            <w:webHidden/>
          </w:rPr>
          <w:fldChar w:fldCharType="separate"/>
        </w:r>
        <w:r w:rsidR="0045261D">
          <w:rPr>
            <w:noProof/>
            <w:webHidden/>
          </w:rPr>
          <w:t>26</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6" w:history="1">
        <w:r w:rsidR="006B08E2" w:rsidRPr="00F010F3">
          <w:rPr>
            <w:rStyle w:val="af"/>
            <w:noProof/>
          </w:rPr>
          <w:t>8.</w:t>
        </w:r>
        <w:r w:rsidR="006B08E2">
          <w:rPr>
            <w:rFonts w:asciiTheme="minorHAnsi" w:eastAsiaTheme="minorEastAsia" w:hAnsiTheme="minorHAnsi" w:cstheme="minorBidi"/>
            <w:noProof/>
            <w:sz w:val="22"/>
            <w:lang w:val="uk-UA" w:eastAsia="uk-UA"/>
          </w:rPr>
          <w:tab/>
        </w:r>
        <w:r w:rsidR="006B08E2" w:rsidRPr="00F010F3">
          <w:rPr>
            <w:rStyle w:val="af"/>
            <w:noProof/>
          </w:rPr>
          <w:t>Грошові кошти</w:t>
        </w:r>
        <w:r w:rsidR="006B08E2">
          <w:rPr>
            <w:noProof/>
            <w:webHidden/>
          </w:rPr>
          <w:tab/>
        </w:r>
        <w:r w:rsidR="006B08E2">
          <w:rPr>
            <w:noProof/>
            <w:webHidden/>
          </w:rPr>
          <w:fldChar w:fldCharType="begin"/>
        </w:r>
        <w:r w:rsidR="006B08E2">
          <w:rPr>
            <w:noProof/>
            <w:webHidden/>
          </w:rPr>
          <w:instrText xml:space="preserve"> PAGEREF _Toc511835066 \h </w:instrText>
        </w:r>
        <w:r w:rsidR="006B08E2">
          <w:rPr>
            <w:noProof/>
            <w:webHidden/>
          </w:rPr>
        </w:r>
        <w:r w:rsidR="006B08E2">
          <w:rPr>
            <w:noProof/>
            <w:webHidden/>
          </w:rPr>
          <w:fldChar w:fldCharType="separate"/>
        </w:r>
        <w:r w:rsidR="0045261D">
          <w:rPr>
            <w:noProof/>
            <w:webHidden/>
          </w:rPr>
          <w:t>26</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7" w:history="1">
        <w:r w:rsidR="006B08E2" w:rsidRPr="00F010F3">
          <w:rPr>
            <w:rStyle w:val="af"/>
            <w:noProof/>
          </w:rPr>
          <w:t>9.</w:t>
        </w:r>
        <w:r w:rsidR="006B08E2">
          <w:rPr>
            <w:rFonts w:asciiTheme="minorHAnsi" w:eastAsiaTheme="minorEastAsia" w:hAnsiTheme="minorHAnsi" w:cstheme="minorBidi"/>
            <w:noProof/>
            <w:sz w:val="22"/>
            <w:lang w:val="uk-UA" w:eastAsia="uk-UA"/>
          </w:rPr>
          <w:tab/>
        </w:r>
        <w:r w:rsidR="006B08E2" w:rsidRPr="00F010F3">
          <w:rPr>
            <w:rStyle w:val="af"/>
            <w:noProof/>
          </w:rPr>
          <w:t>Фінансові інвестиції</w:t>
        </w:r>
        <w:r w:rsidR="006B08E2">
          <w:rPr>
            <w:noProof/>
            <w:webHidden/>
          </w:rPr>
          <w:tab/>
        </w:r>
        <w:r w:rsidR="006B08E2">
          <w:rPr>
            <w:noProof/>
            <w:webHidden/>
          </w:rPr>
          <w:fldChar w:fldCharType="begin"/>
        </w:r>
        <w:r w:rsidR="006B08E2">
          <w:rPr>
            <w:noProof/>
            <w:webHidden/>
          </w:rPr>
          <w:instrText xml:space="preserve"> PAGEREF _Toc511835067 \h </w:instrText>
        </w:r>
        <w:r w:rsidR="006B08E2">
          <w:rPr>
            <w:noProof/>
            <w:webHidden/>
          </w:rPr>
        </w:r>
        <w:r w:rsidR="006B08E2">
          <w:rPr>
            <w:noProof/>
            <w:webHidden/>
          </w:rPr>
          <w:fldChar w:fldCharType="separate"/>
        </w:r>
        <w:r w:rsidR="0045261D">
          <w:rPr>
            <w:noProof/>
            <w:webHidden/>
          </w:rPr>
          <w:t>27</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8" w:history="1">
        <w:r w:rsidR="006B08E2" w:rsidRPr="00F010F3">
          <w:rPr>
            <w:rStyle w:val="af"/>
            <w:noProof/>
          </w:rPr>
          <w:t>10.</w:t>
        </w:r>
        <w:r w:rsidR="006B08E2">
          <w:rPr>
            <w:rFonts w:asciiTheme="minorHAnsi" w:eastAsiaTheme="minorEastAsia" w:hAnsiTheme="minorHAnsi" w:cstheme="minorBidi"/>
            <w:noProof/>
            <w:sz w:val="22"/>
            <w:lang w:val="uk-UA" w:eastAsia="uk-UA"/>
          </w:rPr>
          <w:tab/>
        </w:r>
        <w:r w:rsidR="006B08E2" w:rsidRPr="00F010F3">
          <w:rPr>
            <w:rStyle w:val="af"/>
            <w:noProof/>
          </w:rPr>
          <w:t>Статутний капітал</w:t>
        </w:r>
        <w:r w:rsidR="006B08E2">
          <w:rPr>
            <w:noProof/>
            <w:webHidden/>
          </w:rPr>
          <w:tab/>
        </w:r>
        <w:r w:rsidR="006B08E2">
          <w:rPr>
            <w:noProof/>
            <w:webHidden/>
          </w:rPr>
          <w:fldChar w:fldCharType="begin"/>
        </w:r>
        <w:r w:rsidR="006B08E2">
          <w:rPr>
            <w:noProof/>
            <w:webHidden/>
          </w:rPr>
          <w:instrText xml:space="preserve"> PAGEREF _Toc511835068 \h </w:instrText>
        </w:r>
        <w:r w:rsidR="006B08E2">
          <w:rPr>
            <w:noProof/>
            <w:webHidden/>
          </w:rPr>
        </w:r>
        <w:r w:rsidR="006B08E2">
          <w:rPr>
            <w:noProof/>
            <w:webHidden/>
          </w:rPr>
          <w:fldChar w:fldCharType="separate"/>
        </w:r>
        <w:r w:rsidR="0045261D">
          <w:rPr>
            <w:noProof/>
            <w:webHidden/>
          </w:rPr>
          <w:t>27</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69" w:history="1">
        <w:r w:rsidR="006B08E2" w:rsidRPr="00F010F3">
          <w:rPr>
            <w:rStyle w:val="af"/>
            <w:noProof/>
          </w:rPr>
          <w:t>11.</w:t>
        </w:r>
        <w:r w:rsidR="006B08E2">
          <w:rPr>
            <w:rFonts w:asciiTheme="minorHAnsi" w:eastAsiaTheme="minorEastAsia" w:hAnsiTheme="minorHAnsi" w:cstheme="minorBidi"/>
            <w:noProof/>
            <w:sz w:val="22"/>
            <w:lang w:val="uk-UA" w:eastAsia="uk-UA"/>
          </w:rPr>
          <w:tab/>
        </w:r>
        <w:r w:rsidR="006B08E2" w:rsidRPr="00F010F3">
          <w:rPr>
            <w:rStyle w:val="af"/>
            <w:noProof/>
          </w:rPr>
          <w:t>Резервний капітал</w:t>
        </w:r>
        <w:r w:rsidR="006B08E2">
          <w:rPr>
            <w:noProof/>
            <w:webHidden/>
          </w:rPr>
          <w:tab/>
        </w:r>
        <w:r w:rsidR="006B08E2">
          <w:rPr>
            <w:noProof/>
            <w:webHidden/>
          </w:rPr>
          <w:fldChar w:fldCharType="begin"/>
        </w:r>
        <w:r w:rsidR="006B08E2">
          <w:rPr>
            <w:noProof/>
            <w:webHidden/>
          </w:rPr>
          <w:instrText xml:space="preserve"> PAGEREF _Toc511835069 \h </w:instrText>
        </w:r>
        <w:r w:rsidR="006B08E2">
          <w:rPr>
            <w:noProof/>
            <w:webHidden/>
          </w:rPr>
        </w:r>
        <w:r w:rsidR="006B08E2">
          <w:rPr>
            <w:noProof/>
            <w:webHidden/>
          </w:rPr>
          <w:fldChar w:fldCharType="separate"/>
        </w:r>
        <w:r w:rsidR="0045261D">
          <w:rPr>
            <w:noProof/>
            <w:webHidden/>
          </w:rPr>
          <w:t>27</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0" w:history="1">
        <w:r w:rsidR="006B08E2" w:rsidRPr="00F010F3">
          <w:rPr>
            <w:rStyle w:val="af"/>
            <w:noProof/>
          </w:rPr>
          <w:t>12.</w:t>
        </w:r>
        <w:r w:rsidR="006B08E2">
          <w:rPr>
            <w:rFonts w:asciiTheme="minorHAnsi" w:eastAsiaTheme="minorEastAsia" w:hAnsiTheme="minorHAnsi" w:cstheme="minorBidi"/>
            <w:noProof/>
            <w:sz w:val="22"/>
            <w:lang w:val="uk-UA" w:eastAsia="uk-UA"/>
          </w:rPr>
          <w:tab/>
        </w:r>
        <w:r w:rsidR="006B08E2" w:rsidRPr="00F010F3">
          <w:rPr>
            <w:rStyle w:val="af"/>
            <w:noProof/>
          </w:rPr>
          <w:t>Страхові резерви</w:t>
        </w:r>
        <w:r w:rsidR="006B08E2">
          <w:rPr>
            <w:noProof/>
            <w:webHidden/>
          </w:rPr>
          <w:tab/>
        </w:r>
        <w:r w:rsidR="006B08E2">
          <w:rPr>
            <w:noProof/>
            <w:webHidden/>
          </w:rPr>
          <w:fldChar w:fldCharType="begin"/>
        </w:r>
        <w:r w:rsidR="006B08E2">
          <w:rPr>
            <w:noProof/>
            <w:webHidden/>
          </w:rPr>
          <w:instrText xml:space="preserve"> PAGEREF _Toc511835070 \h </w:instrText>
        </w:r>
        <w:r w:rsidR="006B08E2">
          <w:rPr>
            <w:noProof/>
            <w:webHidden/>
          </w:rPr>
        </w:r>
        <w:r w:rsidR="006B08E2">
          <w:rPr>
            <w:noProof/>
            <w:webHidden/>
          </w:rPr>
          <w:fldChar w:fldCharType="separate"/>
        </w:r>
        <w:r w:rsidR="0045261D">
          <w:rPr>
            <w:noProof/>
            <w:webHidden/>
          </w:rPr>
          <w:t>27</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1" w:history="1">
        <w:r w:rsidR="006B08E2" w:rsidRPr="00F010F3">
          <w:rPr>
            <w:rStyle w:val="af"/>
            <w:noProof/>
          </w:rPr>
          <w:t>13.</w:t>
        </w:r>
        <w:r w:rsidR="006B08E2">
          <w:rPr>
            <w:rFonts w:asciiTheme="minorHAnsi" w:eastAsiaTheme="minorEastAsia" w:hAnsiTheme="minorHAnsi" w:cstheme="minorBidi"/>
            <w:noProof/>
            <w:sz w:val="22"/>
            <w:lang w:val="uk-UA" w:eastAsia="uk-UA"/>
          </w:rPr>
          <w:tab/>
        </w:r>
        <w:r w:rsidR="006B08E2" w:rsidRPr="00F010F3">
          <w:rPr>
            <w:rStyle w:val="af"/>
            <w:noProof/>
          </w:rPr>
          <w:t>Тест адекватності зобов’язань</w:t>
        </w:r>
        <w:r w:rsidR="006B08E2">
          <w:rPr>
            <w:noProof/>
            <w:webHidden/>
          </w:rPr>
          <w:tab/>
        </w:r>
        <w:r w:rsidR="006B08E2">
          <w:rPr>
            <w:noProof/>
            <w:webHidden/>
          </w:rPr>
          <w:fldChar w:fldCharType="begin"/>
        </w:r>
        <w:r w:rsidR="006B08E2">
          <w:rPr>
            <w:noProof/>
            <w:webHidden/>
          </w:rPr>
          <w:instrText xml:space="preserve"> PAGEREF _Toc511835071 \h </w:instrText>
        </w:r>
        <w:r w:rsidR="006B08E2">
          <w:rPr>
            <w:noProof/>
            <w:webHidden/>
          </w:rPr>
        </w:r>
        <w:r w:rsidR="006B08E2">
          <w:rPr>
            <w:noProof/>
            <w:webHidden/>
          </w:rPr>
          <w:fldChar w:fldCharType="separate"/>
        </w:r>
        <w:r w:rsidR="0045261D">
          <w:rPr>
            <w:noProof/>
            <w:webHidden/>
          </w:rPr>
          <w:t>28</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2" w:history="1">
        <w:r w:rsidR="006B08E2" w:rsidRPr="00F010F3">
          <w:rPr>
            <w:rStyle w:val="af"/>
            <w:noProof/>
          </w:rPr>
          <w:t>14.</w:t>
        </w:r>
        <w:r w:rsidR="006B08E2">
          <w:rPr>
            <w:rFonts w:asciiTheme="minorHAnsi" w:eastAsiaTheme="minorEastAsia" w:hAnsiTheme="minorHAnsi" w:cstheme="minorBidi"/>
            <w:noProof/>
            <w:sz w:val="22"/>
            <w:lang w:val="uk-UA" w:eastAsia="uk-UA"/>
          </w:rPr>
          <w:tab/>
        </w:r>
        <w:r w:rsidR="006B08E2" w:rsidRPr="00F010F3">
          <w:rPr>
            <w:rStyle w:val="af"/>
            <w:noProof/>
          </w:rPr>
          <w:t>Поточні зобов'язання</w:t>
        </w:r>
        <w:r w:rsidR="006B08E2">
          <w:rPr>
            <w:noProof/>
            <w:webHidden/>
          </w:rPr>
          <w:tab/>
        </w:r>
        <w:r w:rsidR="006B08E2">
          <w:rPr>
            <w:noProof/>
            <w:webHidden/>
          </w:rPr>
          <w:fldChar w:fldCharType="begin"/>
        </w:r>
        <w:r w:rsidR="006B08E2">
          <w:rPr>
            <w:noProof/>
            <w:webHidden/>
          </w:rPr>
          <w:instrText xml:space="preserve"> PAGEREF _Toc511835072 \h </w:instrText>
        </w:r>
        <w:r w:rsidR="006B08E2">
          <w:rPr>
            <w:noProof/>
            <w:webHidden/>
          </w:rPr>
        </w:r>
        <w:r w:rsidR="006B08E2">
          <w:rPr>
            <w:noProof/>
            <w:webHidden/>
          </w:rPr>
          <w:fldChar w:fldCharType="separate"/>
        </w:r>
        <w:r w:rsidR="0045261D">
          <w:rPr>
            <w:noProof/>
            <w:webHidden/>
          </w:rPr>
          <w:t>28</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3" w:history="1">
        <w:r w:rsidR="006B08E2" w:rsidRPr="00F010F3">
          <w:rPr>
            <w:rStyle w:val="af"/>
            <w:noProof/>
          </w:rPr>
          <w:t>15.</w:t>
        </w:r>
        <w:r w:rsidR="006B08E2">
          <w:rPr>
            <w:rFonts w:asciiTheme="minorHAnsi" w:eastAsiaTheme="minorEastAsia" w:hAnsiTheme="minorHAnsi" w:cstheme="minorBidi"/>
            <w:noProof/>
            <w:sz w:val="22"/>
            <w:lang w:val="uk-UA" w:eastAsia="uk-UA"/>
          </w:rPr>
          <w:tab/>
        </w:r>
        <w:r w:rsidR="006B08E2" w:rsidRPr="00F010F3">
          <w:rPr>
            <w:rStyle w:val="af"/>
            <w:noProof/>
          </w:rPr>
          <w:t>Валова сума отриманих премій</w:t>
        </w:r>
        <w:r w:rsidR="006B08E2">
          <w:rPr>
            <w:noProof/>
            <w:webHidden/>
          </w:rPr>
          <w:tab/>
        </w:r>
        <w:r w:rsidR="006B08E2">
          <w:rPr>
            <w:noProof/>
            <w:webHidden/>
          </w:rPr>
          <w:fldChar w:fldCharType="begin"/>
        </w:r>
        <w:r w:rsidR="006B08E2">
          <w:rPr>
            <w:noProof/>
            <w:webHidden/>
          </w:rPr>
          <w:instrText xml:space="preserve"> PAGEREF _Toc511835073 \h </w:instrText>
        </w:r>
        <w:r w:rsidR="006B08E2">
          <w:rPr>
            <w:noProof/>
            <w:webHidden/>
          </w:rPr>
        </w:r>
        <w:r w:rsidR="006B08E2">
          <w:rPr>
            <w:noProof/>
            <w:webHidden/>
          </w:rPr>
          <w:fldChar w:fldCharType="separate"/>
        </w:r>
        <w:r w:rsidR="0045261D">
          <w:rPr>
            <w:noProof/>
            <w:webHidden/>
          </w:rPr>
          <w:t>29</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4" w:history="1">
        <w:r w:rsidR="006B08E2" w:rsidRPr="00F010F3">
          <w:rPr>
            <w:rStyle w:val="af"/>
            <w:noProof/>
          </w:rPr>
          <w:t>16.</w:t>
        </w:r>
        <w:r w:rsidR="006B08E2">
          <w:rPr>
            <w:rFonts w:asciiTheme="minorHAnsi" w:eastAsiaTheme="minorEastAsia" w:hAnsiTheme="minorHAnsi" w:cstheme="minorBidi"/>
            <w:noProof/>
            <w:sz w:val="22"/>
            <w:lang w:val="uk-UA" w:eastAsia="uk-UA"/>
          </w:rPr>
          <w:tab/>
        </w:r>
        <w:r w:rsidR="006B08E2" w:rsidRPr="00F010F3">
          <w:rPr>
            <w:rStyle w:val="af"/>
            <w:noProof/>
          </w:rPr>
          <w:t>Страхові виплати й страхові відшкодування</w:t>
        </w:r>
        <w:r w:rsidR="006B08E2">
          <w:rPr>
            <w:noProof/>
            <w:webHidden/>
          </w:rPr>
          <w:tab/>
        </w:r>
        <w:r w:rsidR="006B08E2">
          <w:rPr>
            <w:noProof/>
            <w:webHidden/>
          </w:rPr>
          <w:fldChar w:fldCharType="begin"/>
        </w:r>
        <w:r w:rsidR="006B08E2">
          <w:rPr>
            <w:noProof/>
            <w:webHidden/>
          </w:rPr>
          <w:instrText xml:space="preserve"> PAGEREF _Toc511835074 \h </w:instrText>
        </w:r>
        <w:r w:rsidR="006B08E2">
          <w:rPr>
            <w:noProof/>
            <w:webHidden/>
          </w:rPr>
        </w:r>
        <w:r w:rsidR="006B08E2">
          <w:rPr>
            <w:noProof/>
            <w:webHidden/>
          </w:rPr>
          <w:fldChar w:fldCharType="separate"/>
        </w:r>
        <w:r w:rsidR="0045261D">
          <w:rPr>
            <w:noProof/>
            <w:webHidden/>
          </w:rPr>
          <w:t>29</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5" w:history="1">
        <w:r w:rsidR="006B08E2" w:rsidRPr="00F010F3">
          <w:rPr>
            <w:rStyle w:val="af"/>
            <w:noProof/>
          </w:rPr>
          <w:t>17.</w:t>
        </w:r>
        <w:r w:rsidR="006B08E2">
          <w:rPr>
            <w:rFonts w:asciiTheme="minorHAnsi" w:eastAsiaTheme="minorEastAsia" w:hAnsiTheme="minorHAnsi" w:cstheme="minorBidi"/>
            <w:noProof/>
            <w:sz w:val="22"/>
            <w:lang w:val="uk-UA" w:eastAsia="uk-UA"/>
          </w:rPr>
          <w:tab/>
        </w:r>
        <w:r w:rsidR="006B08E2" w:rsidRPr="00F010F3">
          <w:rPr>
            <w:rStyle w:val="af"/>
            <w:noProof/>
          </w:rPr>
          <w:t>Адміністративні витрати</w:t>
        </w:r>
        <w:r w:rsidR="006B08E2">
          <w:rPr>
            <w:noProof/>
            <w:webHidden/>
          </w:rPr>
          <w:tab/>
        </w:r>
        <w:r w:rsidR="006B08E2">
          <w:rPr>
            <w:noProof/>
            <w:webHidden/>
          </w:rPr>
          <w:fldChar w:fldCharType="begin"/>
        </w:r>
        <w:r w:rsidR="006B08E2">
          <w:rPr>
            <w:noProof/>
            <w:webHidden/>
          </w:rPr>
          <w:instrText xml:space="preserve"> PAGEREF _Toc511835075 \h </w:instrText>
        </w:r>
        <w:r w:rsidR="006B08E2">
          <w:rPr>
            <w:noProof/>
            <w:webHidden/>
          </w:rPr>
        </w:r>
        <w:r w:rsidR="006B08E2">
          <w:rPr>
            <w:noProof/>
            <w:webHidden/>
          </w:rPr>
          <w:fldChar w:fldCharType="separate"/>
        </w:r>
        <w:r w:rsidR="0045261D">
          <w:rPr>
            <w:noProof/>
            <w:webHidden/>
          </w:rPr>
          <w:t>30</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6" w:history="1">
        <w:r w:rsidR="006B08E2" w:rsidRPr="00F010F3">
          <w:rPr>
            <w:rStyle w:val="af"/>
            <w:noProof/>
          </w:rPr>
          <w:t>18.</w:t>
        </w:r>
        <w:r w:rsidR="006B08E2">
          <w:rPr>
            <w:rFonts w:asciiTheme="minorHAnsi" w:eastAsiaTheme="minorEastAsia" w:hAnsiTheme="minorHAnsi" w:cstheme="minorBidi"/>
            <w:noProof/>
            <w:sz w:val="22"/>
            <w:lang w:val="uk-UA" w:eastAsia="uk-UA"/>
          </w:rPr>
          <w:tab/>
        </w:r>
        <w:r w:rsidR="006B08E2" w:rsidRPr="00F010F3">
          <w:rPr>
            <w:rStyle w:val="af"/>
            <w:noProof/>
          </w:rPr>
          <w:t>Витрати на збут</w:t>
        </w:r>
        <w:r w:rsidR="006B08E2">
          <w:rPr>
            <w:noProof/>
            <w:webHidden/>
          </w:rPr>
          <w:tab/>
        </w:r>
        <w:r w:rsidR="006B08E2">
          <w:rPr>
            <w:noProof/>
            <w:webHidden/>
          </w:rPr>
          <w:fldChar w:fldCharType="begin"/>
        </w:r>
        <w:r w:rsidR="006B08E2">
          <w:rPr>
            <w:noProof/>
            <w:webHidden/>
          </w:rPr>
          <w:instrText xml:space="preserve"> PAGEREF _Toc511835076 \h </w:instrText>
        </w:r>
        <w:r w:rsidR="006B08E2">
          <w:rPr>
            <w:noProof/>
            <w:webHidden/>
          </w:rPr>
        </w:r>
        <w:r w:rsidR="006B08E2">
          <w:rPr>
            <w:noProof/>
            <w:webHidden/>
          </w:rPr>
          <w:fldChar w:fldCharType="separate"/>
        </w:r>
        <w:r w:rsidR="0045261D">
          <w:rPr>
            <w:noProof/>
            <w:webHidden/>
          </w:rPr>
          <w:t>31</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7" w:history="1">
        <w:r w:rsidR="006B08E2" w:rsidRPr="00F010F3">
          <w:rPr>
            <w:rStyle w:val="af"/>
            <w:noProof/>
          </w:rPr>
          <w:t>19.</w:t>
        </w:r>
        <w:r w:rsidR="006B08E2">
          <w:rPr>
            <w:rFonts w:asciiTheme="minorHAnsi" w:eastAsiaTheme="minorEastAsia" w:hAnsiTheme="minorHAnsi" w:cstheme="minorBidi"/>
            <w:noProof/>
            <w:sz w:val="22"/>
            <w:lang w:val="uk-UA" w:eastAsia="uk-UA"/>
          </w:rPr>
          <w:tab/>
        </w:r>
        <w:r w:rsidR="006B08E2" w:rsidRPr="00F010F3">
          <w:rPr>
            <w:rStyle w:val="af"/>
            <w:noProof/>
          </w:rPr>
          <w:t>Гудвіл</w:t>
        </w:r>
        <w:r w:rsidR="006B08E2">
          <w:rPr>
            <w:noProof/>
            <w:webHidden/>
          </w:rPr>
          <w:tab/>
        </w:r>
        <w:r w:rsidR="006B08E2">
          <w:rPr>
            <w:noProof/>
            <w:webHidden/>
          </w:rPr>
          <w:fldChar w:fldCharType="begin"/>
        </w:r>
        <w:r w:rsidR="006B08E2">
          <w:rPr>
            <w:noProof/>
            <w:webHidden/>
          </w:rPr>
          <w:instrText xml:space="preserve"> PAGEREF _Toc511835077 \h </w:instrText>
        </w:r>
        <w:r w:rsidR="006B08E2">
          <w:rPr>
            <w:noProof/>
            <w:webHidden/>
          </w:rPr>
        </w:r>
        <w:r w:rsidR="006B08E2">
          <w:rPr>
            <w:noProof/>
            <w:webHidden/>
          </w:rPr>
          <w:fldChar w:fldCharType="separate"/>
        </w:r>
        <w:r w:rsidR="0045261D">
          <w:rPr>
            <w:noProof/>
            <w:webHidden/>
          </w:rPr>
          <w:t>32</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8" w:history="1">
        <w:r w:rsidR="006B08E2" w:rsidRPr="00F010F3">
          <w:rPr>
            <w:rStyle w:val="af"/>
            <w:noProof/>
          </w:rPr>
          <w:t>20.</w:t>
        </w:r>
        <w:r w:rsidR="006B08E2">
          <w:rPr>
            <w:rFonts w:asciiTheme="minorHAnsi" w:eastAsiaTheme="minorEastAsia" w:hAnsiTheme="minorHAnsi" w:cstheme="minorBidi"/>
            <w:noProof/>
            <w:sz w:val="22"/>
            <w:lang w:val="uk-UA" w:eastAsia="uk-UA"/>
          </w:rPr>
          <w:tab/>
        </w:r>
        <w:r w:rsidR="006B08E2" w:rsidRPr="00F010F3">
          <w:rPr>
            <w:rStyle w:val="af"/>
            <w:noProof/>
          </w:rPr>
          <w:t>Інші операційні доходи й витрати</w:t>
        </w:r>
        <w:r w:rsidR="006B08E2">
          <w:rPr>
            <w:noProof/>
            <w:webHidden/>
          </w:rPr>
          <w:tab/>
        </w:r>
        <w:r w:rsidR="006B08E2">
          <w:rPr>
            <w:noProof/>
            <w:webHidden/>
          </w:rPr>
          <w:fldChar w:fldCharType="begin"/>
        </w:r>
        <w:r w:rsidR="006B08E2">
          <w:rPr>
            <w:noProof/>
            <w:webHidden/>
          </w:rPr>
          <w:instrText xml:space="preserve"> PAGEREF _Toc511835078 \h </w:instrText>
        </w:r>
        <w:r w:rsidR="006B08E2">
          <w:rPr>
            <w:noProof/>
            <w:webHidden/>
          </w:rPr>
        </w:r>
        <w:r w:rsidR="006B08E2">
          <w:rPr>
            <w:noProof/>
            <w:webHidden/>
          </w:rPr>
          <w:fldChar w:fldCharType="separate"/>
        </w:r>
        <w:r w:rsidR="0045261D">
          <w:rPr>
            <w:noProof/>
            <w:webHidden/>
          </w:rPr>
          <w:t>32</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79" w:history="1">
        <w:r w:rsidR="006B08E2" w:rsidRPr="00F010F3">
          <w:rPr>
            <w:rStyle w:val="af"/>
            <w:noProof/>
          </w:rPr>
          <w:t>21.</w:t>
        </w:r>
        <w:r w:rsidR="006B08E2">
          <w:rPr>
            <w:rFonts w:asciiTheme="minorHAnsi" w:eastAsiaTheme="minorEastAsia" w:hAnsiTheme="minorHAnsi" w:cstheme="minorBidi"/>
            <w:noProof/>
            <w:sz w:val="22"/>
            <w:lang w:val="uk-UA" w:eastAsia="uk-UA"/>
          </w:rPr>
          <w:tab/>
        </w:r>
        <w:r w:rsidR="006B08E2" w:rsidRPr="00F010F3">
          <w:rPr>
            <w:rStyle w:val="af"/>
            <w:noProof/>
          </w:rPr>
          <w:t>Фінансові доходи</w:t>
        </w:r>
        <w:r w:rsidR="006B08E2">
          <w:rPr>
            <w:noProof/>
            <w:webHidden/>
          </w:rPr>
          <w:tab/>
        </w:r>
        <w:r w:rsidR="006B08E2">
          <w:rPr>
            <w:noProof/>
            <w:webHidden/>
          </w:rPr>
          <w:fldChar w:fldCharType="begin"/>
        </w:r>
        <w:r w:rsidR="006B08E2">
          <w:rPr>
            <w:noProof/>
            <w:webHidden/>
          </w:rPr>
          <w:instrText xml:space="preserve"> PAGEREF _Toc511835079 \h </w:instrText>
        </w:r>
        <w:r w:rsidR="006B08E2">
          <w:rPr>
            <w:noProof/>
            <w:webHidden/>
          </w:rPr>
        </w:r>
        <w:r w:rsidR="006B08E2">
          <w:rPr>
            <w:noProof/>
            <w:webHidden/>
          </w:rPr>
          <w:fldChar w:fldCharType="separate"/>
        </w:r>
        <w:r w:rsidR="0045261D">
          <w:rPr>
            <w:noProof/>
            <w:webHidden/>
          </w:rPr>
          <w:t>32</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80" w:history="1">
        <w:r w:rsidR="006B08E2" w:rsidRPr="00F010F3">
          <w:rPr>
            <w:rStyle w:val="af"/>
            <w:noProof/>
          </w:rPr>
          <w:t>22.</w:t>
        </w:r>
        <w:r w:rsidR="006B08E2">
          <w:rPr>
            <w:rFonts w:asciiTheme="minorHAnsi" w:eastAsiaTheme="minorEastAsia" w:hAnsiTheme="minorHAnsi" w:cstheme="minorBidi"/>
            <w:noProof/>
            <w:sz w:val="22"/>
            <w:lang w:val="uk-UA" w:eastAsia="uk-UA"/>
          </w:rPr>
          <w:tab/>
        </w:r>
        <w:r w:rsidR="006B08E2" w:rsidRPr="00F010F3">
          <w:rPr>
            <w:rStyle w:val="af"/>
            <w:noProof/>
          </w:rPr>
          <w:t>Інші доходи та витрати</w:t>
        </w:r>
        <w:r w:rsidR="006B08E2">
          <w:rPr>
            <w:noProof/>
            <w:webHidden/>
          </w:rPr>
          <w:tab/>
        </w:r>
        <w:r w:rsidR="006B08E2">
          <w:rPr>
            <w:noProof/>
            <w:webHidden/>
          </w:rPr>
          <w:fldChar w:fldCharType="begin"/>
        </w:r>
        <w:r w:rsidR="006B08E2">
          <w:rPr>
            <w:noProof/>
            <w:webHidden/>
          </w:rPr>
          <w:instrText xml:space="preserve"> PAGEREF _Toc511835080 \h </w:instrText>
        </w:r>
        <w:r w:rsidR="006B08E2">
          <w:rPr>
            <w:noProof/>
            <w:webHidden/>
          </w:rPr>
        </w:r>
        <w:r w:rsidR="006B08E2">
          <w:rPr>
            <w:noProof/>
            <w:webHidden/>
          </w:rPr>
          <w:fldChar w:fldCharType="separate"/>
        </w:r>
        <w:r w:rsidR="0045261D">
          <w:rPr>
            <w:noProof/>
            <w:webHidden/>
          </w:rPr>
          <w:t>32</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81" w:history="1">
        <w:r w:rsidR="006B08E2" w:rsidRPr="00F010F3">
          <w:rPr>
            <w:rStyle w:val="af"/>
            <w:noProof/>
          </w:rPr>
          <w:t>23.</w:t>
        </w:r>
        <w:r w:rsidR="006B08E2">
          <w:rPr>
            <w:rFonts w:asciiTheme="minorHAnsi" w:eastAsiaTheme="minorEastAsia" w:hAnsiTheme="minorHAnsi" w:cstheme="minorBidi"/>
            <w:noProof/>
            <w:sz w:val="22"/>
            <w:lang w:val="uk-UA" w:eastAsia="uk-UA"/>
          </w:rPr>
          <w:tab/>
        </w:r>
        <w:r w:rsidR="006B08E2" w:rsidRPr="00F010F3">
          <w:rPr>
            <w:rStyle w:val="af"/>
            <w:noProof/>
          </w:rPr>
          <w:t>Видатки по податкові на прибуток</w:t>
        </w:r>
        <w:r w:rsidR="006B08E2">
          <w:rPr>
            <w:noProof/>
            <w:webHidden/>
          </w:rPr>
          <w:tab/>
        </w:r>
        <w:r w:rsidR="006B08E2">
          <w:rPr>
            <w:noProof/>
            <w:webHidden/>
          </w:rPr>
          <w:fldChar w:fldCharType="begin"/>
        </w:r>
        <w:r w:rsidR="006B08E2">
          <w:rPr>
            <w:noProof/>
            <w:webHidden/>
          </w:rPr>
          <w:instrText xml:space="preserve"> PAGEREF _Toc511835081 \h </w:instrText>
        </w:r>
        <w:r w:rsidR="006B08E2">
          <w:rPr>
            <w:noProof/>
            <w:webHidden/>
          </w:rPr>
        </w:r>
        <w:r w:rsidR="006B08E2">
          <w:rPr>
            <w:noProof/>
            <w:webHidden/>
          </w:rPr>
          <w:fldChar w:fldCharType="separate"/>
        </w:r>
        <w:r w:rsidR="0045261D">
          <w:rPr>
            <w:noProof/>
            <w:webHidden/>
          </w:rPr>
          <w:t>33</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82" w:history="1">
        <w:r w:rsidR="006B08E2" w:rsidRPr="00F010F3">
          <w:rPr>
            <w:rStyle w:val="af"/>
            <w:noProof/>
          </w:rPr>
          <w:t>24.</w:t>
        </w:r>
        <w:r w:rsidR="006B08E2">
          <w:rPr>
            <w:rFonts w:asciiTheme="minorHAnsi" w:eastAsiaTheme="minorEastAsia" w:hAnsiTheme="minorHAnsi" w:cstheme="minorBidi"/>
            <w:noProof/>
            <w:sz w:val="22"/>
            <w:lang w:val="uk-UA" w:eastAsia="uk-UA"/>
          </w:rPr>
          <w:tab/>
        </w:r>
        <w:r w:rsidR="006B08E2" w:rsidRPr="00F010F3">
          <w:rPr>
            <w:rStyle w:val="af"/>
            <w:noProof/>
          </w:rPr>
          <w:t>Оренда</w:t>
        </w:r>
        <w:r w:rsidR="006B08E2">
          <w:rPr>
            <w:noProof/>
            <w:webHidden/>
          </w:rPr>
          <w:tab/>
        </w:r>
        <w:r w:rsidR="006B08E2">
          <w:rPr>
            <w:noProof/>
            <w:webHidden/>
          </w:rPr>
          <w:fldChar w:fldCharType="begin"/>
        </w:r>
        <w:r w:rsidR="006B08E2">
          <w:rPr>
            <w:noProof/>
            <w:webHidden/>
          </w:rPr>
          <w:instrText xml:space="preserve"> PAGEREF _Toc511835082 \h </w:instrText>
        </w:r>
        <w:r w:rsidR="006B08E2">
          <w:rPr>
            <w:noProof/>
            <w:webHidden/>
          </w:rPr>
        </w:r>
        <w:r w:rsidR="006B08E2">
          <w:rPr>
            <w:noProof/>
            <w:webHidden/>
          </w:rPr>
          <w:fldChar w:fldCharType="separate"/>
        </w:r>
        <w:r w:rsidR="0045261D">
          <w:rPr>
            <w:noProof/>
            <w:webHidden/>
          </w:rPr>
          <w:t>33</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83" w:history="1">
        <w:r w:rsidR="006B08E2" w:rsidRPr="00F010F3">
          <w:rPr>
            <w:rStyle w:val="af"/>
            <w:noProof/>
          </w:rPr>
          <w:t>25.</w:t>
        </w:r>
        <w:r w:rsidR="006B08E2">
          <w:rPr>
            <w:rFonts w:asciiTheme="minorHAnsi" w:eastAsiaTheme="minorEastAsia" w:hAnsiTheme="minorHAnsi" w:cstheme="minorBidi"/>
            <w:noProof/>
            <w:sz w:val="22"/>
            <w:lang w:val="uk-UA" w:eastAsia="uk-UA"/>
          </w:rPr>
          <w:tab/>
        </w:r>
        <w:r w:rsidR="006B08E2" w:rsidRPr="00F010F3">
          <w:rPr>
            <w:rStyle w:val="af"/>
            <w:noProof/>
          </w:rPr>
          <w:t>Відстрочені податкові активи й зобов'язання</w:t>
        </w:r>
        <w:r w:rsidR="006B08E2">
          <w:rPr>
            <w:noProof/>
            <w:webHidden/>
          </w:rPr>
          <w:tab/>
        </w:r>
        <w:r w:rsidR="006B08E2">
          <w:rPr>
            <w:noProof/>
            <w:webHidden/>
          </w:rPr>
          <w:fldChar w:fldCharType="begin"/>
        </w:r>
        <w:r w:rsidR="006B08E2">
          <w:rPr>
            <w:noProof/>
            <w:webHidden/>
          </w:rPr>
          <w:instrText xml:space="preserve"> PAGEREF _Toc511835083 \h </w:instrText>
        </w:r>
        <w:r w:rsidR="006B08E2">
          <w:rPr>
            <w:noProof/>
            <w:webHidden/>
          </w:rPr>
        </w:r>
        <w:r w:rsidR="006B08E2">
          <w:rPr>
            <w:noProof/>
            <w:webHidden/>
          </w:rPr>
          <w:fldChar w:fldCharType="separate"/>
        </w:r>
        <w:r w:rsidR="0045261D">
          <w:rPr>
            <w:noProof/>
            <w:webHidden/>
          </w:rPr>
          <w:t>33</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84" w:history="1">
        <w:r w:rsidR="006B08E2" w:rsidRPr="00F010F3">
          <w:rPr>
            <w:rStyle w:val="af"/>
            <w:noProof/>
          </w:rPr>
          <w:t>26.</w:t>
        </w:r>
        <w:r w:rsidR="006B08E2">
          <w:rPr>
            <w:rFonts w:asciiTheme="minorHAnsi" w:eastAsiaTheme="minorEastAsia" w:hAnsiTheme="minorHAnsi" w:cstheme="minorBidi"/>
            <w:noProof/>
            <w:sz w:val="22"/>
            <w:lang w:val="uk-UA" w:eastAsia="uk-UA"/>
          </w:rPr>
          <w:tab/>
        </w:r>
        <w:r w:rsidR="006B08E2" w:rsidRPr="00F010F3">
          <w:rPr>
            <w:rStyle w:val="af"/>
            <w:noProof/>
          </w:rPr>
          <w:t>Пов'язані сторони</w:t>
        </w:r>
        <w:r w:rsidR="006B08E2">
          <w:rPr>
            <w:noProof/>
            <w:webHidden/>
          </w:rPr>
          <w:tab/>
        </w:r>
        <w:r w:rsidR="006B08E2">
          <w:rPr>
            <w:noProof/>
            <w:webHidden/>
          </w:rPr>
          <w:fldChar w:fldCharType="begin"/>
        </w:r>
        <w:r w:rsidR="006B08E2">
          <w:rPr>
            <w:noProof/>
            <w:webHidden/>
          </w:rPr>
          <w:instrText xml:space="preserve"> PAGEREF _Toc511835084 \h </w:instrText>
        </w:r>
        <w:r w:rsidR="006B08E2">
          <w:rPr>
            <w:noProof/>
            <w:webHidden/>
          </w:rPr>
        </w:r>
        <w:r w:rsidR="006B08E2">
          <w:rPr>
            <w:noProof/>
            <w:webHidden/>
          </w:rPr>
          <w:fldChar w:fldCharType="separate"/>
        </w:r>
        <w:r w:rsidR="0045261D">
          <w:rPr>
            <w:noProof/>
            <w:webHidden/>
          </w:rPr>
          <w:t>34</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85" w:history="1">
        <w:r w:rsidR="006B08E2" w:rsidRPr="00F010F3">
          <w:rPr>
            <w:rStyle w:val="af"/>
            <w:noProof/>
          </w:rPr>
          <w:t>27.</w:t>
        </w:r>
        <w:r w:rsidR="006B08E2">
          <w:rPr>
            <w:rFonts w:asciiTheme="minorHAnsi" w:eastAsiaTheme="minorEastAsia" w:hAnsiTheme="minorHAnsi" w:cstheme="minorBidi"/>
            <w:noProof/>
            <w:sz w:val="22"/>
            <w:lang w:val="uk-UA" w:eastAsia="uk-UA"/>
          </w:rPr>
          <w:tab/>
        </w:r>
        <w:r w:rsidR="006B08E2" w:rsidRPr="00F010F3">
          <w:rPr>
            <w:rStyle w:val="af"/>
            <w:noProof/>
          </w:rPr>
          <w:t>Забезпечення виплат персоналу</w:t>
        </w:r>
        <w:r w:rsidR="006B08E2">
          <w:rPr>
            <w:noProof/>
            <w:webHidden/>
          </w:rPr>
          <w:tab/>
        </w:r>
        <w:r w:rsidR="006B08E2">
          <w:rPr>
            <w:noProof/>
            <w:webHidden/>
          </w:rPr>
          <w:fldChar w:fldCharType="begin"/>
        </w:r>
        <w:r w:rsidR="006B08E2">
          <w:rPr>
            <w:noProof/>
            <w:webHidden/>
          </w:rPr>
          <w:instrText xml:space="preserve"> PAGEREF _Toc511835085 \h </w:instrText>
        </w:r>
        <w:r w:rsidR="006B08E2">
          <w:rPr>
            <w:noProof/>
            <w:webHidden/>
          </w:rPr>
        </w:r>
        <w:r w:rsidR="006B08E2">
          <w:rPr>
            <w:noProof/>
            <w:webHidden/>
          </w:rPr>
          <w:fldChar w:fldCharType="separate"/>
        </w:r>
        <w:r w:rsidR="0045261D">
          <w:rPr>
            <w:noProof/>
            <w:webHidden/>
          </w:rPr>
          <w:t>35</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86" w:history="1">
        <w:r w:rsidR="006B08E2" w:rsidRPr="00F010F3">
          <w:rPr>
            <w:rStyle w:val="af"/>
            <w:noProof/>
          </w:rPr>
          <w:t>28.</w:t>
        </w:r>
        <w:r w:rsidR="006B08E2">
          <w:rPr>
            <w:rFonts w:asciiTheme="minorHAnsi" w:eastAsiaTheme="minorEastAsia" w:hAnsiTheme="minorHAnsi" w:cstheme="minorBidi"/>
            <w:noProof/>
            <w:sz w:val="22"/>
            <w:lang w:val="uk-UA" w:eastAsia="uk-UA"/>
          </w:rPr>
          <w:tab/>
        </w:r>
        <w:r w:rsidR="006B08E2" w:rsidRPr="00F010F3">
          <w:rPr>
            <w:rStyle w:val="af"/>
            <w:noProof/>
          </w:rPr>
          <w:t>Податкова система</w:t>
        </w:r>
        <w:r w:rsidR="006B08E2">
          <w:rPr>
            <w:noProof/>
            <w:webHidden/>
          </w:rPr>
          <w:tab/>
        </w:r>
        <w:r w:rsidR="006B08E2">
          <w:rPr>
            <w:noProof/>
            <w:webHidden/>
          </w:rPr>
          <w:fldChar w:fldCharType="begin"/>
        </w:r>
        <w:r w:rsidR="006B08E2">
          <w:rPr>
            <w:noProof/>
            <w:webHidden/>
          </w:rPr>
          <w:instrText xml:space="preserve"> PAGEREF _Toc511835086 \h </w:instrText>
        </w:r>
        <w:r w:rsidR="006B08E2">
          <w:rPr>
            <w:noProof/>
            <w:webHidden/>
          </w:rPr>
        </w:r>
        <w:r w:rsidR="006B08E2">
          <w:rPr>
            <w:noProof/>
            <w:webHidden/>
          </w:rPr>
          <w:fldChar w:fldCharType="separate"/>
        </w:r>
        <w:r w:rsidR="0045261D">
          <w:rPr>
            <w:noProof/>
            <w:webHidden/>
          </w:rPr>
          <w:t>35</w:t>
        </w:r>
        <w:r w:rsidR="006B08E2">
          <w:rPr>
            <w:noProof/>
            <w:webHidden/>
          </w:rPr>
          <w:fldChar w:fldCharType="end"/>
        </w:r>
      </w:hyperlink>
    </w:p>
    <w:p w:rsidR="006B08E2" w:rsidRDefault="00C407A0">
      <w:pPr>
        <w:pStyle w:val="24"/>
        <w:tabs>
          <w:tab w:val="left" w:pos="660"/>
          <w:tab w:val="right" w:leader="dot" w:pos="9771"/>
        </w:tabs>
        <w:rPr>
          <w:rFonts w:asciiTheme="minorHAnsi" w:eastAsiaTheme="minorEastAsia" w:hAnsiTheme="minorHAnsi" w:cstheme="minorBidi"/>
          <w:noProof/>
          <w:sz w:val="22"/>
          <w:lang w:val="uk-UA" w:eastAsia="uk-UA"/>
        </w:rPr>
      </w:pPr>
      <w:hyperlink w:anchor="_Toc511835087" w:history="1">
        <w:r w:rsidR="006B08E2" w:rsidRPr="00F010F3">
          <w:rPr>
            <w:rStyle w:val="af"/>
            <w:noProof/>
          </w:rPr>
          <w:t>29.</w:t>
        </w:r>
        <w:r w:rsidR="006B08E2">
          <w:rPr>
            <w:rFonts w:asciiTheme="minorHAnsi" w:eastAsiaTheme="minorEastAsia" w:hAnsiTheme="minorHAnsi" w:cstheme="minorBidi"/>
            <w:noProof/>
            <w:sz w:val="22"/>
            <w:lang w:val="uk-UA" w:eastAsia="uk-UA"/>
          </w:rPr>
          <w:tab/>
        </w:r>
        <w:r w:rsidR="006B08E2" w:rsidRPr="00F010F3">
          <w:rPr>
            <w:rStyle w:val="af"/>
            <w:noProof/>
          </w:rPr>
          <w:t>Події після звітної дати</w:t>
        </w:r>
        <w:r w:rsidR="006B08E2">
          <w:rPr>
            <w:noProof/>
            <w:webHidden/>
          </w:rPr>
          <w:tab/>
        </w:r>
        <w:r w:rsidR="006B08E2">
          <w:rPr>
            <w:noProof/>
            <w:webHidden/>
          </w:rPr>
          <w:fldChar w:fldCharType="begin"/>
        </w:r>
        <w:r w:rsidR="006B08E2">
          <w:rPr>
            <w:noProof/>
            <w:webHidden/>
          </w:rPr>
          <w:instrText xml:space="preserve"> PAGEREF _Toc511835087 \h </w:instrText>
        </w:r>
        <w:r w:rsidR="006B08E2">
          <w:rPr>
            <w:noProof/>
            <w:webHidden/>
          </w:rPr>
        </w:r>
        <w:r w:rsidR="006B08E2">
          <w:rPr>
            <w:noProof/>
            <w:webHidden/>
          </w:rPr>
          <w:fldChar w:fldCharType="separate"/>
        </w:r>
        <w:r w:rsidR="0045261D">
          <w:rPr>
            <w:noProof/>
            <w:webHidden/>
          </w:rPr>
          <w:t>35</w:t>
        </w:r>
        <w:r w:rsidR="006B08E2">
          <w:rPr>
            <w:noProof/>
            <w:webHidden/>
          </w:rPr>
          <w:fldChar w:fldCharType="end"/>
        </w:r>
      </w:hyperlink>
    </w:p>
    <w:p w:rsidR="00DB1356" w:rsidRPr="0018493C" w:rsidRDefault="00EE0FB0" w:rsidP="0000323F">
      <w:pPr>
        <w:spacing w:before="0" w:after="120" w:line="240" w:lineRule="auto"/>
        <w:ind w:firstLine="0"/>
        <w:jc w:val="left"/>
        <w:rPr>
          <w:color w:val="auto"/>
          <w:sz w:val="20"/>
          <w:lang w:val="uk-UA"/>
        </w:rPr>
        <w:sectPr w:rsidR="00DB1356" w:rsidRPr="0018493C" w:rsidSect="005C14DF">
          <w:headerReference w:type="default" r:id="rId11"/>
          <w:footerReference w:type="default" r:id="rId12"/>
          <w:pgSz w:w="11906" w:h="16838" w:code="9"/>
          <w:pgMar w:top="1701" w:right="991" w:bottom="1134" w:left="1134" w:header="567" w:footer="567" w:gutter="0"/>
          <w:cols w:space="708"/>
          <w:docGrid w:linePitch="360"/>
        </w:sectPr>
      </w:pPr>
      <w:r w:rsidRPr="0018493C">
        <w:rPr>
          <w:color w:val="auto"/>
          <w:sz w:val="20"/>
          <w:lang w:val="uk-UA"/>
        </w:rPr>
        <w:fldChar w:fldCharType="end"/>
      </w:r>
    </w:p>
    <w:p w:rsidR="0095684B" w:rsidRPr="0018493C" w:rsidRDefault="0095684B" w:rsidP="0000323F">
      <w:pPr>
        <w:pStyle w:val="1"/>
        <w:rPr>
          <w:color w:val="auto"/>
        </w:rPr>
      </w:pPr>
      <w:bookmarkStart w:id="2" w:name="_Toc381196653"/>
      <w:bookmarkStart w:id="3" w:name="_Toc475614602"/>
      <w:bookmarkStart w:id="4" w:name="_Toc511835052"/>
      <w:bookmarkEnd w:id="0"/>
      <w:bookmarkEnd w:id="1"/>
      <w:bookmarkEnd w:id="2"/>
      <w:r w:rsidRPr="0018493C">
        <w:rPr>
          <w:color w:val="auto"/>
        </w:rPr>
        <w:lastRenderedPageBreak/>
        <w:t>ПРИМІТКИ ДО ФІНАНСОВОЇ ЗВІТНОСТІ</w:t>
      </w:r>
      <w:bookmarkEnd w:id="3"/>
      <w:bookmarkEnd w:id="4"/>
    </w:p>
    <w:p w:rsidR="0095684B" w:rsidRPr="0018493C" w:rsidRDefault="0095684B" w:rsidP="0000323F">
      <w:pPr>
        <w:pStyle w:val="2"/>
      </w:pPr>
      <w:bookmarkStart w:id="5" w:name="_Toc475614603"/>
      <w:bookmarkStart w:id="6" w:name="_Toc511835053"/>
      <w:r w:rsidRPr="0018493C">
        <w:t xml:space="preserve">Інформація про </w:t>
      </w:r>
      <w:bookmarkEnd w:id="5"/>
      <w:r w:rsidR="0052516F" w:rsidRPr="0018493C">
        <w:t>Товариство</w:t>
      </w:r>
      <w:bookmarkEnd w:id="6"/>
    </w:p>
    <w:p w:rsidR="000A4036" w:rsidRPr="0018493C" w:rsidRDefault="000A4036" w:rsidP="0000323F">
      <w:pPr>
        <w:spacing w:before="0" w:after="120" w:line="240" w:lineRule="auto"/>
        <w:ind w:firstLine="0"/>
        <w:rPr>
          <w:color w:val="auto"/>
          <w:sz w:val="20"/>
          <w:lang w:val="uk-UA"/>
        </w:rPr>
      </w:pPr>
      <w:r w:rsidRPr="0018493C">
        <w:rPr>
          <w:color w:val="auto"/>
          <w:sz w:val="20"/>
          <w:lang w:val="uk-UA"/>
        </w:rPr>
        <w:t xml:space="preserve">Випуск фінансової звітності </w:t>
      </w:r>
      <w:r w:rsidR="0003236D" w:rsidRPr="0018493C">
        <w:rPr>
          <w:color w:val="auto"/>
          <w:sz w:val="20"/>
          <w:lang w:val="uk-UA"/>
        </w:rPr>
        <w:t>ТОВ «СМАРТФІНАНС»</w:t>
      </w:r>
      <w:r w:rsidRPr="0018493C">
        <w:rPr>
          <w:color w:val="auto"/>
          <w:sz w:val="20"/>
          <w:lang w:val="uk-UA"/>
        </w:rPr>
        <w:t xml:space="preserve"> (далі по тексту – </w:t>
      </w:r>
      <w:r w:rsidR="0003236D" w:rsidRPr="0018493C">
        <w:rPr>
          <w:color w:val="auto"/>
          <w:sz w:val="20"/>
          <w:lang w:val="uk-UA"/>
        </w:rPr>
        <w:t>Товариство</w:t>
      </w:r>
      <w:r w:rsidRPr="0018493C">
        <w:rPr>
          <w:color w:val="auto"/>
          <w:sz w:val="20"/>
          <w:lang w:val="uk-UA"/>
        </w:rPr>
        <w:t>) за рік, що закінчився 31 грудня 201</w:t>
      </w:r>
      <w:r w:rsidR="00FD349A">
        <w:rPr>
          <w:color w:val="auto"/>
          <w:sz w:val="20"/>
          <w:lang w:val="uk-UA"/>
        </w:rPr>
        <w:t>7</w:t>
      </w:r>
      <w:r w:rsidRPr="0018493C">
        <w:rPr>
          <w:color w:val="auto"/>
          <w:sz w:val="20"/>
          <w:lang w:val="uk-UA"/>
        </w:rPr>
        <w:t xml:space="preserve"> року погоджено керівництвом </w:t>
      </w:r>
      <w:r w:rsidRPr="001C3467">
        <w:rPr>
          <w:color w:val="auto"/>
          <w:sz w:val="20"/>
          <w:lang w:val="uk-UA"/>
        </w:rPr>
        <w:t>2</w:t>
      </w:r>
      <w:r w:rsidR="001C3467" w:rsidRPr="001C3467">
        <w:rPr>
          <w:color w:val="auto"/>
          <w:sz w:val="20"/>
          <w:lang w:val="uk-UA"/>
        </w:rPr>
        <w:t>3.03.2</w:t>
      </w:r>
      <w:r w:rsidRPr="001C3467">
        <w:rPr>
          <w:color w:val="auto"/>
          <w:sz w:val="20"/>
          <w:lang w:val="uk-UA"/>
        </w:rPr>
        <w:t>01</w:t>
      </w:r>
      <w:r w:rsidR="00BC538B" w:rsidRPr="001C3467">
        <w:rPr>
          <w:color w:val="auto"/>
          <w:sz w:val="20"/>
          <w:lang w:val="uk-UA"/>
        </w:rPr>
        <w:t>8</w:t>
      </w:r>
      <w:r w:rsidRPr="001C3467">
        <w:rPr>
          <w:color w:val="auto"/>
          <w:sz w:val="20"/>
          <w:lang w:val="uk-UA"/>
        </w:rPr>
        <w:t xml:space="preserve"> року.</w:t>
      </w:r>
    </w:p>
    <w:p w:rsidR="0003236D" w:rsidRPr="0018493C" w:rsidRDefault="0003236D" w:rsidP="0003236D">
      <w:pPr>
        <w:ind w:firstLine="0"/>
        <w:rPr>
          <w:color w:val="auto"/>
          <w:sz w:val="20"/>
        </w:rPr>
      </w:pPr>
      <w:r w:rsidRPr="001C3467">
        <w:rPr>
          <w:color w:val="auto"/>
          <w:sz w:val="20"/>
          <w:lang w:val="uk-UA"/>
        </w:rPr>
        <w:t>Товариство є зареєстрованим товариством з обмеженою відповідальністю, що провадить свою діяльність в Україні. Основна діяльніст</w:t>
      </w:r>
      <w:r w:rsidRPr="0018493C">
        <w:rPr>
          <w:color w:val="auto"/>
          <w:sz w:val="20"/>
        </w:rPr>
        <w:t xml:space="preserve">ь Товариства — професійна діяльність на ринку фінансових послуг. </w:t>
      </w:r>
    </w:p>
    <w:p w:rsidR="0003236D" w:rsidRPr="0018493C" w:rsidRDefault="0003236D" w:rsidP="0003236D">
      <w:pPr>
        <w:ind w:firstLine="0"/>
        <w:rPr>
          <w:color w:val="auto"/>
          <w:sz w:val="20"/>
        </w:rPr>
      </w:pPr>
      <w:r w:rsidRPr="0018493C">
        <w:rPr>
          <w:color w:val="auto"/>
          <w:sz w:val="20"/>
        </w:rPr>
        <w:t xml:space="preserve">Фінансові послуги за звітний період Товариством не надавалися. </w:t>
      </w:r>
    </w:p>
    <w:p w:rsidR="0003236D" w:rsidRPr="0018493C" w:rsidRDefault="0003236D" w:rsidP="0003236D">
      <w:pPr>
        <w:ind w:firstLine="0"/>
        <w:rPr>
          <w:color w:val="auto"/>
          <w:sz w:val="20"/>
        </w:rPr>
      </w:pPr>
      <w:r w:rsidRPr="0018493C">
        <w:rPr>
          <w:color w:val="auto"/>
          <w:sz w:val="20"/>
        </w:rPr>
        <w:t>Юридична адреса Товариства: 01021, місто Київ, Кловський Узвіз, будинок 10.</w:t>
      </w:r>
    </w:p>
    <w:p w:rsidR="0003236D" w:rsidRPr="0018493C" w:rsidRDefault="0003236D" w:rsidP="0003236D">
      <w:pPr>
        <w:ind w:firstLine="0"/>
        <w:rPr>
          <w:color w:val="auto"/>
          <w:sz w:val="20"/>
        </w:rPr>
      </w:pPr>
      <w:r w:rsidRPr="0018493C">
        <w:rPr>
          <w:color w:val="auto"/>
          <w:sz w:val="20"/>
        </w:rPr>
        <w:t>Форма власності – приватна.</w:t>
      </w:r>
    </w:p>
    <w:p w:rsidR="0003236D" w:rsidRPr="0018493C" w:rsidRDefault="0003236D" w:rsidP="0003236D">
      <w:pPr>
        <w:ind w:firstLine="0"/>
        <w:rPr>
          <w:color w:val="auto"/>
          <w:sz w:val="20"/>
        </w:rPr>
      </w:pPr>
      <w:r w:rsidRPr="0018493C">
        <w:rPr>
          <w:color w:val="auto"/>
          <w:sz w:val="20"/>
        </w:rPr>
        <w:t>Валютою звітності є гривня. Звітність подано в тисячах гривень без десяткових знакі</w:t>
      </w:r>
      <w:proofErr w:type="gramStart"/>
      <w:r w:rsidRPr="0018493C">
        <w:rPr>
          <w:color w:val="auto"/>
          <w:sz w:val="20"/>
        </w:rPr>
        <w:t>в</w:t>
      </w:r>
      <w:proofErr w:type="gramEnd"/>
      <w:r w:rsidRPr="0018493C">
        <w:rPr>
          <w:color w:val="auto"/>
          <w:sz w:val="20"/>
        </w:rPr>
        <w:t>.</w:t>
      </w:r>
    </w:p>
    <w:p w:rsidR="0003236D" w:rsidRPr="0018493C" w:rsidRDefault="0003236D" w:rsidP="0003236D">
      <w:pPr>
        <w:ind w:firstLine="0"/>
        <w:rPr>
          <w:color w:val="auto"/>
          <w:sz w:val="20"/>
        </w:rPr>
      </w:pPr>
      <w:r w:rsidRPr="0018493C">
        <w:rPr>
          <w:color w:val="auto"/>
          <w:sz w:val="20"/>
        </w:rPr>
        <w:t>Кількість працівникі</w:t>
      </w:r>
      <w:proofErr w:type="gramStart"/>
      <w:r w:rsidRPr="0018493C">
        <w:rPr>
          <w:color w:val="auto"/>
          <w:sz w:val="20"/>
        </w:rPr>
        <w:t>в</w:t>
      </w:r>
      <w:proofErr w:type="gramEnd"/>
      <w:r w:rsidRPr="0018493C">
        <w:rPr>
          <w:color w:val="auto"/>
          <w:sz w:val="20"/>
        </w:rPr>
        <w:t xml:space="preserve"> </w:t>
      </w:r>
      <w:proofErr w:type="gramStart"/>
      <w:r w:rsidRPr="0018493C">
        <w:rPr>
          <w:color w:val="auto"/>
          <w:sz w:val="20"/>
        </w:rPr>
        <w:t>станом</w:t>
      </w:r>
      <w:proofErr w:type="gramEnd"/>
      <w:r w:rsidRPr="0018493C">
        <w:rPr>
          <w:color w:val="auto"/>
          <w:sz w:val="20"/>
        </w:rPr>
        <w:t xml:space="preserve"> на 31 грудня 201</w:t>
      </w:r>
      <w:r w:rsidR="00FD349A">
        <w:rPr>
          <w:color w:val="auto"/>
          <w:sz w:val="20"/>
          <w:lang w:val="uk-UA"/>
        </w:rPr>
        <w:t>7</w:t>
      </w:r>
      <w:r w:rsidRPr="0018493C">
        <w:rPr>
          <w:color w:val="auto"/>
          <w:sz w:val="20"/>
        </w:rPr>
        <w:t xml:space="preserve"> р. складала 1</w:t>
      </w:r>
      <w:r w:rsidR="00FD349A">
        <w:rPr>
          <w:color w:val="auto"/>
          <w:sz w:val="20"/>
          <w:lang w:val="uk-UA"/>
        </w:rPr>
        <w:t>1</w:t>
      </w:r>
      <w:r w:rsidRPr="0018493C">
        <w:rPr>
          <w:color w:val="auto"/>
          <w:sz w:val="20"/>
        </w:rPr>
        <w:t xml:space="preserve"> осіб.</w:t>
      </w:r>
    </w:p>
    <w:p w:rsidR="0003236D" w:rsidRPr="0018493C" w:rsidRDefault="00FD349A" w:rsidP="0003236D">
      <w:pPr>
        <w:ind w:firstLine="0"/>
        <w:contextualSpacing/>
        <w:rPr>
          <w:color w:val="auto"/>
          <w:sz w:val="20"/>
        </w:rPr>
      </w:pPr>
      <w:r>
        <w:rPr>
          <w:color w:val="auto"/>
          <w:sz w:val="20"/>
          <w:lang w:val="uk-UA"/>
        </w:rPr>
        <w:t xml:space="preserve">В </w:t>
      </w:r>
      <w:r w:rsidR="0003236D" w:rsidRPr="0018493C">
        <w:rPr>
          <w:color w:val="auto"/>
          <w:sz w:val="20"/>
        </w:rPr>
        <w:t>2016 року Товариство придбало 99,9828% акцій ПрАТ «СТРАХОВА ТОВАРИСТВО «ДОВІРА ТА ГАРАНТІЯ» (код ЄДРПОУ 34240804), внаслідок чого Товариство стало материнською компанією по відношенню до ПрАТ «Страхова компанія «Довіра та Гарантія».</w:t>
      </w:r>
    </w:p>
    <w:p w:rsidR="0003236D" w:rsidRPr="0018493C" w:rsidRDefault="0003236D" w:rsidP="0003236D">
      <w:pPr>
        <w:ind w:firstLine="0"/>
        <w:contextualSpacing/>
        <w:rPr>
          <w:color w:val="auto"/>
          <w:sz w:val="20"/>
        </w:rPr>
      </w:pPr>
      <w:r w:rsidRPr="0018493C">
        <w:rPr>
          <w:color w:val="auto"/>
          <w:sz w:val="20"/>
        </w:rPr>
        <w:t xml:space="preserve">Відповідно до вимог МСФЗ 10  «Консолідована фінансова звітність» Товариство </w:t>
      </w:r>
      <w:r w:rsidR="00FD349A">
        <w:rPr>
          <w:color w:val="auto"/>
          <w:sz w:val="20"/>
          <w:lang w:val="uk-UA"/>
        </w:rPr>
        <w:t xml:space="preserve">з 2016 року </w:t>
      </w:r>
      <w:r w:rsidRPr="0018493C">
        <w:rPr>
          <w:color w:val="auto"/>
          <w:sz w:val="20"/>
        </w:rPr>
        <w:t>подає консолідовану фінансову звітність.</w:t>
      </w:r>
    </w:p>
    <w:p w:rsidR="0003236D" w:rsidRPr="0018493C" w:rsidRDefault="0003236D" w:rsidP="0003236D">
      <w:pPr>
        <w:contextualSpacing/>
        <w:rPr>
          <w:color w:val="auto"/>
          <w:sz w:val="20"/>
        </w:rPr>
      </w:pPr>
    </w:p>
    <w:p w:rsidR="0003236D" w:rsidRPr="00B05AA6" w:rsidRDefault="0003236D" w:rsidP="0003236D">
      <w:pPr>
        <w:ind w:firstLine="0"/>
        <w:contextualSpacing/>
        <w:rPr>
          <w:color w:val="auto"/>
          <w:sz w:val="20"/>
          <w:lang w:val="uk-UA"/>
        </w:rPr>
      </w:pPr>
      <w:r w:rsidRPr="0018493C">
        <w:rPr>
          <w:color w:val="auto"/>
          <w:sz w:val="20"/>
        </w:rPr>
        <w:t xml:space="preserve">Дочірньою компанією Товариства є Приватне акціонерне товариство «Страхова Компанія «Довіра та Гарантія», що здійснює </w:t>
      </w:r>
      <w:proofErr w:type="gramStart"/>
      <w:r w:rsidRPr="0018493C">
        <w:rPr>
          <w:color w:val="auto"/>
          <w:sz w:val="20"/>
        </w:rPr>
        <w:t>свою</w:t>
      </w:r>
      <w:proofErr w:type="gramEnd"/>
      <w:r w:rsidRPr="0018493C">
        <w:rPr>
          <w:color w:val="auto"/>
          <w:sz w:val="20"/>
        </w:rPr>
        <w:t xml:space="preserve"> діяльність на території  України. Товариство була заснована 22 березня 2006 р. У 2010 році Товариство змінила свою організаційно – правову форму з ЗАТ (Закрите Акціонерне Товариство) на ПрАТ (Приватне Акціонерне Товариство). Головний офіс Товариства знаходиться за адресою: України, м. Київ, вул. </w:t>
      </w:r>
      <w:r w:rsidR="00B05AA6">
        <w:rPr>
          <w:color w:val="auto"/>
          <w:sz w:val="20"/>
          <w:lang w:val="uk-UA"/>
        </w:rPr>
        <w:t>Спаська,5, оф.10.</w:t>
      </w:r>
    </w:p>
    <w:p w:rsidR="0003236D" w:rsidRPr="00B76FFE" w:rsidRDefault="0003236D" w:rsidP="0003236D">
      <w:pPr>
        <w:ind w:firstLine="0"/>
        <w:contextualSpacing/>
        <w:rPr>
          <w:color w:val="auto"/>
          <w:sz w:val="20"/>
          <w:lang w:val="uk-UA"/>
        </w:rPr>
      </w:pPr>
      <w:r w:rsidRPr="00B76FFE">
        <w:rPr>
          <w:color w:val="auto"/>
          <w:sz w:val="20"/>
          <w:lang w:val="uk-UA"/>
        </w:rPr>
        <w:t>ПрАТ «СК «Довіра та Гарантія» є універсальною ризиковою страховою компанією, яка має право проведення страхової й перестрахувальної діяльності відповідно до отриманих ліцензій.</w:t>
      </w:r>
    </w:p>
    <w:p w:rsidR="0003236D" w:rsidRPr="00B76FFE" w:rsidRDefault="0003236D" w:rsidP="0003236D">
      <w:pPr>
        <w:ind w:firstLine="0"/>
        <w:contextualSpacing/>
        <w:rPr>
          <w:color w:val="auto"/>
          <w:sz w:val="20"/>
          <w:lang w:val="uk-UA"/>
        </w:rPr>
      </w:pPr>
      <w:r w:rsidRPr="00B76FFE">
        <w:rPr>
          <w:color w:val="auto"/>
          <w:sz w:val="20"/>
          <w:lang w:val="uk-UA"/>
        </w:rPr>
        <w:t>ПрАТ «СК « Довіра та Гарантія» має ліцензії Державної комісії з регулювання ринків фінансових послуг України на здійснення 9 добровільних видів страхової діяльності:</w:t>
      </w:r>
    </w:p>
    <w:p w:rsidR="0003236D" w:rsidRPr="0018493C" w:rsidRDefault="0003236D" w:rsidP="0003236D">
      <w:pPr>
        <w:contextualSpacing/>
        <w:rPr>
          <w:color w:val="auto"/>
          <w:sz w:val="20"/>
        </w:rPr>
      </w:pPr>
      <w:r w:rsidRPr="0018493C">
        <w:rPr>
          <w:color w:val="auto"/>
          <w:sz w:val="20"/>
        </w:rPr>
        <w:t>-</w:t>
      </w:r>
      <w:r w:rsidRPr="0018493C">
        <w:rPr>
          <w:color w:val="auto"/>
          <w:sz w:val="20"/>
        </w:rPr>
        <w:tab/>
        <w:t>страхування кредиті</w:t>
      </w:r>
      <w:proofErr w:type="gramStart"/>
      <w:r w:rsidRPr="0018493C">
        <w:rPr>
          <w:color w:val="auto"/>
          <w:sz w:val="20"/>
        </w:rPr>
        <w:t>в</w:t>
      </w:r>
      <w:proofErr w:type="gramEnd"/>
      <w:r w:rsidRPr="0018493C">
        <w:rPr>
          <w:color w:val="auto"/>
          <w:sz w:val="20"/>
        </w:rPr>
        <w:t xml:space="preserve"> (у тому числі відповідальності позичальника за непогашення кредиту)</w:t>
      </w:r>
    </w:p>
    <w:p w:rsidR="0003236D" w:rsidRPr="0018493C" w:rsidRDefault="0003236D" w:rsidP="0003236D">
      <w:pPr>
        <w:contextualSpacing/>
        <w:rPr>
          <w:color w:val="auto"/>
          <w:sz w:val="20"/>
        </w:rPr>
      </w:pPr>
      <w:r w:rsidRPr="0018493C">
        <w:rPr>
          <w:color w:val="auto"/>
          <w:sz w:val="20"/>
        </w:rPr>
        <w:t>-</w:t>
      </w:r>
      <w:r w:rsidRPr="0018493C">
        <w:rPr>
          <w:color w:val="auto"/>
          <w:sz w:val="20"/>
        </w:rPr>
        <w:tab/>
        <w:t>страхування майна [</w:t>
      </w:r>
      <w:proofErr w:type="gramStart"/>
      <w:r w:rsidRPr="0018493C">
        <w:rPr>
          <w:color w:val="auto"/>
          <w:sz w:val="20"/>
        </w:rPr>
        <w:t>кр</w:t>
      </w:r>
      <w:proofErr w:type="gramEnd"/>
      <w:r w:rsidRPr="0018493C">
        <w:rPr>
          <w:color w:val="auto"/>
          <w:sz w:val="20"/>
        </w:rPr>
        <w:t>ім залізничного, наземного, повітряного, водного транспорту (морського внутрішнього та інших видів водного транспорту), вантажів та багажу (вантажобагажу)]</w:t>
      </w:r>
    </w:p>
    <w:p w:rsidR="0003236D" w:rsidRPr="0018493C" w:rsidRDefault="0003236D" w:rsidP="0003236D">
      <w:pPr>
        <w:contextualSpacing/>
        <w:rPr>
          <w:color w:val="auto"/>
          <w:sz w:val="20"/>
        </w:rPr>
      </w:pPr>
      <w:r w:rsidRPr="0018493C">
        <w:rPr>
          <w:color w:val="auto"/>
          <w:sz w:val="20"/>
        </w:rPr>
        <w:t>-</w:t>
      </w:r>
      <w:r w:rsidRPr="0018493C">
        <w:rPr>
          <w:color w:val="auto"/>
          <w:sz w:val="20"/>
        </w:rPr>
        <w:tab/>
        <w:t>страхування фінансових ризиків</w:t>
      </w:r>
    </w:p>
    <w:p w:rsidR="0003236D" w:rsidRPr="0018493C" w:rsidRDefault="0003236D" w:rsidP="0003236D">
      <w:pPr>
        <w:contextualSpacing/>
        <w:rPr>
          <w:color w:val="auto"/>
          <w:sz w:val="20"/>
        </w:rPr>
      </w:pPr>
      <w:r w:rsidRPr="0018493C">
        <w:rPr>
          <w:color w:val="auto"/>
          <w:sz w:val="20"/>
        </w:rPr>
        <w:t>-</w:t>
      </w:r>
      <w:r w:rsidRPr="0018493C">
        <w:rPr>
          <w:color w:val="auto"/>
          <w:sz w:val="20"/>
        </w:rPr>
        <w:tab/>
        <w:t>страхування медичних витрат</w:t>
      </w:r>
    </w:p>
    <w:p w:rsidR="0003236D" w:rsidRPr="0018493C" w:rsidRDefault="0003236D" w:rsidP="0003236D">
      <w:pPr>
        <w:contextualSpacing/>
        <w:rPr>
          <w:color w:val="auto"/>
          <w:sz w:val="20"/>
        </w:rPr>
      </w:pPr>
      <w:r w:rsidRPr="0018493C">
        <w:rPr>
          <w:color w:val="auto"/>
          <w:sz w:val="20"/>
        </w:rPr>
        <w:t>-</w:t>
      </w:r>
      <w:r w:rsidRPr="0018493C">
        <w:rPr>
          <w:color w:val="auto"/>
          <w:sz w:val="20"/>
        </w:rPr>
        <w:tab/>
        <w:t>страхування від нещасних випадків</w:t>
      </w:r>
    </w:p>
    <w:p w:rsidR="0003236D" w:rsidRPr="0018493C" w:rsidRDefault="0003236D" w:rsidP="0003236D">
      <w:pPr>
        <w:contextualSpacing/>
        <w:rPr>
          <w:color w:val="auto"/>
          <w:sz w:val="20"/>
        </w:rPr>
      </w:pPr>
      <w:r w:rsidRPr="0018493C">
        <w:rPr>
          <w:color w:val="auto"/>
          <w:sz w:val="20"/>
        </w:rPr>
        <w:t>-</w:t>
      </w:r>
      <w:r w:rsidRPr="0018493C">
        <w:rPr>
          <w:color w:val="auto"/>
          <w:sz w:val="20"/>
        </w:rPr>
        <w:tab/>
        <w:t>страхування циві</w:t>
      </w:r>
      <w:proofErr w:type="gramStart"/>
      <w:r w:rsidRPr="0018493C">
        <w:rPr>
          <w:color w:val="auto"/>
          <w:sz w:val="20"/>
        </w:rPr>
        <w:t>льної в</w:t>
      </w:r>
      <w:proofErr w:type="gramEnd"/>
      <w:r w:rsidRPr="0018493C">
        <w:rPr>
          <w:color w:val="auto"/>
          <w:sz w:val="20"/>
        </w:rPr>
        <w:t>ідповідальності власників наземного транспорту (включаючи відповідальність перевізника)</w:t>
      </w:r>
    </w:p>
    <w:p w:rsidR="0003236D" w:rsidRPr="0018493C" w:rsidRDefault="0003236D" w:rsidP="0003236D">
      <w:pPr>
        <w:contextualSpacing/>
        <w:rPr>
          <w:color w:val="auto"/>
          <w:sz w:val="20"/>
        </w:rPr>
      </w:pPr>
      <w:r w:rsidRPr="0018493C">
        <w:rPr>
          <w:color w:val="auto"/>
          <w:sz w:val="20"/>
        </w:rPr>
        <w:t>-</w:t>
      </w:r>
      <w:r w:rsidRPr="0018493C">
        <w:rPr>
          <w:color w:val="auto"/>
          <w:sz w:val="20"/>
        </w:rPr>
        <w:tab/>
        <w:t>страхування здоров’я на випадок хвороби</w:t>
      </w:r>
    </w:p>
    <w:p w:rsidR="0003236D" w:rsidRPr="0018493C" w:rsidRDefault="0003236D" w:rsidP="0003236D">
      <w:pPr>
        <w:contextualSpacing/>
        <w:rPr>
          <w:color w:val="auto"/>
          <w:sz w:val="20"/>
        </w:rPr>
      </w:pPr>
      <w:r w:rsidRPr="0018493C">
        <w:rPr>
          <w:color w:val="auto"/>
          <w:sz w:val="20"/>
        </w:rPr>
        <w:t>-</w:t>
      </w:r>
      <w:r w:rsidRPr="0018493C">
        <w:rPr>
          <w:color w:val="auto"/>
          <w:sz w:val="20"/>
        </w:rPr>
        <w:tab/>
        <w:t>страхування наземного транспорту (</w:t>
      </w:r>
      <w:proofErr w:type="gramStart"/>
      <w:r w:rsidRPr="0018493C">
        <w:rPr>
          <w:color w:val="auto"/>
          <w:sz w:val="20"/>
        </w:rPr>
        <w:t>кр</w:t>
      </w:r>
      <w:proofErr w:type="gramEnd"/>
      <w:r w:rsidRPr="0018493C">
        <w:rPr>
          <w:color w:val="auto"/>
          <w:sz w:val="20"/>
        </w:rPr>
        <w:t>ім залізничного)</w:t>
      </w:r>
    </w:p>
    <w:p w:rsidR="0003236D" w:rsidRPr="0018493C" w:rsidRDefault="0003236D" w:rsidP="0003236D">
      <w:pPr>
        <w:contextualSpacing/>
        <w:rPr>
          <w:color w:val="auto"/>
          <w:sz w:val="20"/>
        </w:rPr>
      </w:pPr>
      <w:proofErr w:type="gramStart"/>
      <w:r w:rsidRPr="0018493C">
        <w:rPr>
          <w:color w:val="auto"/>
          <w:sz w:val="20"/>
        </w:rPr>
        <w:t>-</w:t>
      </w:r>
      <w:r w:rsidRPr="0018493C">
        <w:rPr>
          <w:color w:val="auto"/>
          <w:sz w:val="20"/>
        </w:rPr>
        <w:tab/>
        <w:t>страхування від вогневих ризиків та ризиків стихійних явищ,</w:t>
      </w:r>
      <w:proofErr w:type="gramEnd"/>
    </w:p>
    <w:p w:rsidR="0003236D" w:rsidRPr="0018493C" w:rsidRDefault="0003236D" w:rsidP="0003236D">
      <w:pPr>
        <w:ind w:firstLine="0"/>
        <w:contextualSpacing/>
        <w:rPr>
          <w:color w:val="auto"/>
          <w:sz w:val="20"/>
        </w:rPr>
      </w:pPr>
      <w:r w:rsidRPr="0018493C">
        <w:rPr>
          <w:color w:val="auto"/>
          <w:sz w:val="20"/>
        </w:rPr>
        <w:t>та 1 ліцензію Національної комісії, що здійснює державне регулювання у сфері ринків ринків фінансових послуг на  добровільне страхування:</w:t>
      </w:r>
    </w:p>
    <w:p w:rsidR="0003236D" w:rsidRPr="0018493C" w:rsidRDefault="0003236D" w:rsidP="0003236D">
      <w:pPr>
        <w:contextualSpacing/>
        <w:rPr>
          <w:color w:val="auto"/>
          <w:sz w:val="20"/>
        </w:rPr>
      </w:pPr>
      <w:r w:rsidRPr="0018493C">
        <w:rPr>
          <w:color w:val="auto"/>
          <w:sz w:val="20"/>
        </w:rPr>
        <w:t>- страхування відповідальності перед третіми особами (</w:t>
      </w:r>
      <w:proofErr w:type="gramStart"/>
      <w:r w:rsidRPr="0018493C">
        <w:rPr>
          <w:color w:val="auto"/>
          <w:sz w:val="20"/>
        </w:rPr>
        <w:t>кр</w:t>
      </w:r>
      <w:proofErr w:type="gramEnd"/>
      <w:r w:rsidRPr="0018493C">
        <w:rPr>
          <w:color w:val="auto"/>
          <w:sz w:val="20"/>
        </w:rPr>
        <w:t>ім цивільної відповідальності власників наземного транспорту, відповідальності власників повітряного транспорту, відповідальності власників водного транспорту (включаючи відповідальність перевізника).</w:t>
      </w:r>
    </w:p>
    <w:p w:rsidR="0003236D" w:rsidRPr="0018493C" w:rsidRDefault="0003236D" w:rsidP="0003236D">
      <w:pPr>
        <w:ind w:firstLine="0"/>
        <w:contextualSpacing/>
        <w:rPr>
          <w:color w:val="auto"/>
          <w:sz w:val="20"/>
        </w:rPr>
      </w:pPr>
      <w:r w:rsidRPr="0018493C">
        <w:rPr>
          <w:color w:val="auto"/>
          <w:sz w:val="20"/>
        </w:rPr>
        <w:t xml:space="preserve">Страхові продукти продаються </w:t>
      </w:r>
      <w:proofErr w:type="gramStart"/>
      <w:r w:rsidRPr="0018493C">
        <w:rPr>
          <w:color w:val="auto"/>
          <w:sz w:val="20"/>
        </w:rPr>
        <w:t>через</w:t>
      </w:r>
      <w:proofErr w:type="gramEnd"/>
      <w:r w:rsidRPr="0018493C">
        <w:rPr>
          <w:color w:val="auto"/>
          <w:sz w:val="20"/>
        </w:rPr>
        <w:t xml:space="preserve"> </w:t>
      </w:r>
      <w:proofErr w:type="gramStart"/>
      <w:r w:rsidRPr="0018493C">
        <w:rPr>
          <w:color w:val="auto"/>
          <w:sz w:val="20"/>
        </w:rPr>
        <w:t>мереж</w:t>
      </w:r>
      <w:proofErr w:type="gramEnd"/>
      <w:r w:rsidRPr="0018493C">
        <w:rPr>
          <w:color w:val="auto"/>
          <w:sz w:val="20"/>
        </w:rPr>
        <w:t>і страхових агентів – юридичних та фізичних осіб. Товариство не має своїх філій.</w:t>
      </w:r>
    </w:p>
    <w:p w:rsidR="0003236D" w:rsidRPr="0018493C" w:rsidRDefault="0003236D" w:rsidP="0003236D">
      <w:pPr>
        <w:ind w:firstLine="0"/>
        <w:contextualSpacing/>
        <w:rPr>
          <w:color w:val="auto"/>
          <w:sz w:val="20"/>
        </w:rPr>
      </w:pPr>
      <w:r w:rsidRPr="0018493C">
        <w:rPr>
          <w:color w:val="auto"/>
          <w:sz w:val="20"/>
        </w:rPr>
        <w:t>Станом на 31.12.201</w:t>
      </w:r>
      <w:r w:rsidR="00093389">
        <w:rPr>
          <w:color w:val="auto"/>
          <w:sz w:val="20"/>
          <w:lang w:val="uk-UA"/>
        </w:rPr>
        <w:t>7</w:t>
      </w:r>
      <w:r w:rsidRPr="0018493C">
        <w:rPr>
          <w:color w:val="auto"/>
          <w:sz w:val="20"/>
        </w:rPr>
        <w:t xml:space="preserve"> року структура учасників Товариства становила:</w:t>
      </w:r>
    </w:p>
    <w:p w:rsidR="0003236D" w:rsidRPr="0018493C" w:rsidRDefault="0003236D" w:rsidP="0003236D">
      <w:pPr>
        <w:contextualSpacing/>
        <w:rPr>
          <w:color w:val="auto"/>
          <w:szCs w:val="24"/>
        </w:rPr>
      </w:pPr>
    </w:p>
    <w:tbl>
      <w:tblPr>
        <w:tblW w:w="0" w:type="auto"/>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812"/>
        <w:gridCol w:w="1984"/>
        <w:gridCol w:w="1559"/>
      </w:tblGrid>
      <w:tr w:rsidR="0003236D" w:rsidRPr="0018493C" w:rsidTr="00B9356C">
        <w:trPr>
          <w:trHeight w:hRule="exact" w:val="986"/>
        </w:trPr>
        <w:tc>
          <w:tcPr>
            <w:tcW w:w="5812" w:type="dxa"/>
            <w:shd w:val="clear" w:color="auto" w:fill="FFFFFF"/>
          </w:tcPr>
          <w:p w:rsidR="0003236D" w:rsidRPr="0018493C" w:rsidRDefault="0003236D" w:rsidP="007019AD">
            <w:pPr>
              <w:ind w:firstLine="708"/>
              <w:rPr>
                <w:color w:val="auto"/>
                <w:sz w:val="20"/>
              </w:rPr>
            </w:pPr>
            <w:r w:rsidRPr="0018493C">
              <w:rPr>
                <w:color w:val="auto"/>
                <w:sz w:val="20"/>
              </w:rPr>
              <w:lastRenderedPageBreak/>
              <w:t>Учасники товариства:</w:t>
            </w:r>
          </w:p>
        </w:tc>
        <w:tc>
          <w:tcPr>
            <w:tcW w:w="1984" w:type="dxa"/>
            <w:shd w:val="clear" w:color="auto" w:fill="FFFFFF"/>
          </w:tcPr>
          <w:p w:rsidR="0003236D" w:rsidRPr="00093389" w:rsidRDefault="0003236D" w:rsidP="00093389">
            <w:pPr>
              <w:jc w:val="center"/>
              <w:rPr>
                <w:color w:val="auto"/>
                <w:sz w:val="20"/>
                <w:lang w:val="uk-UA"/>
              </w:rPr>
            </w:pPr>
            <w:r w:rsidRPr="0018493C">
              <w:rPr>
                <w:color w:val="auto"/>
                <w:sz w:val="20"/>
              </w:rPr>
              <w:t>31.12.201</w:t>
            </w:r>
            <w:r w:rsidR="00093389">
              <w:rPr>
                <w:color w:val="auto"/>
                <w:sz w:val="20"/>
                <w:lang w:val="uk-UA"/>
              </w:rPr>
              <w:t>7</w:t>
            </w:r>
          </w:p>
        </w:tc>
        <w:tc>
          <w:tcPr>
            <w:tcW w:w="1559" w:type="dxa"/>
            <w:shd w:val="clear" w:color="auto" w:fill="FFFFFF"/>
          </w:tcPr>
          <w:p w:rsidR="0003236D" w:rsidRPr="00093389" w:rsidRDefault="0003236D" w:rsidP="00093389">
            <w:pPr>
              <w:ind w:firstLine="0"/>
              <w:jc w:val="center"/>
              <w:rPr>
                <w:color w:val="auto"/>
                <w:sz w:val="20"/>
                <w:lang w:val="uk-UA"/>
              </w:rPr>
            </w:pPr>
            <w:r w:rsidRPr="0018493C">
              <w:rPr>
                <w:color w:val="auto"/>
                <w:sz w:val="20"/>
              </w:rPr>
              <w:t>31.12.201</w:t>
            </w:r>
            <w:r w:rsidR="00093389">
              <w:rPr>
                <w:color w:val="auto"/>
                <w:sz w:val="20"/>
                <w:lang w:val="uk-UA"/>
              </w:rPr>
              <w:t>6</w:t>
            </w:r>
          </w:p>
        </w:tc>
      </w:tr>
      <w:tr w:rsidR="0003236D" w:rsidRPr="0018493C" w:rsidTr="00B9356C">
        <w:trPr>
          <w:trHeight w:hRule="exact" w:val="702"/>
        </w:trPr>
        <w:tc>
          <w:tcPr>
            <w:tcW w:w="5812" w:type="dxa"/>
            <w:shd w:val="clear" w:color="auto" w:fill="FFFFFF"/>
          </w:tcPr>
          <w:p w:rsidR="0003236D" w:rsidRPr="0018493C" w:rsidRDefault="0003236D" w:rsidP="007019AD">
            <w:pPr>
              <w:ind w:firstLine="708"/>
              <w:rPr>
                <w:color w:val="auto"/>
                <w:sz w:val="20"/>
              </w:rPr>
            </w:pPr>
          </w:p>
        </w:tc>
        <w:tc>
          <w:tcPr>
            <w:tcW w:w="1984" w:type="dxa"/>
            <w:shd w:val="clear" w:color="auto" w:fill="FFFFFF"/>
          </w:tcPr>
          <w:p w:rsidR="0003236D" w:rsidRPr="0018493C" w:rsidRDefault="0003236D" w:rsidP="00B9356C">
            <w:pPr>
              <w:ind w:firstLine="708"/>
              <w:jc w:val="center"/>
              <w:rPr>
                <w:color w:val="auto"/>
                <w:sz w:val="20"/>
              </w:rPr>
            </w:pPr>
            <w:r w:rsidRPr="0018493C">
              <w:rPr>
                <w:color w:val="auto"/>
                <w:sz w:val="20"/>
              </w:rPr>
              <w:t>%</w:t>
            </w:r>
          </w:p>
        </w:tc>
        <w:tc>
          <w:tcPr>
            <w:tcW w:w="1559" w:type="dxa"/>
            <w:shd w:val="clear" w:color="auto" w:fill="FFFFFF"/>
          </w:tcPr>
          <w:p w:rsidR="0003236D" w:rsidRPr="0018493C" w:rsidRDefault="0003236D" w:rsidP="00B9356C">
            <w:pPr>
              <w:jc w:val="center"/>
              <w:rPr>
                <w:color w:val="auto"/>
                <w:sz w:val="20"/>
              </w:rPr>
            </w:pPr>
            <w:r w:rsidRPr="0018493C">
              <w:rPr>
                <w:color w:val="auto"/>
                <w:sz w:val="20"/>
              </w:rPr>
              <w:t>%</w:t>
            </w:r>
          </w:p>
        </w:tc>
      </w:tr>
      <w:tr w:rsidR="0003236D" w:rsidRPr="0018493C" w:rsidTr="00093389">
        <w:trPr>
          <w:trHeight w:hRule="exact" w:val="712"/>
        </w:trPr>
        <w:tc>
          <w:tcPr>
            <w:tcW w:w="5812" w:type="dxa"/>
            <w:shd w:val="clear" w:color="auto" w:fill="FFFFFF"/>
            <w:vAlign w:val="center"/>
          </w:tcPr>
          <w:p w:rsidR="0003236D" w:rsidRPr="0018493C" w:rsidRDefault="0003236D" w:rsidP="00093389">
            <w:pPr>
              <w:ind w:firstLine="0"/>
              <w:contextualSpacing/>
              <w:jc w:val="center"/>
              <w:rPr>
                <w:color w:val="auto"/>
                <w:sz w:val="20"/>
              </w:rPr>
            </w:pPr>
            <w:r w:rsidRPr="0018493C">
              <w:rPr>
                <w:color w:val="auto"/>
                <w:sz w:val="20"/>
              </w:rPr>
              <w:t>Товариство "БЕЙОНД СТАНДАРД ЛІМІТЕД"</w:t>
            </w:r>
          </w:p>
        </w:tc>
        <w:tc>
          <w:tcPr>
            <w:tcW w:w="1984" w:type="dxa"/>
            <w:shd w:val="clear" w:color="auto" w:fill="FFFFFF"/>
            <w:vAlign w:val="center"/>
          </w:tcPr>
          <w:p w:rsidR="0003236D" w:rsidRPr="0018493C" w:rsidRDefault="0003236D" w:rsidP="00093389">
            <w:pPr>
              <w:contextualSpacing/>
              <w:jc w:val="center"/>
              <w:rPr>
                <w:color w:val="auto"/>
                <w:sz w:val="20"/>
              </w:rPr>
            </w:pPr>
            <w:r w:rsidRPr="0018493C">
              <w:rPr>
                <w:color w:val="auto"/>
                <w:sz w:val="20"/>
              </w:rPr>
              <w:t>100,0</w:t>
            </w:r>
          </w:p>
        </w:tc>
        <w:tc>
          <w:tcPr>
            <w:tcW w:w="1559" w:type="dxa"/>
            <w:shd w:val="clear" w:color="auto" w:fill="FFFFFF"/>
            <w:vAlign w:val="center"/>
          </w:tcPr>
          <w:p w:rsidR="0003236D" w:rsidRPr="0018493C" w:rsidRDefault="0003236D" w:rsidP="00093389">
            <w:pPr>
              <w:ind w:firstLine="0"/>
              <w:jc w:val="center"/>
              <w:rPr>
                <w:color w:val="auto"/>
                <w:sz w:val="20"/>
              </w:rPr>
            </w:pPr>
            <w:r w:rsidRPr="0018493C">
              <w:rPr>
                <w:color w:val="auto"/>
                <w:sz w:val="20"/>
              </w:rPr>
              <w:t>100,0</w:t>
            </w:r>
          </w:p>
        </w:tc>
      </w:tr>
    </w:tbl>
    <w:p w:rsidR="00253A7E" w:rsidRPr="0018493C" w:rsidRDefault="00253A7E" w:rsidP="0000323F">
      <w:pPr>
        <w:spacing w:before="0" w:after="120" w:line="240" w:lineRule="auto"/>
        <w:ind w:firstLine="0"/>
        <w:rPr>
          <w:color w:val="auto"/>
          <w:sz w:val="20"/>
          <w:lang w:val="uk-UA"/>
        </w:rPr>
      </w:pPr>
    </w:p>
    <w:p w:rsidR="00253A7E" w:rsidRPr="0018493C" w:rsidRDefault="00253A7E" w:rsidP="0000323F">
      <w:pPr>
        <w:spacing w:before="0" w:after="120" w:line="240" w:lineRule="auto"/>
        <w:ind w:firstLine="0"/>
        <w:rPr>
          <w:color w:val="auto"/>
          <w:sz w:val="20"/>
          <w:lang w:val="uk-UA"/>
        </w:rPr>
      </w:pPr>
    </w:p>
    <w:p w:rsidR="0095684B" w:rsidRPr="0018493C" w:rsidRDefault="0095684B" w:rsidP="0000323F">
      <w:pPr>
        <w:pStyle w:val="2"/>
        <w:ind w:left="567" w:hanging="567"/>
      </w:pPr>
      <w:bookmarkStart w:id="7" w:name="_Toc475614604"/>
      <w:bookmarkStart w:id="8" w:name="_Toc511835054"/>
      <w:r w:rsidRPr="0018493C">
        <w:t xml:space="preserve">Економічне середовище, в умовах якого </w:t>
      </w:r>
      <w:r w:rsidR="0003236D" w:rsidRPr="0018493C">
        <w:t>Товариство</w:t>
      </w:r>
      <w:r w:rsidRPr="0018493C">
        <w:t xml:space="preserve"> здійснює свою діяльність</w:t>
      </w:r>
      <w:bookmarkEnd w:id="7"/>
      <w:bookmarkEnd w:id="8"/>
      <w:r w:rsidR="001F0596" w:rsidRPr="0018493C">
        <w:t xml:space="preserve"> </w:t>
      </w:r>
    </w:p>
    <w:p w:rsidR="0095684B" w:rsidRPr="0018493C" w:rsidRDefault="0095684B" w:rsidP="0000323F">
      <w:pPr>
        <w:spacing w:before="0" w:after="120" w:line="240" w:lineRule="auto"/>
        <w:ind w:firstLine="0"/>
        <w:rPr>
          <w:color w:val="auto"/>
          <w:sz w:val="20"/>
          <w:lang w:val="uk-UA"/>
        </w:rPr>
      </w:pPr>
      <w:r w:rsidRPr="0018493C">
        <w:rPr>
          <w:color w:val="auto"/>
          <w:sz w:val="20"/>
          <w:lang w:val="uk-UA"/>
        </w:rPr>
        <w:t xml:space="preserve">Світова економіка перебуває в зоні високих ризиків. Темпи її зростання уповільнюються третій рік поспіль.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 xml:space="preserve">Українська економіка  знаходиться в затяжній кризі, ускладненій військовим конфліктом на сході України та невизнаним відокремленням Автономної республіки Крим.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 xml:space="preserve">На думку керівництва Компанії, військовий конфлікт на Сході України та анексія Криму не матимуть прямого негативного впливу на операційну діяльність Компанії та оцінку його активів, оскільки Компанія не має відокремлених підрозділів, активів та заставного майна за активними операціями Компанії, що розташовані на зазначених територіях, але ці події впливають на ситуацію в Україні в цілому та на економічне середовище, в якому працює Компанія.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У 2017 році споживча інфляція в Україні становила 13.7%. Вищий, ніж очікувався, приріст споживчих цін відбувся передусім через дію чинників, вплив інструментів грошово-кредитної політики на які є обмеженим, а саме скорочення пропозиції окремих видів товарів, зростання світових цін та зовнішнього попиту на вітчизняні продукти харчування. Крім того, на зростанні цін позначилися збільшення виробничих витрат, зокрема на оплату праці, швидке відновлення споживчого попиту, а наприкінці року – посилення девальваційного тиску на гривню та суттєве пом’якшення фіскальної політики. Також дещо погіршилися інфляційні очікування. Відповідно прискорилася й базова інфляція (до 9.5% р/р). Водночас зростання індексу цін виробників у 2017 році суттєво уповільнилося (до 16.5% р/р) передусім під впливом тенденцій на зовнішніх ринках.</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 xml:space="preserve">2017 рік був успішним для фінансовоїї системи: вона стала стійкішою та краще капіталізованою. Банки знову стали прибутковими, мають стабільне фондування, після трирічної паузи почали кредитувати населення та бізнес.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 xml:space="preserve">Загальний рівень системних ризиків банківського сектору низький. Водночас повільні структурні зміни в економіці, низька ефективність державних банків і слабкість правової системи залишаються значними перешкодами для розвитку фінансового сектору. Ці фактори знижують ефективність перерозподілу фінансових ресурсів та заважають відновленню кредитування. Протягом останнього півріччя в макроекономічному середовищі значних змін не трапилося. Економічне зростання було повільним, проте жваво відновлювався споживчий та інвестиційний попит. Це забезпечить прискорення темпів зростання ВВП до понад 3% у 2018 році.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 xml:space="preserve">Волатильність обмінного курсу гривні була помірною. Однак інфляція на сьогодні перевищує ціль НБУ. Це ускладнює розвиток довгострокового кредитування, оскільки висока інфляція робить неможливим ефективне ціноутворення за довгостроковими активами та зобов’язаннями банків. НБУ очікує, що протягом наступного року інфляція уповільниться, але констатує появу нових інфляційних ризиків.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Для того, щоб усунути їх та досягнути цільові орієнтири інфляції, наприкінці 2017 року НБУ двічі підвищував облікову ставку загалом на 2 в. п. до 14.5%. Ці рішення не повинні вплинути на довгострокову тенденцію до скорочення відсоткових ставок, особливо відсотків за кредитами.</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 xml:space="preserve"> Ключовий макроекономічний ризик для фінансової стабільності на найближчі роки – припинення співпраці з МВФ. Відсутність фінансової підтримки від міжнародних інституцій значно ускладнить рефінансування понад 20 млрд дол. США суверенного та гарантованого державою боргу з терміном погашення у 2018 – 2020 роках.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 xml:space="preserve">Триває відновлення платоспроможності реального сектору. Компанії більшості галузей збільшили операційну прибутковість та нормалізували завдяки цьому боргове навантаження. Підприємства отримують достатній прибуток, щоб вчасно обслуговувати кредити. З’являється дедалі більше привабливих для нового кредитування компаній. Фінансовий стан компаній реального сектору вже не стоїть на заваді відновленню кредитування.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lastRenderedPageBreak/>
        <w:t xml:space="preserve">Водночас критерії оцінки платоспроможності позичальників стали жорсткішими: тепер фінустанови вимагають від позичальників повністю розкривати їхню структуру власності, подавати якісну фінансову звітність та ліквідну заставу. </w:t>
      </w:r>
    </w:p>
    <w:p w:rsidR="00253A7E" w:rsidRPr="0018493C" w:rsidRDefault="00253A7E" w:rsidP="0000323F">
      <w:pPr>
        <w:spacing w:before="0" w:after="120" w:line="240" w:lineRule="auto"/>
        <w:ind w:firstLine="0"/>
        <w:rPr>
          <w:color w:val="auto"/>
          <w:sz w:val="20"/>
          <w:lang w:val="uk-UA"/>
        </w:rPr>
      </w:pPr>
    </w:p>
    <w:p w:rsidR="0095684B" w:rsidRPr="0018493C" w:rsidRDefault="0095684B" w:rsidP="0000323F">
      <w:pPr>
        <w:pStyle w:val="2"/>
        <w:ind w:left="567" w:hanging="567"/>
      </w:pPr>
      <w:bookmarkStart w:id="9" w:name="_Toc475614605"/>
      <w:bookmarkStart w:id="10" w:name="_Toc511835055"/>
      <w:r w:rsidRPr="0018493C">
        <w:t>Облікова політика</w:t>
      </w:r>
      <w:bookmarkEnd w:id="9"/>
      <w:bookmarkEnd w:id="10"/>
    </w:p>
    <w:p w:rsidR="0095684B" w:rsidRPr="0018493C" w:rsidRDefault="0095684B" w:rsidP="00D57199">
      <w:pPr>
        <w:pStyle w:val="2"/>
        <w:numPr>
          <w:ilvl w:val="1"/>
          <w:numId w:val="5"/>
        </w:numPr>
        <w:ind w:left="567" w:hanging="567"/>
      </w:pPr>
      <w:bookmarkStart w:id="11" w:name="_Toc511835056"/>
      <w:r w:rsidRPr="0018493C">
        <w:t xml:space="preserve">Основа складання </w:t>
      </w:r>
      <w:r w:rsidR="0003236D" w:rsidRPr="0018493C">
        <w:t xml:space="preserve">консолідованої </w:t>
      </w:r>
      <w:r w:rsidRPr="0018493C">
        <w:t>фінансової звітності</w:t>
      </w:r>
      <w:bookmarkEnd w:id="11"/>
    </w:p>
    <w:p w:rsidR="0095684B" w:rsidRPr="0018493C" w:rsidRDefault="0095684B" w:rsidP="0000323F">
      <w:pPr>
        <w:spacing w:before="0" w:after="120" w:line="240" w:lineRule="auto"/>
        <w:ind w:firstLine="0"/>
        <w:rPr>
          <w:color w:val="auto"/>
          <w:sz w:val="20"/>
          <w:lang w:val="uk-UA"/>
        </w:rPr>
      </w:pPr>
      <w:r w:rsidRPr="0018493C">
        <w:rPr>
          <w:color w:val="auto"/>
          <w:sz w:val="20"/>
          <w:lang w:val="uk-UA"/>
        </w:rPr>
        <w:t>Ця</w:t>
      </w:r>
      <w:r w:rsidR="0003236D" w:rsidRPr="0018493C">
        <w:rPr>
          <w:color w:val="auto"/>
          <w:sz w:val="20"/>
          <w:lang w:val="uk-UA"/>
        </w:rPr>
        <w:t xml:space="preserve"> консолідована </w:t>
      </w:r>
      <w:r w:rsidRPr="0018493C">
        <w:rPr>
          <w:color w:val="auto"/>
          <w:sz w:val="20"/>
          <w:lang w:val="uk-UA"/>
        </w:rPr>
        <w:t xml:space="preserve">фінансова звітність була підготовлена на основі принципу історичної вартості. </w:t>
      </w:r>
    </w:p>
    <w:p w:rsidR="0095684B" w:rsidRPr="0018493C" w:rsidRDefault="0003236D" w:rsidP="0000323F">
      <w:pPr>
        <w:spacing w:before="0" w:after="120" w:line="240" w:lineRule="auto"/>
        <w:ind w:firstLine="0"/>
        <w:rPr>
          <w:color w:val="auto"/>
          <w:sz w:val="20"/>
          <w:lang w:val="uk-UA"/>
        </w:rPr>
      </w:pPr>
      <w:r w:rsidRPr="0018493C">
        <w:rPr>
          <w:color w:val="auto"/>
          <w:sz w:val="20"/>
          <w:lang w:val="uk-UA"/>
        </w:rPr>
        <w:t>Консолідована ф</w:t>
      </w:r>
      <w:r w:rsidR="0095684B" w:rsidRPr="0018493C">
        <w:rPr>
          <w:color w:val="auto"/>
          <w:sz w:val="20"/>
          <w:lang w:val="uk-UA"/>
        </w:rPr>
        <w:t xml:space="preserve">інансова звітність представлена в гривнях, а всі суми округлені до тисячі (тис.), якщо не вказано інше. </w:t>
      </w:r>
    </w:p>
    <w:p w:rsidR="0095684B" w:rsidRPr="0018493C" w:rsidRDefault="0095684B" w:rsidP="0000323F">
      <w:pPr>
        <w:spacing w:before="0" w:after="120" w:line="240" w:lineRule="auto"/>
        <w:ind w:firstLine="0"/>
        <w:rPr>
          <w:b/>
          <w:color w:val="auto"/>
          <w:sz w:val="20"/>
          <w:lang w:val="uk-UA"/>
        </w:rPr>
      </w:pPr>
      <w:r w:rsidRPr="0018493C">
        <w:rPr>
          <w:b/>
          <w:color w:val="auto"/>
          <w:sz w:val="20"/>
          <w:lang w:val="uk-UA"/>
        </w:rPr>
        <w:t>Заява про відповідність</w:t>
      </w:r>
    </w:p>
    <w:p w:rsidR="0095684B" w:rsidRPr="0018493C" w:rsidRDefault="0095684B" w:rsidP="0000323F">
      <w:pPr>
        <w:spacing w:before="0" w:after="120" w:line="240" w:lineRule="auto"/>
        <w:ind w:firstLine="0"/>
        <w:rPr>
          <w:color w:val="auto"/>
          <w:sz w:val="20"/>
          <w:lang w:val="uk-UA"/>
        </w:rPr>
      </w:pPr>
      <w:r w:rsidRPr="0018493C">
        <w:rPr>
          <w:color w:val="auto"/>
          <w:sz w:val="20"/>
          <w:lang w:val="uk-UA"/>
        </w:rPr>
        <w:t xml:space="preserve">Фінансова звітність </w:t>
      </w:r>
      <w:r w:rsidR="0003236D" w:rsidRPr="0018493C">
        <w:rPr>
          <w:color w:val="auto"/>
          <w:sz w:val="20"/>
          <w:lang w:val="uk-UA"/>
        </w:rPr>
        <w:t>Товариства</w:t>
      </w:r>
      <w:r w:rsidRPr="0018493C">
        <w:rPr>
          <w:color w:val="auto"/>
          <w:sz w:val="20"/>
          <w:lang w:val="uk-UA"/>
        </w:rPr>
        <w:t xml:space="preserve"> складена у відповідності з МСФЗ в редакції Ради МСФЗ.</w:t>
      </w:r>
    </w:p>
    <w:p w:rsidR="0095684B" w:rsidRPr="0018493C" w:rsidRDefault="0095684B" w:rsidP="0000323F">
      <w:pPr>
        <w:spacing w:before="0" w:after="120" w:line="240" w:lineRule="auto"/>
        <w:ind w:firstLine="0"/>
        <w:rPr>
          <w:b/>
          <w:color w:val="auto"/>
          <w:sz w:val="20"/>
          <w:lang w:val="uk-UA"/>
        </w:rPr>
      </w:pPr>
      <w:r w:rsidRPr="0018493C">
        <w:rPr>
          <w:b/>
          <w:color w:val="auto"/>
          <w:sz w:val="20"/>
          <w:lang w:val="uk-UA"/>
        </w:rPr>
        <w:t>Подання фінансової звітності</w:t>
      </w:r>
    </w:p>
    <w:p w:rsidR="007019AD" w:rsidRPr="0018493C" w:rsidRDefault="007019AD" w:rsidP="007019AD">
      <w:pPr>
        <w:spacing w:before="0" w:after="120" w:line="240" w:lineRule="auto"/>
        <w:ind w:firstLine="0"/>
        <w:rPr>
          <w:color w:val="auto"/>
          <w:sz w:val="20"/>
          <w:lang w:val="uk-UA"/>
        </w:rPr>
      </w:pPr>
      <w:r w:rsidRPr="0018493C">
        <w:rPr>
          <w:color w:val="auto"/>
          <w:sz w:val="20"/>
          <w:lang w:val="uk-UA"/>
        </w:rPr>
        <w:t>Протягом 201</w:t>
      </w:r>
      <w:r w:rsidR="00185576">
        <w:rPr>
          <w:color w:val="auto"/>
          <w:sz w:val="20"/>
          <w:lang w:val="uk-UA"/>
        </w:rPr>
        <w:t>7</w:t>
      </w:r>
      <w:r w:rsidRPr="0018493C">
        <w:rPr>
          <w:color w:val="auto"/>
          <w:sz w:val="20"/>
          <w:lang w:val="uk-UA"/>
        </w:rPr>
        <w:t xml:space="preserve"> року Товариство дотримувалось наступних принципів діяльності та складання фінансової звітності: автономність, безперервність, періодичність, історичної собівартості, нарахування та відповідності доходів і витрат, повного висвітлення, послідовності, обачності та єдиного грошового вимірника.</w:t>
      </w:r>
    </w:p>
    <w:p w:rsidR="007019AD" w:rsidRPr="0018493C" w:rsidRDefault="007019AD" w:rsidP="007019AD">
      <w:pPr>
        <w:spacing w:before="0" w:after="120" w:line="240" w:lineRule="auto"/>
        <w:ind w:firstLine="0"/>
        <w:rPr>
          <w:color w:val="auto"/>
          <w:sz w:val="20"/>
          <w:lang w:val="uk-UA"/>
        </w:rPr>
      </w:pPr>
      <w:r w:rsidRPr="0018493C">
        <w:rPr>
          <w:color w:val="auto"/>
          <w:sz w:val="20"/>
          <w:lang w:val="uk-UA"/>
        </w:rPr>
        <w:t xml:space="preserve">Товариство веде бухгалтерський облік у відповідності до чинного законодавства України: МСБО, Закону України «Про бухгалтерський облік та фінансову звітність», облікової політики та інших внутрішніх нормативних документів.  </w:t>
      </w:r>
    </w:p>
    <w:p w:rsidR="007019AD" w:rsidRPr="0018493C" w:rsidRDefault="007019AD" w:rsidP="007019AD">
      <w:pPr>
        <w:spacing w:before="0" w:after="120" w:line="240" w:lineRule="auto"/>
        <w:ind w:firstLine="0"/>
        <w:rPr>
          <w:color w:val="auto"/>
          <w:sz w:val="20"/>
          <w:lang w:val="uk-UA"/>
        </w:rPr>
      </w:pPr>
      <w:r w:rsidRPr="0018493C">
        <w:rPr>
          <w:color w:val="auto"/>
          <w:sz w:val="20"/>
          <w:lang w:val="uk-UA"/>
        </w:rPr>
        <w:t>Протягом 201</w:t>
      </w:r>
      <w:r w:rsidR="00185576">
        <w:rPr>
          <w:color w:val="auto"/>
          <w:sz w:val="20"/>
          <w:lang w:val="uk-UA"/>
        </w:rPr>
        <w:t>7</w:t>
      </w:r>
      <w:r w:rsidRPr="0018493C">
        <w:rPr>
          <w:color w:val="auto"/>
          <w:sz w:val="20"/>
          <w:lang w:val="uk-UA"/>
        </w:rPr>
        <w:t xml:space="preserve"> року зміни до облікової політики не вносилися.</w:t>
      </w:r>
    </w:p>
    <w:p w:rsidR="007019AD" w:rsidRPr="0018493C" w:rsidRDefault="007019AD" w:rsidP="007019AD">
      <w:pPr>
        <w:spacing w:before="0" w:after="120" w:line="240" w:lineRule="auto"/>
        <w:ind w:firstLine="0"/>
        <w:rPr>
          <w:color w:val="auto"/>
          <w:sz w:val="20"/>
          <w:lang w:val="uk-UA"/>
        </w:rPr>
      </w:pPr>
      <w:r w:rsidRPr="0018493C">
        <w:rPr>
          <w:color w:val="auto"/>
          <w:sz w:val="20"/>
          <w:lang w:val="uk-UA"/>
        </w:rPr>
        <w:t>Облікова політика Товариства – це сукупність методів, принципів, засобів організації бухгалтерського обліку, порядку відображення в обліку обставин, які впливають на фінансовий стан Товариства. Облікова політика базується на чинному законодавстві України, нормативних документах Державної комісії з регулювання ринків фінансових послуг та рішеннях керівництва Товариства.</w:t>
      </w:r>
    </w:p>
    <w:p w:rsidR="007019AD" w:rsidRPr="0018493C" w:rsidRDefault="007019AD" w:rsidP="007019AD">
      <w:pPr>
        <w:spacing w:before="0" w:after="120" w:line="240" w:lineRule="auto"/>
        <w:ind w:firstLine="0"/>
        <w:rPr>
          <w:color w:val="auto"/>
          <w:sz w:val="20"/>
          <w:lang w:val="uk-UA"/>
        </w:rPr>
      </w:pPr>
      <w:r w:rsidRPr="0018493C">
        <w:rPr>
          <w:color w:val="auto"/>
          <w:sz w:val="20"/>
          <w:lang w:val="uk-UA"/>
        </w:rPr>
        <w:t>Перед складанням річного звіту була проведена суцільна річна інвентаризація активів і зобов’язань Товариства, що обліковуються на балансі. Результати інвентаризації відображені в балансі Товариства, складеному станом на 31.12.201</w:t>
      </w:r>
      <w:r w:rsidR="00185576">
        <w:rPr>
          <w:color w:val="auto"/>
          <w:sz w:val="20"/>
          <w:lang w:val="uk-UA"/>
        </w:rPr>
        <w:t>7</w:t>
      </w:r>
      <w:r w:rsidRPr="0018493C">
        <w:rPr>
          <w:color w:val="auto"/>
          <w:sz w:val="20"/>
          <w:lang w:val="uk-UA"/>
        </w:rPr>
        <w:t xml:space="preserve"> р.</w:t>
      </w:r>
    </w:p>
    <w:p w:rsidR="007019AD" w:rsidRPr="0018493C" w:rsidRDefault="007019AD" w:rsidP="007019AD">
      <w:pPr>
        <w:spacing w:before="0" w:after="120" w:line="240" w:lineRule="auto"/>
        <w:ind w:firstLine="0"/>
        <w:rPr>
          <w:color w:val="auto"/>
          <w:sz w:val="20"/>
          <w:lang w:val="uk-UA"/>
        </w:rPr>
      </w:pPr>
      <w:r w:rsidRPr="0018493C">
        <w:rPr>
          <w:color w:val="auto"/>
          <w:sz w:val="20"/>
          <w:lang w:val="uk-UA"/>
        </w:rPr>
        <w:t>Звітний період містить у собі 12 місяців з 1 січня по 31 грудня 201</w:t>
      </w:r>
      <w:r w:rsidR="00185576">
        <w:rPr>
          <w:color w:val="auto"/>
          <w:sz w:val="20"/>
          <w:lang w:val="uk-UA"/>
        </w:rPr>
        <w:t>7</w:t>
      </w:r>
      <w:r w:rsidRPr="0018493C">
        <w:rPr>
          <w:color w:val="auto"/>
          <w:sz w:val="20"/>
          <w:lang w:val="uk-UA"/>
        </w:rPr>
        <w:t xml:space="preserve"> року.</w:t>
      </w:r>
    </w:p>
    <w:p w:rsidR="007019AD" w:rsidRPr="0018493C" w:rsidRDefault="007019AD" w:rsidP="007019AD">
      <w:pPr>
        <w:spacing w:before="0" w:after="120" w:line="240" w:lineRule="auto"/>
        <w:ind w:firstLine="0"/>
        <w:rPr>
          <w:color w:val="auto"/>
          <w:sz w:val="20"/>
          <w:lang w:val="uk-UA"/>
        </w:rPr>
      </w:pPr>
      <w:r w:rsidRPr="0018493C">
        <w:rPr>
          <w:color w:val="auto"/>
          <w:sz w:val="20"/>
          <w:lang w:val="uk-UA"/>
        </w:rPr>
        <w:t xml:space="preserve">Фінансова звітність була підготовлена на підставі принципу історичної вартості та на основі допущення, що Товариство буде функціонувати необмежено довго в майбутньому. Це допущення передбачає реалізацію активів і виконання зобов'язань у ході звичайної діяльності. </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У 2017 році споживча інфляція в Україні становила 13.7%. Вищий, ніж очікувався, приріст споживчих цін відбувся передусім через дію чинників, вплив інструментів грошово-кредитної політики на які є обмеженим, а саме скорочення пропозиції окремих видів товарів, зростання світових цін та зовнішнього попиту на вітчизняні продукти харчування. Крім того, на зростанні цін позначилися збільшення виробничих витрат, зокрема на оплату праці, швидке відновлення споживчого попиту, а наприкінці року – посилення девальваційного тиску на гривню та суттєве пом’якшення фіскальної політики. Також дещо погіршилися інфляційні очікування. Відповідно прискорилася й базова інфляція (до 9.5% р/р). Водночас зростання індексу цін виробників у 2017 році суттєво уповільнилося (до 16.5% р/р) передусім під впливом тенденцій на зовнішніх ринках.</w:t>
      </w:r>
    </w:p>
    <w:p w:rsidR="00185576" w:rsidRPr="00185576" w:rsidRDefault="00185576" w:rsidP="00185576">
      <w:pPr>
        <w:spacing w:before="0" w:after="120" w:line="240" w:lineRule="auto"/>
        <w:ind w:firstLine="0"/>
        <w:rPr>
          <w:color w:val="auto"/>
          <w:sz w:val="20"/>
          <w:lang w:val="uk-UA"/>
        </w:rPr>
      </w:pPr>
      <w:r w:rsidRPr="00185576">
        <w:rPr>
          <w:color w:val="auto"/>
          <w:sz w:val="20"/>
          <w:lang w:val="uk-UA"/>
        </w:rPr>
        <w:t xml:space="preserve"> Міжнародний стандарт бухгалтерського обліку 29 Фінансова звітність в умовах гіперінфляції Компанією не застосовується та статті звітності не підлягають переобрахунку. </w:t>
      </w:r>
    </w:p>
    <w:p w:rsidR="007019AD" w:rsidRPr="0018493C" w:rsidRDefault="007019AD" w:rsidP="007019AD">
      <w:pPr>
        <w:spacing w:before="0" w:after="120" w:line="240" w:lineRule="auto"/>
        <w:ind w:firstLine="0"/>
        <w:rPr>
          <w:color w:val="auto"/>
          <w:sz w:val="20"/>
          <w:lang w:val="uk-UA"/>
        </w:rPr>
      </w:pPr>
    </w:p>
    <w:p w:rsidR="0095684B" w:rsidRPr="0018493C" w:rsidRDefault="0095684B" w:rsidP="00D57199">
      <w:pPr>
        <w:pStyle w:val="2"/>
        <w:numPr>
          <w:ilvl w:val="1"/>
          <w:numId w:val="5"/>
        </w:numPr>
        <w:ind w:left="567" w:hanging="567"/>
      </w:pPr>
      <w:bookmarkStart w:id="12" w:name="_Toc511835057"/>
      <w:r w:rsidRPr="0018493C">
        <w:t>Істотні облікові судження, оціночні значення та припущення</w:t>
      </w:r>
      <w:bookmarkEnd w:id="12"/>
    </w:p>
    <w:p w:rsidR="0095684B" w:rsidRPr="0018493C" w:rsidRDefault="0095684B" w:rsidP="0000323F">
      <w:pPr>
        <w:spacing w:before="0" w:after="120" w:line="240" w:lineRule="auto"/>
        <w:ind w:firstLine="0"/>
        <w:rPr>
          <w:color w:val="auto"/>
          <w:sz w:val="20"/>
          <w:lang w:val="uk-UA"/>
        </w:rPr>
      </w:pPr>
      <w:r w:rsidRPr="0018493C">
        <w:rPr>
          <w:color w:val="auto"/>
          <w:sz w:val="20"/>
          <w:lang w:val="uk-UA"/>
        </w:rPr>
        <w:t xml:space="preserve">У процесі застосування облікової політики </w:t>
      </w:r>
      <w:r w:rsidR="007019AD" w:rsidRPr="0018493C">
        <w:rPr>
          <w:color w:val="auto"/>
          <w:sz w:val="20"/>
          <w:lang w:val="uk-UA"/>
        </w:rPr>
        <w:t>Товариства</w:t>
      </w:r>
      <w:r w:rsidRPr="0018493C">
        <w:rPr>
          <w:color w:val="auto"/>
          <w:sz w:val="20"/>
          <w:lang w:val="uk-UA"/>
        </w:rPr>
        <w:t xml:space="preserve"> при визначенні сум, визнаних у фінансовій звітності, керівництво використовувало твердження та оціночні значення, найбільш суттєві з яких подані нижче:</w:t>
      </w:r>
    </w:p>
    <w:p w:rsidR="0095684B" w:rsidRPr="0018493C" w:rsidRDefault="0095684B" w:rsidP="0000323F">
      <w:pPr>
        <w:spacing w:before="0" w:after="120" w:line="240" w:lineRule="auto"/>
        <w:ind w:firstLine="0"/>
        <w:rPr>
          <w:b/>
          <w:color w:val="auto"/>
          <w:sz w:val="20"/>
          <w:lang w:val="uk-UA"/>
        </w:rPr>
      </w:pPr>
      <w:r w:rsidRPr="0018493C">
        <w:rPr>
          <w:b/>
          <w:color w:val="auto"/>
          <w:sz w:val="20"/>
          <w:lang w:val="uk-UA"/>
        </w:rPr>
        <w:t>Припущення про безперервність діяльності</w:t>
      </w:r>
    </w:p>
    <w:p w:rsidR="0095684B" w:rsidRPr="0018493C" w:rsidRDefault="0095684B" w:rsidP="0000323F">
      <w:pPr>
        <w:spacing w:before="0" w:after="120" w:line="240" w:lineRule="auto"/>
        <w:ind w:firstLine="0"/>
        <w:rPr>
          <w:color w:val="auto"/>
          <w:sz w:val="20"/>
          <w:lang w:val="uk-UA"/>
        </w:rPr>
      </w:pPr>
      <w:r w:rsidRPr="0018493C">
        <w:rPr>
          <w:color w:val="auto"/>
          <w:sz w:val="20"/>
          <w:lang w:val="uk-UA"/>
        </w:rPr>
        <w:t xml:space="preserve">Керівництво </w:t>
      </w:r>
      <w:r w:rsidR="007019AD" w:rsidRPr="0018493C">
        <w:rPr>
          <w:color w:val="auto"/>
          <w:sz w:val="20"/>
          <w:lang w:val="uk-UA"/>
        </w:rPr>
        <w:t>Товариства</w:t>
      </w:r>
      <w:r w:rsidRPr="0018493C">
        <w:rPr>
          <w:color w:val="auto"/>
          <w:sz w:val="20"/>
          <w:lang w:val="uk-UA"/>
        </w:rPr>
        <w:t xml:space="preserve"> оцінило здатність </w:t>
      </w:r>
      <w:r w:rsidR="007019AD" w:rsidRPr="0018493C">
        <w:rPr>
          <w:color w:val="auto"/>
          <w:sz w:val="20"/>
          <w:lang w:val="uk-UA"/>
        </w:rPr>
        <w:t>Товариства</w:t>
      </w:r>
      <w:r w:rsidRPr="0018493C">
        <w:rPr>
          <w:color w:val="auto"/>
          <w:sz w:val="20"/>
          <w:lang w:val="uk-UA"/>
        </w:rPr>
        <w:t xml:space="preserve"> здійснювати безперервну діяльність та задоволено тим, що </w:t>
      </w:r>
      <w:r w:rsidR="00744F98" w:rsidRPr="0018493C">
        <w:rPr>
          <w:color w:val="auto"/>
          <w:sz w:val="20"/>
          <w:lang w:val="uk-UA"/>
        </w:rPr>
        <w:t>Товариство</w:t>
      </w:r>
      <w:r w:rsidRPr="0018493C">
        <w:rPr>
          <w:color w:val="auto"/>
          <w:sz w:val="20"/>
          <w:lang w:val="uk-UA"/>
        </w:rPr>
        <w:t xml:space="preserve"> володіє ресурсами для продовження своєї діяльності в найближчому майбутньому. Крім того, керівництву не відомо про наявність невизначеності, яка може викликати значний сумнів щодо можливості </w:t>
      </w:r>
      <w:r w:rsidR="00744F98" w:rsidRPr="0018493C">
        <w:rPr>
          <w:color w:val="auto"/>
          <w:sz w:val="20"/>
          <w:lang w:val="uk-UA"/>
        </w:rPr>
        <w:t>Товариства</w:t>
      </w:r>
      <w:r w:rsidRPr="0018493C">
        <w:rPr>
          <w:color w:val="auto"/>
          <w:sz w:val="20"/>
          <w:lang w:val="uk-UA"/>
        </w:rPr>
        <w:t xml:space="preserve"> здійснювати безперервну діяльність. Таким чином, фінансова звітність готується на підставі припущення про безперервність діяльності.</w:t>
      </w:r>
    </w:p>
    <w:p w:rsidR="0095684B" w:rsidRPr="0018493C" w:rsidRDefault="0095684B" w:rsidP="0000323F">
      <w:pPr>
        <w:spacing w:before="0" w:after="120" w:line="240" w:lineRule="auto"/>
        <w:ind w:firstLine="0"/>
        <w:rPr>
          <w:b/>
          <w:color w:val="auto"/>
          <w:sz w:val="20"/>
          <w:lang w:val="uk-UA"/>
        </w:rPr>
      </w:pPr>
      <w:r w:rsidRPr="0018493C">
        <w:rPr>
          <w:b/>
          <w:color w:val="auto"/>
          <w:sz w:val="20"/>
          <w:lang w:val="uk-UA"/>
        </w:rPr>
        <w:lastRenderedPageBreak/>
        <w:t>Відстрочені податкові активи</w:t>
      </w:r>
    </w:p>
    <w:p w:rsidR="0095684B" w:rsidRPr="0018493C" w:rsidRDefault="0095684B" w:rsidP="0000323F">
      <w:pPr>
        <w:spacing w:before="0" w:after="120" w:line="240" w:lineRule="auto"/>
        <w:ind w:firstLine="0"/>
        <w:rPr>
          <w:color w:val="auto"/>
          <w:sz w:val="20"/>
          <w:lang w:val="uk-UA"/>
        </w:rPr>
      </w:pPr>
      <w:r w:rsidRPr="0018493C">
        <w:rPr>
          <w:color w:val="auto"/>
          <w:sz w:val="20"/>
          <w:lang w:val="uk-UA"/>
        </w:rPr>
        <w:t>Відстрочені податкові активи визнаються щодо податкових збитків в тій мірі, в якій існує значна ймовірність того, що буде отримано оподатковуваний прибуток, на який можуть бути зараховані збитки. Для визначення суми відстрочених податкових активів, яку можна визнати у фінансовій звітності на підставі ймовірних строків та розміру майбутнього оподатковуваного прибутку, а також майбутніх стратегій податкового планування, необхідно припущення.</w:t>
      </w:r>
    </w:p>
    <w:p w:rsidR="0000323F" w:rsidRPr="0018493C" w:rsidRDefault="0000323F" w:rsidP="00D57199">
      <w:pPr>
        <w:pStyle w:val="2"/>
        <w:numPr>
          <w:ilvl w:val="1"/>
          <w:numId w:val="5"/>
        </w:numPr>
        <w:ind w:left="567" w:hanging="567"/>
      </w:pPr>
      <w:bookmarkStart w:id="13" w:name="_Toc511835058"/>
      <w:r w:rsidRPr="0018493C">
        <w:t>Істотні положення облікової політики</w:t>
      </w:r>
      <w:bookmarkEnd w:id="13"/>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Перерахунок сум в іноземній валюті</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Операції та залишки</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Активи й пасиви, виражені в іноземних валютах, перераховуються по офіційних курсах обміну, установленим Національним Банком України, на кінець року. Курсові різниці, які виникають при конвертуванні, відображаються у звіті про фінансові результати в тому періоді, у якому відбулося коливання. Результати, виражені в іноземних валютах, перераховуються по курсах обміну на дату здійснення операції.</w:t>
      </w:r>
    </w:p>
    <w:p w:rsidR="00744F98" w:rsidRPr="0018493C" w:rsidRDefault="00744F98" w:rsidP="00744F98">
      <w:pPr>
        <w:spacing w:before="0" w:after="120" w:line="240" w:lineRule="auto"/>
        <w:ind w:firstLine="0"/>
        <w:rPr>
          <w:color w:val="auto"/>
          <w:sz w:val="20"/>
          <w:lang w:val="uk-UA"/>
        </w:rPr>
      </w:pPr>
    </w:p>
    <w:tbl>
      <w:tblPr>
        <w:tblStyle w:val="ac"/>
        <w:tblW w:w="0" w:type="auto"/>
        <w:tblLook w:val="04A0" w:firstRow="1" w:lastRow="0" w:firstColumn="1" w:lastColumn="0" w:noHBand="0" w:noVBand="1"/>
      </w:tblPr>
      <w:tblGrid>
        <w:gridCol w:w="5352"/>
        <w:gridCol w:w="2268"/>
        <w:gridCol w:w="2234"/>
      </w:tblGrid>
      <w:tr w:rsidR="00744F98" w:rsidRPr="0018493C" w:rsidTr="00744F98">
        <w:tc>
          <w:tcPr>
            <w:tcW w:w="5352" w:type="dxa"/>
          </w:tcPr>
          <w:p w:rsidR="00744F98" w:rsidRPr="0018493C" w:rsidRDefault="00744F98" w:rsidP="00744F98">
            <w:pPr>
              <w:spacing w:before="0" w:after="120" w:line="240" w:lineRule="auto"/>
              <w:ind w:firstLine="0"/>
              <w:rPr>
                <w:color w:val="auto"/>
                <w:sz w:val="20"/>
                <w:lang w:val="uk-UA"/>
              </w:rPr>
            </w:pPr>
          </w:p>
        </w:tc>
        <w:tc>
          <w:tcPr>
            <w:tcW w:w="2268" w:type="dxa"/>
          </w:tcPr>
          <w:p w:rsidR="00744F98" w:rsidRPr="0018493C" w:rsidRDefault="00744F98" w:rsidP="00744F98">
            <w:pPr>
              <w:spacing w:before="0" w:after="120" w:line="240" w:lineRule="auto"/>
              <w:ind w:firstLine="0"/>
              <w:rPr>
                <w:color w:val="auto"/>
                <w:sz w:val="20"/>
                <w:lang w:val="uk-UA"/>
              </w:rPr>
            </w:pPr>
            <w:r w:rsidRPr="0018493C">
              <w:rPr>
                <w:color w:val="auto"/>
                <w:sz w:val="20"/>
                <w:lang w:val="uk-UA"/>
              </w:rPr>
              <w:t>USD</w:t>
            </w:r>
          </w:p>
        </w:tc>
        <w:tc>
          <w:tcPr>
            <w:tcW w:w="2234" w:type="dxa"/>
          </w:tcPr>
          <w:p w:rsidR="00744F98" w:rsidRPr="0018493C" w:rsidRDefault="00744F98" w:rsidP="00744F98">
            <w:pPr>
              <w:spacing w:before="0" w:after="120" w:line="240" w:lineRule="auto"/>
              <w:ind w:firstLine="0"/>
              <w:rPr>
                <w:color w:val="auto"/>
                <w:sz w:val="20"/>
                <w:lang w:val="uk-UA"/>
              </w:rPr>
            </w:pPr>
            <w:r w:rsidRPr="0018493C">
              <w:rPr>
                <w:color w:val="auto"/>
                <w:sz w:val="20"/>
                <w:lang w:val="uk-UA"/>
              </w:rPr>
              <w:t>EUR</w:t>
            </w:r>
          </w:p>
        </w:tc>
      </w:tr>
      <w:tr w:rsidR="00185576" w:rsidRPr="0018493C" w:rsidTr="00744F98">
        <w:tc>
          <w:tcPr>
            <w:tcW w:w="5352" w:type="dxa"/>
          </w:tcPr>
          <w:p w:rsidR="00185576" w:rsidRPr="0018493C" w:rsidRDefault="00185576" w:rsidP="00185576">
            <w:pPr>
              <w:spacing w:before="0" w:after="120" w:line="240" w:lineRule="auto"/>
              <w:ind w:firstLine="0"/>
              <w:rPr>
                <w:color w:val="auto"/>
                <w:sz w:val="20"/>
                <w:lang w:val="uk-UA"/>
              </w:rPr>
            </w:pPr>
            <w:r w:rsidRPr="0018493C">
              <w:rPr>
                <w:color w:val="auto"/>
                <w:sz w:val="20"/>
                <w:lang w:val="uk-UA"/>
              </w:rPr>
              <w:t>Курс на 31 грудня 201</w:t>
            </w:r>
            <w:r>
              <w:rPr>
                <w:color w:val="auto"/>
                <w:sz w:val="20"/>
                <w:lang w:val="uk-UA"/>
              </w:rPr>
              <w:t xml:space="preserve">6 </w:t>
            </w:r>
            <w:r w:rsidRPr="0018493C">
              <w:rPr>
                <w:color w:val="auto"/>
                <w:sz w:val="20"/>
                <w:lang w:val="uk-UA"/>
              </w:rPr>
              <w:t>року</w:t>
            </w:r>
          </w:p>
        </w:tc>
        <w:tc>
          <w:tcPr>
            <w:tcW w:w="2268" w:type="dxa"/>
          </w:tcPr>
          <w:p w:rsidR="00185576" w:rsidRPr="0018493C" w:rsidRDefault="00185576" w:rsidP="002E68B4">
            <w:pPr>
              <w:spacing w:before="0" w:after="120" w:line="240" w:lineRule="auto"/>
              <w:ind w:firstLine="0"/>
              <w:rPr>
                <w:color w:val="auto"/>
                <w:sz w:val="20"/>
                <w:lang w:val="uk-UA"/>
              </w:rPr>
            </w:pPr>
            <w:r w:rsidRPr="0018493C">
              <w:rPr>
                <w:color w:val="auto"/>
                <w:sz w:val="20"/>
                <w:lang w:val="uk-UA"/>
              </w:rPr>
              <w:t>27,1909</w:t>
            </w:r>
          </w:p>
        </w:tc>
        <w:tc>
          <w:tcPr>
            <w:tcW w:w="2234" w:type="dxa"/>
          </w:tcPr>
          <w:p w:rsidR="00185576" w:rsidRPr="0018493C" w:rsidRDefault="00185576" w:rsidP="002E68B4">
            <w:pPr>
              <w:spacing w:before="0" w:after="120" w:line="240" w:lineRule="auto"/>
              <w:ind w:firstLine="0"/>
              <w:rPr>
                <w:color w:val="auto"/>
                <w:sz w:val="20"/>
                <w:lang w:val="uk-UA"/>
              </w:rPr>
            </w:pPr>
            <w:r w:rsidRPr="0018493C">
              <w:rPr>
                <w:color w:val="auto"/>
                <w:sz w:val="20"/>
                <w:lang w:val="uk-UA"/>
              </w:rPr>
              <w:t>28,4226</w:t>
            </w:r>
          </w:p>
        </w:tc>
      </w:tr>
      <w:tr w:rsidR="00612C50" w:rsidRPr="0018493C" w:rsidTr="00744F98">
        <w:tc>
          <w:tcPr>
            <w:tcW w:w="5352" w:type="dxa"/>
          </w:tcPr>
          <w:p w:rsidR="00612C50" w:rsidRPr="0018493C" w:rsidRDefault="00612C50" w:rsidP="00185576">
            <w:pPr>
              <w:spacing w:before="0" w:after="120" w:line="240" w:lineRule="auto"/>
              <w:ind w:firstLine="0"/>
              <w:rPr>
                <w:color w:val="auto"/>
                <w:sz w:val="20"/>
                <w:lang w:val="uk-UA"/>
              </w:rPr>
            </w:pPr>
            <w:r w:rsidRPr="0018493C">
              <w:rPr>
                <w:color w:val="auto"/>
                <w:sz w:val="20"/>
                <w:lang w:val="uk-UA"/>
              </w:rPr>
              <w:t>Курс на 31 грудня 201</w:t>
            </w:r>
            <w:r>
              <w:rPr>
                <w:color w:val="auto"/>
                <w:sz w:val="20"/>
                <w:lang w:val="uk-UA"/>
              </w:rPr>
              <w:t>7</w:t>
            </w:r>
            <w:r w:rsidRPr="0018493C">
              <w:rPr>
                <w:color w:val="auto"/>
                <w:sz w:val="20"/>
                <w:lang w:val="uk-UA"/>
              </w:rPr>
              <w:t xml:space="preserve"> року</w:t>
            </w:r>
          </w:p>
        </w:tc>
        <w:tc>
          <w:tcPr>
            <w:tcW w:w="2268" w:type="dxa"/>
          </w:tcPr>
          <w:p w:rsidR="00612C50" w:rsidRPr="00612C50" w:rsidRDefault="00612C50" w:rsidP="00612C50">
            <w:pPr>
              <w:spacing w:before="0" w:after="120" w:line="240" w:lineRule="auto"/>
              <w:ind w:firstLine="0"/>
              <w:rPr>
                <w:color w:val="auto"/>
                <w:sz w:val="20"/>
                <w:lang w:val="uk-UA"/>
              </w:rPr>
            </w:pPr>
            <w:r w:rsidRPr="00612C50">
              <w:rPr>
                <w:color w:val="auto"/>
                <w:sz w:val="20"/>
                <w:lang w:val="uk-UA"/>
              </w:rPr>
              <w:t>28,0672</w:t>
            </w:r>
          </w:p>
        </w:tc>
        <w:tc>
          <w:tcPr>
            <w:tcW w:w="2234" w:type="dxa"/>
          </w:tcPr>
          <w:p w:rsidR="00612C50" w:rsidRPr="00612C50" w:rsidRDefault="00612C50" w:rsidP="00612C50">
            <w:pPr>
              <w:spacing w:before="0" w:after="120" w:line="240" w:lineRule="auto"/>
              <w:ind w:firstLine="0"/>
              <w:rPr>
                <w:color w:val="auto"/>
                <w:sz w:val="20"/>
                <w:lang w:val="uk-UA"/>
              </w:rPr>
            </w:pPr>
            <w:r w:rsidRPr="00612C50">
              <w:rPr>
                <w:color w:val="auto"/>
                <w:sz w:val="20"/>
                <w:lang w:val="uk-UA"/>
              </w:rPr>
              <w:t>33,4954</w:t>
            </w:r>
          </w:p>
        </w:tc>
      </w:tr>
    </w:tbl>
    <w:p w:rsidR="00744F98" w:rsidRPr="0018493C" w:rsidRDefault="00744F98" w:rsidP="00744F98">
      <w:pPr>
        <w:spacing w:before="0" w:after="120" w:line="240" w:lineRule="auto"/>
        <w:ind w:firstLine="0"/>
        <w:rPr>
          <w:b/>
          <w:color w:val="auto"/>
          <w:sz w:val="20"/>
          <w:lang w:val="uk-UA"/>
        </w:rPr>
      </w:pPr>
    </w:p>
    <w:p w:rsidR="00744F98" w:rsidRPr="0018493C" w:rsidRDefault="00744F98" w:rsidP="00744F98">
      <w:pPr>
        <w:spacing w:before="0" w:after="120" w:line="240" w:lineRule="auto"/>
        <w:ind w:firstLine="0"/>
        <w:rPr>
          <w:b/>
          <w:color w:val="auto"/>
          <w:sz w:val="20"/>
          <w:lang w:val="uk-UA"/>
        </w:rPr>
      </w:pPr>
      <w:r w:rsidRPr="0018493C">
        <w:rPr>
          <w:b/>
          <w:color w:val="auto"/>
          <w:sz w:val="20"/>
          <w:lang w:val="uk-UA"/>
        </w:rPr>
        <w:t>Кошти та їх еквіваленти</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Кошти та їх еквіваленти включають кошти на банківських рахунках, кошти в касі й короткострокові банківські депозити.</w:t>
      </w:r>
    </w:p>
    <w:p w:rsidR="00744F98" w:rsidRPr="0018493C" w:rsidRDefault="00744F98" w:rsidP="00744F98">
      <w:pPr>
        <w:spacing w:before="0" w:after="120" w:line="240" w:lineRule="auto"/>
        <w:ind w:firstLine="0"/>
        <w:rPr>
          <w:color w:val="auto"/>
          <w:sz w:val="20"/>
          <w:lang w:val="uk-UA"/>
        </w:rPr>
      </w:pPr>
    </w:p>
    <w:p w:rsidR="00744F98" w:rsidRPr="0018493C" w:rsidRDefault="00744F98" w:rsidP="00744F98">
      <w:pPr>
        <w:spacing w:before="0" w:after="120" w:line="240" w:lineRule="auto"/>
        <w:ind w:firstLine="0"/>
        <w:rPr>
          <w:b/>
          <w:color w:val="auto"/>
          <w:sz w:val="20"/>
          <w:lang w:val="uk-UA"/>
        </w:rPr>
      </w:pPr>
      <w:r w:rsidRPr="0018493C">
        <w:rPr>
          <w:b/>
          <w:color w:val="auto"/>
          <w:sz w:val="20"/>
          <w:lang w:val="uk-UA"/>
        </w:rPr>
        <w:t>Договори страхування</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(а) Класифікація договорів страхування</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Страховий договір, підписаний страховиком, класифікується як договір страхування, тільки якщо він передає істотний страховий ризик від страхувальника страховикові. Усі укладені контракти класифікуються як договори страхування, не пов'язаного з життям, і Товариство не укладає будь-які інвестиційні контракти.</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Договорами страхування, не пов'язаного з життям, визнаються наступні види договорів:</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w:t>
      </w:r>
      <w:r w:rsidRPr="0018493C">
        <w:rPr>
          <w:color w:val="auto"/>
          <w:sz w:val="20"/>
          <w:lang w:val="uk-UA"/>
        </w:rPr>
        <w:tab/>
        <w:t>договори, згідно з якими страхова Товариство приймає на себе значний страховий ризик іншого учасника договору - страхувальника - і зобов'язується компенсувати його збитки у випадку виникнення певних непередбачених обставин (страховий випадок), попередньо визначених обома сторонами, що мають  несприятливий вплив на страхувальника. Непередбаченою обставина вважається такою, якщо на момент укладання договору невідомо:</w:t>
      </w:r>
    </w:p>
    <w:p w:rsidR="00253A7E" w:rsidRPr="0018493C" w:rsidRDefault="00253A7E" w:rsidP="00744F98">
      <w:pPr>
        <w:spacing w:before="0" w:after="120" w:line="240" w:lineRule="auto"/>
        <w:ind w:firstLine="0"/>
        <w:rPr>
          <w:color w:val="auto"/>
          <w:sz w:val="20"/>
          <w:lang w:val="uk-UA"/>
        </w:rPr>
      </w:pP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1.</w:t>
      </w:r>
      <w:r w:rsidRPr="0018493C">
        <w:rPr>
          <w:color w:val="auto"/>
          <w:sz w:val="20"/>
          <w:lang w:val="uk-UA"/>
        </w:rPr>
        <w:tab/>
        <w:t>з якою вірогідністю настане страховий випадок;</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2.</w:t>
      </w:r>
      <w:r w:rsidRPr="0018493C">
        <w:rPr>
          <w:color w:val="auto"/>
          <w:sz w:val="20"/>
          <w:lang w:val="uk-UA"/>
        </w:rPr>
        <w:tab/>
        <w:t>час настання страхового випадку;</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3.</w:t>
      </w:r>
      <w:r w:rsidRPr="0018493C">
        <w:rPr>
          <w:color w:val="auto"/>
          <w:sz w:val="20"/>
          <w:lang w:val="uk-UA"/>
        </w:rPr>
        <w:tab/>
        <w:t>розмір збитків при настанні страхового випадку.</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(б) Визнання й оцінка страхових договорів</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Договір визнається страховим договором, поки за визначені в ньому права й обов'язки проводиться оплата, або ж до закінчення терміну їх дії. Договір не може бути віднесений до іншого виду договорів, якщо його форма й зміст відповідають страховому договору.</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Основою класифікації страхових договорів для цілей бухгалтерського обліку є сутність прийнятого страхового ризику й загальні ознаки можливого ризику, такі як:</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w:t>
      </w:r>
      <w:r w:rsidRPr="0018493C">
        <w:rPr>
          <w:color w:val="auto"/>
          <w:sz w:val="20"/>
          <w:lang w:val="uk-UA"/>
        </w:rPr>
        <w:tab/>
        <w:t>страхування від нещасних випадків;</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w:t>
      </w:r>
      <w:r w:rsidRPr="0018493C">
        <w:rPr>
          <w:color w:val="auto"/>
          <w:sz w:val="20"/>
          <w:lang w:val="uk-UA"/>
        </w:rPr>
        <w:tab/>
        <w:t>страхування на випадок хвороби;</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lastRenderedPageBreak/>
        <w:t>-</w:t>
      </w:r>
      <w:r w:rsidRPr="0018493C">
        <w:rPr>
          <w:color w:val="auto"/>
          <w:sz w:val="20"/>
          <w:lang w:val="uk-UA"/>
        </w:rPr>
        <w:tab/>
        <w:t>страхування майна [крім залізничного, наземного, повітряного, водного транспорту (морського внутрішнього та інших видів водного транспорту), вантажів та багажу (вантажобагажу)];</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w:t>
      </w:r>
      <w:r w:rsidRPr="0018493C">
        <w:rPr>
          <w:color w:val="auto"/>
          <w:sz w:val="20"/>
          <w:lang w:val="uk-UA"/>
        </w:rPr>
        <w:tab/>
        <w:t>страхування майна від вогневих ризиків та ризиків стихійних явищ;</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w:t>
      </w:r>
      <w:r w:rsidRPr="0018493C">
        <w:rPr>
          <w:color w:val="auto"/>
          <w:sz w:val="20"/>
          <w:lang w:val="uk-UA"/>
        </w:rPr>
        <w:tab/>
        <w:t>страхування фінансових ризиків та інші, відповідно до отриманих Ліцензій;</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(в)</w:t>
      </w:r>
      <w:r w:rsidRPr="0018493C">
        <w:rPr>
          <w:color w:val="auto"/>
          <w:sz w:val="20"/>
          <w:lang w:val="uk-UA"/>
        </w:rPr>
        <w:tab/>
        <w:t>Страхові премії й преміальний дохід</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У нараховані премії включені суми, які належать до страхових договорів, укладених або чинних протягом звітного року, незалежно від того отримані ці премії чи ні. Обсяг нарахованих премій зменшується на суму анульованих і перерваних договорів страхування звітного періоду.</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 xml:space="preserve">Зароблена частина отриманих премій визнається як дохід. </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Незароблена частина премій визнається як технічний резерв.</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(г)</w:t>
      </w:r>
      <w:r w:rsidRPr="0018493C">
        <w:rPr>
          <w:color w:val="auto"/>
          <w:sz w:val="20"/>
          <w:lang w:val="uk-UA"/>
        </w:rPr>
        <w:tab/>
        <w:t>Резерви незароблених премій</w:t>
      </w:r>
    </w:p>
    <w:p w:rsidR="009A2F39" w:rsidRPr="009A2F39" w:rsidRDefault="009A2F39" w:rsidP="009A2F39">
      <w:pPr>
        <w:spacing w:before="0" w:after="120" w:line="240" w:lineRule="auto"/>
        <w:ind w:firstLine="0"/>
        <w:rPr>
          <w:color w:val="auto"/>
          <w:sz w:val="20"/>
          <w:lang w:val="uk-UA"/>
        </w:rPr>
      </w:pPr>
      <w:r w:rsidRPr="009A2F39">
        <w:rPr>
          <w:color w:val="auto"/>
          <w:sz w:val="20"/>
          <w:lang w:val="uk-UA"/>
        </w:rPr>
        <w:t>Резерви незароблених премій відображають частину нарахованих премій, яка буде зароблена в наступних звітних періодах. Резерви з 01.01.2017 року розраховуються для кожного виду страхування методом «1/24».</w:t>
      </w:r>
    </w:p>
    <w:p w:rsidR="009A2F39" w:rsidRPr="009A2F39" w:rsidRDefault="009A2F39" w:rsidP="009A2F39">
      <w:pPr>
        <w:spacing w:before="0" w:after="120" w:line="240" w:lineRule="auto"/>
        <w:ind w:firstLine="0"/>
        <w:rPr>
          <w:color w:val="auto"/>
          <w:sz w:val="20"/>
          <w:lang w:val="uk-UA"/>
        </w:rPr>
      </w:pPr>
      <w:r w:rsidRPr="009A2F39">
        <w:rPr>
          <w:color w:val="auto"/>
          <w:sz w:val="20"/>
          <w:lang w:val="uk-UA"/>
        </w:rPr>
        <w:t xml:space="preserve">Величина резервів незароблених премій відображається у відповідній окремій статті балансу Компанії, як зобов'язання. </w:t>
      </w:r>
    </w:p>
    <w:p w:rsidR="00744F98" w:rsidRPr="0018493C" w:rsidRDefault="009A2F39" w:rsidP="009A2F39">
      <w:pPr>
        <w:spacing w:before="0" w:after="120" w:line="240" w:lineRule="auto"/>
        <w:ind w:firstLine="0"/>
        <w:rPr>
          <w:color w:val="auto"/>
          <w:sz w:val="20"/>
          <w:lang w:val="uk-UA"/>
        </w:rPr>
      </w:pPr>
      <w:r w:rsidRPr="0018493C">
        <w:rPr>
          <w:color w:val="auto"/>
          <w:sz w:val="20"/>
          <w:lang w:val="uk-UA"/>
        </w:rPr>
        <w:t xml:space="preserve"> </w:t>
      </w:r>
      <w:r w:rsidR="00744F98" w:rsidRPr="0018493C">
        <w:rPr>
          <w:color w:val="auto"/>
          <w:sz w:val="20"/>
          <w:lang w:val="uk-UA"/>
        </w:rPr>
        <w:t>(д)</w:t>
      </w:r>
      <w:r w:rsidR="00744F98" w:rsidRPr="0018493C">
        <w:rPr>
          <w:color w:val="auto"/>
          <w:sz w:val="20"/>
          <w:lang w:val="uk-UA"/>
        </w:rPr>
        <w:tab/>
        <w:t xml:space="preserve"> Резерви заявлених, але неврегульованих страхових випадків </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Товариство розраховує на підставі заявлених, але неурегульованих страхових випадків по відшкодуванням, окремо оцінюючи кожний випадок на звітну дату, в тому числі й витрати на врегулювання таких вимог.</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Величина резервів заявлених, але неурегульованих страхових випадків на звітну дату є сумою зарезервованих несплачених сум страхового відшкодування по відомих вимогах зі страхувальників, по яких не ухвалене рішення про повний або частковій відмові у виплаті страхових сум.</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Величина резервів заявлених, але неурегульованих страхових випадків відображається в балансі Товариства, як зобов'язання.</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(є)</w:t>
      </w:r>
      <w:r w:rsidRPr="0018493C">
        <w:rPr>
          <w:color w:val="auto"/>
          <w:sz w:val="20"/>
          <w:lang w:val="uk-UA"/>
        </w:rPr>
        <w:tab/>
        <w:t>Тест на достатність зобов'язань</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На кожну звітну дату Товариство готовить Тест достатності страхових зобов'язань, оцінюючи, чи є зобов'язання по страхуванню, визнані у звітному періоді по діючих договорах, адекватними, шляхом порівняння створених страхових резервів методом математичного моделювання комбінованої збитковості, теорії випадкових процесів, методи теорії ймовірностей та математичної статистики..</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Якщо тест достатності зобов'язань вказує на дефіцит балансової вартості зобов'язань, дефіцит визнається як збиток за фінансовий рік, шляхом установлення додаткового резерву непередбаченого ризику. Тест проводиться на підставі всього страхового портфеля й застосовується до валової суми резервів.</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(е)</w:t>
      </w:r>
      <w:r w:rsidRPr="0018493C">
        <w:rPr>
          <w:color w:val="auto"/>
          <w:sz w:val="20"/>
          <w:lang w:val="uk-UA"/>
        </w:rPr>
        <w:tab/>
        <w:t>Дебіторська й кредиторська заборгованості по страхуванню</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Суми заборгованості страхувальників і агентів є фінансовими інструментами й включаються в дебіторську й кредиторську заборгованості по страхуванню, а не в договори по страхуванню або активи перестрахування.</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(ж)</w:t>
      </w:r>
      <w:r w:rsidRPr="0018493C">
        <w:rPr>
          <w:color w:val="auto"/>
          <w:sz w:val="20"/>
          <w:lang w:val="uk-UA"/>
        </w:rPr>
        <w:tab/>
        <w:t>Страхові виплати</w:t>
      </w:r>
    </w:p>
    <w:p w:rsidR="00744F98" w:rsidRPr="0018493C" w:rsidRDefault="00744F98" w:rsidP="00744F98">
      <w:pPr>
        <w:spacing w:before="0" w:after="120" w:line="240" w:lineRule="auto"/>
        <w:ind w:firstLine="0"/>
        <w:rPr>
          <w:color w:val="auto"/>
          <w:sz w:val="20"/>
          <w:lang w:val="uk-UA"/>
        </w:rPr>
      </w:pPr>
      <w:r w:rsidRPr="0018493C">
        <w:rPr>
          <w:color w:val="auto"/>
          <w:sz w:val="20"/>
          <w:lang w:val="uk-UA"/>
        </w:rPr>
        <w:t>Товариство відображає суми витрат, зв'язаних зі страховими виплатами, у випадку, якщо є укладений договір страхування, страховий випадок відповідає ризикам, визначеним договором страхування в якості тих що страхуються, а також наявності документів, що підтверджують факт настання страхового випадку, суму збитку, який був отриманий у результаті його настання, проведеного внутрішнього службового розслідування.</w:t>
      </w:r>
    </w:p>
    <w:p w:rsidR="0000323F" w:rsidRPr="0018493C" w:rsidRDefault="0000323F" w:rsidP="0000323F">
      <w:pPr>
        <w:spacing w:before="0" w:after="120" w:line="240" w:lineRule="auto"/>
        <w:ind w:firstLine="0"/>
        <w:rPr>
          <w:color w:val="auto"/>
          <w:sz w:val="20"/>
        </w:rPr>
      </w:pP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Фінансові інструменти: початкове визнання та подальша оцінка</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(i) Дата визнання</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Всі фінансові активи та зобов'язання спочатку визнаються на дату укладення угоди, тобто на дату, на яку </w:t>
      </w:r>
      <w:r w:rsidR="00295CEB" w:rsidRPr="0018493C">
        <w:rPr>
          <w:color w:val="auto"/>
          <w:sz w:val="20"/>
          <w:lang w:val="uk-UA"/>
        </w:rPr>
        <w:t>Товариство</w:t>
      </w:r>
      <w:r w:rsidRPr="0018493C">
        <w:rPr>
          <w:color w:val="auto"/>
          <w:sz w:val="20"/>
          <w:lang w:val="uk-UA"/>
        </w:rPr>
        <w:t xml:space="preserve"> стає стороною згідно договору щодо інструменту. Сюди відносяться «угоди на стандартних умовах»: покупка або продаж фінансових активів, що вимагають поставки активів у період, визначений законодавством або угодою на ринку.</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(іі) Первісна оцінка фінансових інструментів</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lastRenderedPageBreak/>
        <w:t>Класифікація фінансових інструментів при первісному визнанні залежить від цілей і намірів керівництва, з якими були придбані ці фінансові інструменти, і від їх характеристик. Всі фінансові інструменти оцінюються спочатку за справедливою вартістю плюс витрати на операцію, за винятком фінансових активів і фінансових зобов'язань, переоцінюються за справедливою вартістю через прибуток або збиток.</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(ііі) Фінансові активи та фінансові зобов'язання, що класифікуються як ті, що переоцінюються за справедливою вартістю через прибуток або збиток</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Фінансові активи та фінансові зобов'язання відносяться до цієї категорії за рішенням керівництва при первісному визнанні. При первісному визнанні керівництво може віднести інструмент у категорію, що переоцінюються за справедливою вартістю через прибуток або збиток тільки в тому випадку, якщо дотримані нижчеперелічені критерії, і класифікація визначається для кожного інструменту окремо:</w:t>
      </w:r>
    </w:p>
    <w:p w:rsidR="0000323F" w:rsidRPr="0018493C" w:rsidRDefault="0000323F" w:rsidP="00E417A5">
      <w:pPr>
        <w:pStyle w:val="a0"/>
        <w:numPr>
          <w:ilvl w:val="0"/>
          <w:numId w:val="1"/>
        </w:numPr>
        <w:spacing w:before="0" w:after="120" w:line="240" w:lineRule="auto"/>
        <w:ind w:left="567" w:hanging="567"/>
        <w:rPr>
          <w:color w:val="auto"/>
          <w:sz w:val="20"/>
          <w:lang w:val="uk-UA"/>
        </w:rPr>
      </w:pPr>
      <w:r w:rsidRPr="0018493C">
        <w:rPr>
          <w:color w:val="auto"/>
          <w:sz w:val="20"/>
          <w:lang w:val="uk-UA"/>
        </w:rPr>
        <w:t>така класифікація усуває або істотно знижує непослідовність в методі обліку при оцінці активів або зобов'язань, або визнання доходів або витрат по них на різній основі;</w:t>
      </w:r>
    </w:p>
    <w:p w:rsidR="0000323F" w:rsidRPr="0018493C" w:rsidRDefault="0000323F" w:rsidP="00E417A5">
      <w:pPr>
        <w:pStyle w:val="a0"/>
        <w:numPr>
          <w:ilvl w:val="0"/>
          <w:numId w:val="1"/>
        </w:numPr>
        <w:spacing w:before="0" w:after="120" w:line="240" w:lineRule="auto"/>
        <w:ind w:left="567" w:hanging="567"/>
        <w:rPr>
          <w:color w:val="auto"/>
          <w:sz w:val="20"/>
          <w:lang w:val="uk-UA"/>
        </w:rPr>
      </w:pPr>
      <w:r w:rsidRPr="0018493C">
        <w:rPr>
          <w:color w:val="auto"/>
          <w:sz w:val="20"/>
          <w:lang w:val="uk-UA"/>
        </w:rPr>
        <w:t>активи і зобов'язання є частиною групи фінансових активів, фінансових зобов'язань або і тих, і інших, управління якими здійснюється, і результати за якими оцінюються на основі справедливої вартості, відповідно до документально оформленої політики управління ризиком або інвестиційною стратегією;</w:t>
      </w:r>
    </w:p>
    <w:p w:rsidR="0000323F" w:rsidRPr="0018493C" w:rsidRDefault="0000323F" w:rsidP="00E417A5">
      <w:pPr>
        <w:pStyle w:val="a0"/>
        <w:numPr>
          <w:ilvl w:val="0"/>
          <w:numId w:val="1"/>
        </w:numPr>
        <w:spacing w:before="0" w:after="120" w:line="240" w:lineRule="auto"/>
        <w:ind w:left="567" w:hanging="567"/>
        <w:rPr>
          <w:color w:val="auto"/>
          <w:sz w:val="20"/>
          <w:lang w:val="uk-UA"/>
        </w:rPr>
      </w:pPr>
      <w:r w:rsidRPr="0018493C">
        <w:rPr>
          <w:color w:val="auto"/>
          <w:sz w:val="20"/>
          <w:lang w:val="uk-UA"/>
        </w:rPr>
        <w:t>фінансовий інструмент містить один або кілька вбудованих похідних інструментів, що роблять істотний вплив на зміну грошових потоків, що в іншому випадку вимагалося б договором.</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Фінансові активи та фінансові зобов'язання, що класифікуються як ті, що переоцінюються за справедливою вартістю через прибуток або збиток, відображаються у звіті про фінансовий стан за справедливою вартістю. Зміни справедливої вартості відображаються за статтею «Чисті доходи або витрати за фінансовими активами та зобов'язаннями, що класифіковані як ті, що переоцінюються за справедливою вартістю через прибуток або збиток». Відсотки отримані або виплачені нараховуються в складі процентних доходів або витрат, відповідно, з використанням ефективної процентної ставки, у той час як дивідендний дохід відображається за статтею «Інші операційні доходи», після встановлення права на отримання платежу.</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(іv) Прибуток або збиток «першого дня»</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Якщо ціна операції відрізняється від справедливої вартості поточних ринкових угод на спостережуваному ринку по одному і тому ж інструменту або заснована на методиці оцінки, змінні параметри якої включають тільки інформацію з спостережуваних ринків, то </w:t>
      </w:r>
      <w:r w:rsidR="005C4D58" w:rsidRPr="0018493C">
        <w:rPr>
          <w:color w:val="auto"/>
          <w:sz w:val="20"/>
          <w:lang w:val="uk-UA"/>
        </w:rPr>
        <w:t>Товариство</w:t>
      </w:r>
      <w:r w:rsidRPr="0018493C">
        <w:rPr>
          <w:color w:val="auto"/>
          <w:sz w:val="20"/>
          <w:lang w:val="uk-UA"/>
        </w:rPr>
        <w:t xml:space="preserve"> негайно визнає різницю між ціною угоди та справедливою вартістю («Прибуток чи збиток «першого дня») за статтею «Чисті доходи від торговельних операцій». У разі використання інформації, яку неможливо відстежити для визначення справедливої вартості різниця між ціною угоди та вартістю, визначеною на підставі моделі, визнається у звіті про прибутки і збитки та інший сукупний дохід тільки у тому випадку, якщо вихідні дані можливо відстежити або у разі припинення визнання фінансового інструменту.</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(v) Фінансові інвестиції, наявні для продажу</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Фінансові інвестиції, наявні для продажу, являють собою пайові та боргові цінні папери. Інвестиції в інструменти капіталу, класифіковані як наявні для продажу, - це ті інвестиції, які не відповідають критеріям класифікації як призначених для торгівлі або тих, що переоцінюються за справедливою вартістю через прибуток або збиток. Боргові цінні папери в даній категорії призначені, щоб утримувати їх протягом невизначеного періоду часу, і можуть бути продані через потреби в ліквідності або через зміни ринкових умов.</w:t>
      </w:r>
    </w:p>
    <w:p w:rsidR="0000323F" w:rsidRPr="0018493C" w:rsidRDefault="005C4D58" w:rsidP="0000323F">
      <w:pPr>
        <w:spacing w:before="0" w:after="120" w:line="240" w:lineRule="auto"/>
        <w:ind w:firstLine="0"/>
        <w:rPr>
          <w:color w:val="auto"/>
          <w:sz w:val="20"/>
          <w:lang w:val="uk-UA"/>
        </w:rPr>
      </w:pPr>
      <w:r w:rsidRPr="0018493C">
        <w:rPr>
          <w:color w:val="auto"/>
          <w:sz w:val="20"/>
          <w:lang w:val="uk-UA"/>
        </w:rPr>
        <w:t>Товариство</w:t>
      </w:r>
      <w:r w:rsidR="0000323F" w:rsidRPr="0018493C">
        <w:rPr>
          <w:color w:val="auto"/>
          <w:sz w:val="20"/>
          <w:lang w:val="uk-UA"/>
        </w:rPr>
        <w:t xml:space="preserve"> не відносить кредити або дебіторську заборгованість в категорію наявних для продажу.</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Після первісної оцінки фінансові інвестиції, наявні для продажу, оцінюються за справедливою вартістю.</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Нереалізовані доходи і витрати визнаються безпосередньо у складі капіталу (іншого сукупного доходу) за статтею «Фонд переоцінки інвестицій, наявних для продажу». При вибутті інвестиції накопичені доходи або витрати, раніше відображені у складі капіталу, переносяться в звіт про прибутки і збитки та інший сукупний дохід і відображаються за статтею «Інші операційні доходи». Якщо </w:t>
      </w:r>
      <w:r w:rsidR="005C4D58" w:rsidRPr="0018493C">
        <w:rPr>
          <w:color w:val="auto"/>
          <w:sz w:val="20"/>
          <w:lang w:val="uk-UA"/>
        </w:rPr>
        <w:t>Товариству</w:t>
      </w:r>
      <w:r w:rsidRPr="0018493C">
        <w:rPr>
          <w:color w:val="auto"/>
          <w:sz w:val="20"/>
          <w:lang w:val="uk-UA"/>
        </w:rPr>
        <w:t xml:space="preserve"> належить більше ніж пакет інвестицій по одному і тому ж цінному паперу, їх вибуття відображається за методом ФІФО. Відсотки, зароблені в період володіння фінансовими інвестиціями, наявними для продажу, відображаються у фінансовій звітності як процентні доходи, з використанням ефективної процентної ставки. Дивіденди, зароблені в період володіння інвестиціями, наявними для продажу, відображаються у звіті про прибутки і збитки та інший сукупний дохід за статтею «Інші операційні доходи» в момент встановлення права на платіж. Збитки, що виникають в результаті знецінення таких інвестицій, визнаються у звіті про прибутки і збитки та інший сукупний дохід (звіт про фінансові результати) за статтею «Збитки від знецінення фінансових інвестицій» і виключаються з фонду переоцінки інвестицій, наявних для продажу.</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(vi) Фінансові інвестиції, що утримуються до погашення</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lastRenderedPageBreak/>
        <w:t xml:space="preserve">Фінансові інвестиції, що утримуються до погашення є непохідними фінансовими активами з фіксованими або обумовленими платежами та фіксованим строком погашення, які </w:t>
      </w:r>
      <w:r w:rsidR="005C4D58" w:rsidRPr="0018493C">
        <w:rPr>
          <w:color w:val="auto"/>
          <w:sz w:val="20"/>
          <w:lang w:val="uk-UA"/>
        </w:rPr>
        <w:t>Товариство</w:t>
      </w:r>
      <w:r w:rsidRPr="0018493C">
        <w:rPr>
          <w:color w:val="auto"/>
          <w:sz w:val="20"/>
          <w:lang w:val="uk-UA"/>
        </w:rPr>
        <w:t xml:space="preserve"> твердо має намір і здатна утримувати до терміну погашення. Після первісної оцінки фінансові інвестиції, утримувані до погашення, оцінюються за амортизованою вартістю з використанням ефективної процентної ставки, за вирахуванням резерву під знецінення. Амортизована вартість розраховується з урахуванням дисконту або надбавки при придбанні та комісійних, які є невід'ємною частиною ефективної процентної ставки. Амортизація включається до статті звіту про прибутки і збитки та інший сукупний дохід «Процентні та аналогічні доходи». Збитки, що виникають в результаті знецінення таких інвестицій, визнаються за статтею звіту про прибутки і збитки «Витрати по кредитам».</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Якщо </w:t>
      </w:r>
      <w:r w:rsidR="005C4D58" w:rsidRPr="0018493C">
        <w:rPr>
          <w:color w:val="auto"/>
          <w:sz w:val="20"/>
          <w:lang w:val="uk-UA"/>
        </w:rPr>
        <w:t>Товариство</w:t>
      </w:r>
      <w:r w:rsidRPr="0018493C">
        <w:rPr>
          <w:color w:val="auto"/>
          <w:sz w:val="20"/>
          <w:lang w:val="uk-UA"/>
        </w:rPr>
        <w:t xml:space="preserve"> продає або перекласифікує значну кількість утримуваних до погашення інвестицій до дати погашення (за винятком деяких особливих ситуацій), вся категорія інвестицій до погашення вважається «скомпрометованою» і її необхідно перекласифікувати в категорію інвестицій, наявних для продажу. Більш того, протягом наступних двох років </w:t>
      </w:r>
      <w:r w:rsidR="005C4D58" w:rsidRPr="0018493C">
        <w:rPr>
          <w:color w:val="auto"/>
          <w:sz w:val="20"/>
          <w:lang w:val="uk-UA"/>
        </w:rPr>
        <w:t>Товарство</w:t>
      </w:r>
      <w:r w:rsidRPr="0018493C">
        <w:rPr>
          <w:color w:val="auto"/>
          <w:sz w:val="20"/>
          <w:lang w:val="uk-UA"/>
        </w:rPr>
        <w:t xml:space="preserve"> не зможе класифікувати фінансові активи в категорію утримуваних до погашення.</w:t>
      </w:r>
    </w:p>
    <w:p w:rsidR="0000323F" w:rsidRPr="0018493C" w:rsidRDefault="005C4D58" w:rsidP="0000323F">
      <w:pPr>
        <w:spacing w:before="0" w:after="120" w:line="240" w:lineRule="auto"/>
        <w:ind w:firstLine="0"/>
        <w:rPr>
          <w:b/>
          <w:color w:val="auto"/>
          <w:sz w:val="20"/>
          <w:lang w:val="uk-UA"/>
        </w:rPr>
      </w:pPr>
      <w:r w:rsidRPr="0018493C">
        <w:rPr>
          <w:b/>
          <w:color w:val="auto"/>
          <w:sz w:val="20"/>
          <w:lang w:val="uk-UA"/>
        </w:rPr>
        <w:t xml:space="preserve"> </w:t>
      </w:r>
      <w:r w:rsidR="0000323F" w:rsidRPr="0018493C">
        <w:rPr>
          <w:b/>
          <w:color w:val="auto"/>
          <w:sz w:val="20"/>
          <w:lang w:val="uk-UA"/>
        </w:rPr>
        <w:t>(іх) Перекласифікація фінансових активів</w:t>
      </w:r>
    </w:p>
    <w:p w:rsidR="0000323F" w:rsidRPr="0018493C" w:rsidRDefault="005C4D58" w:rsidP="0000323F">
      <w:pPr>
        <w:spacing w:before="0" w:after="120" w:line="240" w:lineRule="auto"/>
        <w:ind w:firstLine="0"/>
        <w:rPr>
          <w:color w:val="auto"/>
          <w:sz w:val="20"/>
          <w:lang w:val="uk-UA"/>
        </w:rPr>
      </w:pPr>
      <w:r w:rsidRPr="0018493C">
        <w:rPr>
          <w:color w:val="auto"/>
          <w:sz w:val="20"/>
          <w:lang w:val="uk-UA"/>
        </w:rPr>
        <w:t>Товариство</w:t>
      </w:r>
      <w:r w:rsidR="0000323F" w:rsidRPr="0018493C">
        <w:rPr>
          <w:color w:val="auto"/>
          <w:sz w:val="20"/>
          <w:lang w:val="uk-UA"/>
        </w:rPr>
        <w:t xml:space="preserve"> при певних зобов’язаннях має право перекласифікувати непохідні фінансові активи з категорії таких, що призначені для торгівлі в категорію наявних для продажу, кредитів та дебіторської заборгованості чи утриманих до погашення. З цієї дати при визначені зобов’язань </w:t>
      </w:r>
      <w:r w:rsidRPr="0018493C">
        <w:rPr>
          <w:color w:val="auto"/>
          <w:sz w:val="20"/>
          <w:lang w:val="uk-UA"/>
        </w:rPr>
        <w:t>Товариство</w:t>
      </w:r>
      <w:r w:rsidR="0000323F" w:rsidRPr="0018493C">
        <w:rPr>
          <w:color w:val="auto"/>
          <w:sz w:val="20"/>
          <w:lang w:val="uk-UA"/>
        </w:rPr>
        <w:t xml:space="preserve"> має право перекласифікувати фінансові інструменти з категорії наявних для продажу в категорію кредитів та дебіторської заборгованості. Перекласифікація відображається по справедливій вартості на дату перекласифікації, яка стає новою амортизаційною вартістю.</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Попередні доходи чи витрати по фінансовому активу, перекласифікованому з категорії наявних для продажу, які були визнані в складі капіталу, амортизуються в складі прибутку чи збитку протягом залишкового строку використання інвестиції з використанням ефективної відсоткової ставки. Різниця між новою амортизаційною вартістю та очікуваними грошовими потоками також амортизується протягом залишкового строку використання активу з використанням ефективної відсоткової ставки. Якщо пізніше встановлюється знецінення активу, то сума, відображена в складі капіталу, поновлюється в звіті про прибутки та збитки.</w:t>
      </w:r>
    </w:p>
    <w:p w:rsidR="0000323F" w:rsidRPr="0018493C" w:rsidRDefault="005C4D58" w:rsidP="0000323F">
      <w:pPr>
        <w:spacing w:before="0" w:after="120" w:line="240" w:lineRule="auto"/>
        <w:ind w:firstLine="0"/>
        <w:rPr>
          <w:color w:val="auto"/>
          <w:sz w:val="20"/>
          <w:lang w:val="uk-UA"/>
        </w:rPr>
      </w:pPr>
      <w:r w:rsidRPr="0018493C">
        <w:rPr>
          <w:color w:val="auto"/>
          <w:sz w:val="20"/>
          <w:lang w:val="uk-UA"/>
        </w:rPr>
        <w:t>Товариство</w:t>
      </w:r>
      <w:r w:rsidR="0000323F" w:rsidRPr="0018493C">
        <w:rPr>
          <w:color w:val="auto"/>
          <w:sz w:val="20"/>
          <w:lang w:val="uk-UA"/>
        </w:rPr>
        <w:t xml:space="preserve"> може перекласифікувати непохідний торговий актив з категорії призначених для торгівлі в категорію кредитів і дебіторської заборгованості, якщо він відповідає визначенню кредиту та дебіторської заборгованості, та у </w:t>
      </w:r>
      <w:r w:rsidRPr="0018493C">
        <w:rPr>
          <w:color w:val="auto"/>
          <w:sz w:val="20"/>
          <w:lang w:val="uk-UA"/>
        </w:rPr>
        <w:t>Товариства</w:t>
      </w:r>
      <w:r w:rsidR="0000323F" w:rsidRPr="0018493C">
        <w:rPr>
          <w:color w:val="auto"/>
          <w:sz w:val="20"/>
          <w:lang w:val="uk-UA"/>
        </w:rPr>
        <w:t xml:space="preserve"> є наміри та можливості утримувати даний фінансовий актив в недалекому майбутньому чи до погашення. Якщо відбувається перекласифікація фінансового активу, а </w:t>
      </w:r>
      <w:r w:rsidRPr="0018493C">
        <w:rPr>
          <w:color w:val="auto"/>
          <w:sz w:val="20"/>
          <w:lang w:val="uk-UA"/>
        </w:rPr>
        <w:t>Товариство</w:t>
      </w:r>
      <w:r w:rsidR="0000323F" w:rsidRPr="0018493C">
        <w:rPr>
          <w:color w:val="auto"/>
          <w:sz w:val="20"/>
          <w:lang w:val="uk-UA"/>
        </w:rPr>
        <w:t xml:space="preserve"> пізніше коригує в більшу сторону свою оцінку в напрямку майбутніх надходжень грошових коштів внаслідок збільшення можливості їх відшкодування, вплив даного збільшення визнається як коригування ефективної відсоткової ставки з дати зміни оцінки.</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Перекласифікація відбувається за вибором керівництва та відповідне рішення приймається по кожному інструменту окремо. </w:t>
      </w:r>
      <w:r w:rsidR="00295CEB" w:rsidRPr="0018493C">
        <w:rPr>
          <w:color w:val="auto"/>
          <w:sz w:val="20"/>
          <w:lang w:val="uk-UA"/>
        </w:rPr>
        <w:t>Товариство</w:t>
      </w:r>
      <w:r w:rsidRPr="0018493C">
        <w:rPr>
          <w:color w:val="auto"/>
          <w:sz w:val="20"/>
          <w:lang w:val="uk-UA"/>
        </w:rPr>
        <w:t xml:space="preserve"> не перекласифікує фінансові інструменти в категорію переоцінених по справедливій вартості через прибуток чи збиток після першочергового визнання. </w:t>
      </w: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Припинення визнання фінансових активів та фінансових зобов’язань</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(i) Фінансові активи</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Фінансовий актив (або, де це придатне – частина фінансового активу чи частина групи схожих фінансових активів) припиняється визнаватися в звіті про збитки фінансовий стан, якщо:</w:t>
      </w:r>
    </w:p>
    <w:p w:rsidR="0000323F" w:rsidRPr="0018493C" w:rsidRDefault="0000323F" w:rsidP="00E417A5">
      <w:pPr>
        <w:pStyle w:val="a0"/>
        <w:numPr>
          <w:ilvl w:val="0"/>
          <w:numId w:val="1"/>
        </w:numPr>
        <w:spacing w:before="0" w:after="120" w:line="240" w:lineRule="auto"/>
        <w:ind w:left="567" w:hanging="567"/>
        <w:rPr>
          <w:color w:val="auto"/>
          <w:sz w:val="20"/>
          <w:lang w:val="uk-UA"/>
        </w:rPr>
      </w:pPr>
      <w:r w:rsidRPr="0018493C">
        <w:rPr>
          <w:color w:val="auto"/>
          <w:sz w:val="20"/>
          <w:lang w:val="uk-UA"/>
        </w:rPr>
        <w:t xml:space="preserve">строк дії прав на отримання грошових потоків від активу минув; </w:t>
      </w:r>
    </w:p>
    <w:p w:rsidR="0000323F" w:rsidRPr="0018493C" w:rsidRDefault="005C4D58" w:rsidP="00E417A5">
      <w:pPr>
        <w:pStyle w:val="a0"/>
        <w:numPr>
          <w:ilvl w:val="0"/>
          <w:numId w:val="1"/>
        </w:numPr>
        <w:spacing w:before="0" w:after="120" w:line="240" w:lineRule="auto"/>
        <w:ind w:left="567" w:hanging="567"/>
        <w:rPr>
          <w:color w:val="auto"/>
          <w:sz w:val="20"/>
          <w:lang w:val="uk-UA"/>
        </w:rPr>
      </w:pPr>
      <w:r w:rsidRPr="0018493C">
        <w:rPr>
          <w:color w:val="auto"/>
          <w:sz w:val="20"/>
          <w:lang w:val="uk-UA"/>
        </w:rPr>
        <w:t>Товариство</w:t>
      </w:r>
      <w:r w:rsidR="0000323F" w:rsidRPr="0018493C">
        <w:rPr>
          <w:color w:val="auto"/>
          <w:sz w:val="20"/>
          <w:lang w:val="uk-UA"/>
        </w:rPr>
        <w:t xml:space="preserve"> передал</w:t>
      </w:r>
      <w:r w:rsidRPr="0018493C">
        <w:rPr>
          <w:color w:val="auto"/>
          <w:sz w:val="20"/>
          <w:lang w:val="uk-UA"/>
        </w:rPr>
        <w:t>о</w:t>
      </w:r>
      <w:r w:rsidR="0000323F" w:rsidRPr="0018493C">
        <w:rPr>
          <w:color w:val="auto"/>
          <w:sz w:val="20"/>
          <w:lang w:val="uk-UA"/>
        </w:rPr>
        <w:t xml:space="preserve"> право на отримання грошових потоків від активу чи прийняла зобов’язання перерахувати отримані грошові кошти повністю без суттєвої затримки третій стороні на умовах «транзитної» угоди; а також:</w:t>
      </w:r>
    </w:p>
    <w:p w:rsidR="0000323F" w:rsidRPr="0018493C" w:rsidRDefault="005C4D58" w:rsidP="00E417A5">
      <w:pPr>
        <w:pStyle w:val="a0"/>
        <w:numPr>
          <w:ilvl w:val="0"/>
          <w:numId w:val="1"/>
        </w:numPr>
        <w:spacing w:before="0" w:after="120" w:line="240" w:lineRule="auto"/>
        <w:ind w:left="567" w:hanging="567"/>
        <w:rPr>
          <w:color w:val="auto"/>
          <w:sz w:val="20"/>
          <w:lang w:val="uk-UA"/>
        </w:rPr>
      </w:pPr>
      <w:r w:rsidRPr="0018493C">
        <w:rPr>
          <w:color w:val="auto"/>
          <w:sz w:val="20"/>
          <w:lang w:val="uk-UA"/>
        </w:rPr>
        <w:t>Товариство</w:t>
      </w:r>
      <w:r w:rsidR="0000323F" w:rsidRPr="0018493C">
        <w:rPr>
          <w:color w:val="auto"/>
          <w:sz w:val="20"/>
          <w:lang w:val="uk-UA"/>
        </w:rPr>
        <w:t xml:space="preserve"> передал</w:t>
      </w:r>
      <w:r w:rsidRPr="0018493C">
        <w:rPr>
          <w:color w:val="auto"/>
          <w:sz w:val="20"/>
          <w:lang w:val="uk-UA"/>
        </w:rPr>
        <w:t>о</w:t>
      </w:r>
      <w:r w:rsidR="0000323F" w:rsidRPr="0018493C">
        <w:rPr>
          <w:color w:val="auto"/>
          <w:sz w:val="20"/>
          <w:lang w:val="uk-UA"/>
        </w:rPr>
        <w:t xml:space="preserve"> майже всі ризики та вигоди від активу, </w:t>
      </w:r>
    </w:p>
    <w:p w:rsidR="0000323F" w:rsidRPr="0018493C" w:rsidRDefault="005C4D58" w:rsidP="00E417A5">
      <w:pPr>
        <w:pStyle w:val="a0"/>
        <w:numPr>
          <w:ilvl w:val="0"/>
          <w:numId w:val="1"/>
        </w:numPr>
        <w:spacing w:before="0" w:after="120" w:line="240" w:lineRule="auto"/>
        <w:ind w:left="567" w:hanging="567"/>
        <w:rPr>
          <w:color w:val="auto"/>
          <w:sz w:val="20"/>
          <w:lang w:val="uk-UA"/>
        </w:rPr>
      </w:pPr>
      <w:r w:rsidRPr="0018493C">
        <w:rPr>
          <w:color w:val="auto"/>
          <w:sz w:val="20"/>
          <w:lang w:val="uk-UA"/>
        </w:rPr>
        <w:t>Товариство</w:t>
      </w:r>
      <w:r w:rsidR="0000323F" w:rsidRPr="0018493C">
        <w:rPr>
          <w:color w:val="auto"/>
          <w:sz w:val="20"/>
          <w:lang w:val="uk-UA"/>
        </w:rPr>
        <w:t xml:space="preserve"> не передавал</w:t>
      </w:r>
      <w:r w:rsidRPr="0018493C">
        <w:rPr>
          <w:color w:val="auto"/>
          <w:sz w:val="20"/>
          <w:lang w:val="uk-UA"/>
        </w:rPr>
        <w:t>о</w:t>
      </w:r>
      <w:r w:rsidR="0000323F" w:rsidRPr="0018493C">
        <w:rPr>
          <w:color w:val="auto"/>
          <w:sz w:val="20"/>
          <w:lang w:val="uk-UA"/>
        </w:rPr>
        <w:t xml:space="preserve">, але й не зберігала за собою усі ризики та вигоди від активу, але передала контроль над даним активом. </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Якщо </w:t>
      </w:r>
      <w:r w:rsidR="005C4D58" w:rsidRPr="0018493C">
        <w:rPr>
          <w:color w:val="auto"/>
          <w:sz w:val="20"/>
          <w:lang w:val="uk-UA"/>
        </w:rPr>
        <w:t>Товариство</w:t>
      </w:r>
      <w:r w:rsidRPr="0018493C">
        <w:rPr>
          <w:color w:val="auto"/>
          <w:sz w:val="20"/>
          <w:lang w:val="uk-UA"/>
        </w:rPr>
        <w:t xml:space="preserve"> передал</w:t>
      </w:r>
      <w:r w:rsidR="005C4D58" w:rsidRPr="0018493C">
        <w:rPr>
          <w:color w:val="auto"/>
          <w:sz w:val="20"/>
          <w:lang w:val="uk-UA"/>
        </w:rPr>
        <w:t>о</w:t>
      </w:r>
      <w:r w:rsidRPr="0018493C">
        <w:rPr>
          <w:color w:val="auto"/>
          <w:sz w:val="20"/>
          <w:lang w:val="uk-UA"/>
        </w:rPr>
        <w:t xml:space="preserve"> своє право на отримання грошових потоків від активу або уклала «транзитну» угоду, і не передала, але і не зберегла за собою практично всіх ризиків і вигод від активу, а також не передала контроль над активом, то актив визнається в тій мірі , в якій </w:t>
      </w:r>
      <w:r w:rsidR="005C4D58" w:rsidRPr="0018493C">
        <w:rPr>
          <w:color w:val="auto"/>
          <w:sz w:val="20"/>
          <w:lang w:val="uk-UA"/>
        </w:rPr>
        <w:t>Товариство</w:t>
      </w:r>
      <w:r w:rsidRPr="0018493C">
        <w:rPr>
          <w:color w:val="auto"/>
          <w:sz w:val="20"/>
          <w:lang w:val="uk-UA"/>
        </w:rPr>
        <w:t xml:space="preserve"> продовжує свою участь в активі. У цьому випадку </w:t>
      </w:r>
      <w:r w:rsidR="005C4D58" w:rsidRPr="0018493C">
        <w:rPr>
          <w:color w:val="auto"/>
          <w:sz w:val="20"/>
          <w:lang w:val="uk-UA"/>
        </w:rPr>
        <w:t>Товариство</w:t>
      </w:r>
      <w:r w:rsidRPr="0018493C">
        <w:rPr>
          <w:color w:val="auto"/>
          <w:sz w:val="20"/>
          <w:lang w:val="uk-UA"/>
        </w:rPr>
        <w:t xml:space="preserve"> також визнає відповідне зобов'язання. Переданий актив та відповідне зобов'язання оцінюються на підставі, що відображає права та зобов'язання, які </w:t>
      </w:r>
      <w:r w:rsidR="005C4D58" w:rsidRPr="0018493C">
        <w:rPr>
          <w:color w:val="auto"/>
          <w:sz w:val="20"/>
          <w:lang w:val="uk-UA"/>
        </w:rPr>
        <w:t>Товариство</w:t>
      </w:r>
      <w:r w:rsidRPr="0018493C">
        <w:rPr>
          <w:color w:val="auto"/>
          <w:sz w:val="20"/>
          <w:lang w:val="uk-UA"/>
        </w:rPr>
        <w:t xml:space="preserve"> залишила за собою.</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lastRenderedPageBreak/>
        <w:t xml:space="preserve">Продовження участі, яке приймає форму гарантії за переданим активом, оцінюється за найменшою з наступних величин: первісною балансовою вартістю активу або максимальною сумою винагороди, виплата, яка може вимагатися від </w:t>
      </w:r>
      <w:r w:rsidR="005C4D58" w:rsidRPr="0018493C">
        <w:rPr>
          <w:color w:val="auto"/>
          <w:sz w:val="20"/>
          <w:lang w:val="uk-UA"/>
        </w:rPr>
        <w:t>Товариства</w:t>
      </w:r>
      <w:r w:rsidRPr="0018493C">
        <w:rPr>
          <w:color w:val="auto"/>
          <w:sz w:val="20"/>
          <w:lang w:val="uk-UA"/>
        </w:rPr>
        <w:t xml:space="preserve">. </w:t>
      </w: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(ii) Фінансові зобов’язання</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Припинення визнання фінансового зобов'язання відбувається тоді, коли зобов'язання погашено, анульовано або закінчився термін його дії. Якщо існуюче фінансове зобов'язання заміщується аналогічним зобов'язанням перед тим же кредитором на суттєво відмінних умовах, або умови існуючого зобов'язання значно змінюються, то таке заміщення або зміна враховується за допомогою припинення визнання первісного зобов'язання та визнання нового зобов'язання. Різниця між балансовою вартістю первісного фінансового зобов'язання і сплачених винагородою визнається у прибутку та збитку.</w:t>
      </w: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Визначення справедливої вартості</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Справедлива вартість фінансових інструментів, торгівля якими на дату складання звіту про фінансовий стан здійснюється на активному ринку, визначається на основі їхніх ринкових котирувань або котирувань дилерів (котирування на покупку для довгих позицій і котирування на продаж для коротких позицій), без вирахування витрат по угоді.</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Справедлива вартість інших фінансових інструментів, торгівля якими не здійснюється на активному ринку, визначається з використанням відповідних моделей оцінки. Моделі оцінки включають метод дисконтованих грошових потоків, порівняння з аналогічними інструментами, на які існують ціни на досліджуваному ринку, моделі оцінки опціонів, кредитні моделі і інші моделі оцінки.</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Певні фінансові інструменти відображаються за справедливою вартістю з використанням моделей оцінки, для яких відсутні поточні ринкові операції або спостережувані ринкові дані. Їх справедлива вартість визначається з використанням моделі оцінки, яка була перевірена щодо цін, або вихідних даних для реальних ринкових операцій, а також з використанням найкращої оцінки </w:t>
      </w:r>
      <w:r w:rsidR="005C4D58" w:rsidRPr="0018493C">
        <w:rPr>
          <w:color w:val="auto"/>
          <w:sz w:val="20"/>
          <w:lang w:val="uk-UA"/>
        </w:rPr>
        <w:t>Товариства</w:t>
      </w:r>
      <w:r w:rsidRPr="0018493C">
        <w:rPr>
          <w:color w:val="auto"/>
          <w:sz w:val="20"/>
          <w:lang w:val="uk-UA"/>
        </w:rPr>
        <w:t xml:space="preserve"> щодо найбільш доречних припущень для моделі. Моделі коригуються для відображення спреду між цінами купівлі та продажу, щоб відобразити витрати на закриття позицій, кредитові і дебетові оціночні коригування, спред ліквідності контрагента, а також обмеження моделі. Також, прибуток або збиток, розраховані при першому відображенні таких фінансових інструментів (прибуток або збиток «першого дня») відносяться на майбутні періоди та визнаються тільки тоді, коли вихідні дані стають спостережуваними, або при припиненні визнання інструменту.</w:t>
      </w: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Знецінення фінансових активів</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На кожну дату складання звіту про фінансовий стан </w:t>
      </w:r>
      <w:r w:rsidR="005C4D58" w:rsidRPr="0018493C">
        <w:rPr>
          <w:color w:val="auto"/>
          <w:sz w:val="20"/>
          <w:lang w:val="uk-UA"/>
        </w:rPr>
        <w:t>Товарситво</w:t>
      </w:r>
      <w:r w:rsidRPr="0018493C">
        <w:rPr>
          <w:color w:val="auto"/>
          <w:sz w:val="20"/>
          <w:lang w:val="uk-UA"/>
        </w:rPr>
        <w:t xml:space="preserve"> оцінює наявність об'єктивних ознак знецінення фінансового активу або групи фінансових активів. Фінансовий актив або група фінансових активів умовно визначаються як знецінені тоді, і тільки тоді, коли існує об'єктивне свідчення знецінення в результаті однієї або більше подій, що відбулися після первісного визнання активу («випадок настання збитку», що відбувся), і випадок (або випадки) настання збитку впливає на очікувані майбутні грошові потоки від фінансового активу або групи фінансових активів, яке можна надійно оцінити.</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Ознаки знецінення можуть включати свідчення того, що позичальник або група позичальників мають суттєві фінансові труднощі, високу ймовірність банкрутства або іншої фінансової реорганізації, порушують зобов'язання з виплати відсотків або за основною сумою боргу, а також свідчення, на підставі інформації з спостережуваного ринку, зниження очікуваних майбутніх грошових потоків, наприклад, зміни у рівні прострочених платежів або економічних умовах, які корелюють зі збитками по активах.</w:t>
      </w:r>
    </w:p>
    <w:p w:rsidR="005C4D58" w:rsidRPr="0018493C" w:rsidRDefault="005C4D58" w:rsidP="0000323F">
      <w:pPr>
        <w:spacing w:before="0" w:after="120" w:line="240" w:lineRule="auto"/>
        <w:ind w:firstLine="0"/>
        <w:rPr>
          <w:color w:val="auto"/>
          <w:sz w:val="20"/>
          <w:lang w:val="uk-UA"/>
        </w:rPr>
      </w:pPr>
    </w:p>
    <w:p w:rsidR="0000323F" w:rsidRPr="0018493C" w:rsidRDefault="0000323F" w:rsidP="0000323F">
      <w:pPr>
        <w:spacing w:before="0" w:after="120" w:line="240" w:lineRule="auto"/>
        <w:ind w:firstLine="0"/>
        <w:rPr>
          <w:b/>
          <w:color w:val="auto"/>
          <w:sz w:val="20"/>
          <w:lang w:val="uk-UA"/>
        </w:rPr>
      </w:pPr>
      <w:r w:rsidRPr="0018493C">
        <w:rPr>
          <w:b/>
          <w:color w:val="auto"/>
          <w:sz w:val="20"/>
          <w:lang w:val="uk-UA"/>
        </w:rPr>
        <w:t>(i) Фінансові активи, що обліковуються за амортизаційною вартістю</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Відносно фінансових активів, облік яких здійснюється за амортизаційною вартістю (наприклад, кошти в банках, кредити та аванси клієнтам, а також інвестиції, утримувані до погашення), </w:t>
      </w:r>
      <w:r w:rsidR="00CF4218" w:rsidRPr="0018493C">
        <w:rPr>
          <w:color w:val="auto"/>
          <w:sz w:val="20"/>
          <w:lang w:val="uk-UA"/>
        </w:rPr>
        <w:t>Товариство</w:t>
      </w:r>
      <w:r w:rsidRPr="0018493C">
        <w:rPr>
          <w:color w:val="auto"/>
          <w:sz w:val="20"/>
          <w:lang w:val="uk-UA"/>
        </w:rPr>
        <w:t xml:space="preserve"> спочатку оцінює на індивідуальній основі наявність об'єктивних ознак знецінення для окремо значимих фінансових активів, або в сукупності для фінансових активів, які не є окремо значущими. Якщо </w:t>
      </w:r>
      <w:r w:rsidR="00CF4218" w:rsidRPr="0018493C">
        <w:rPr>
          <w:color w:val="auto"/>
          <w:sz w:val="20"/>
          <w:lang w:val="uk-UA"/>
        </w:rPr>
        <w:t>Товариство</w:t>
      </w:r>
      <w:r w:rsidRPr="0018493C">
        <w:rPr>
          <w:color w:val="auto"/>
          <w:sz w:val="20"/>
          <w:lang w:val="uk-UA"/>
        </w:rPr>
        <w:t xml:space="preserve"> вирішує, що для фінансового активу, оціненого на індивідуальній основі, не існує об'єктивних ознак зменшення корисності, вона включає цей актив до групи фінансових активів з аналогічними характеристиками кредитного ризику та оцінює їх на предмет знецінення на сукупній основі. Активи, що оцінюються на предмет знецінення на індивідуальній основі, щодо яких визнаються збитки від зменшення корисності, не повинні оцінюватися на предмет знецінення на сукупній основі.</w:t>
      </w:r>
    </w:p>
    <w:p w:rsidR="0000323F" w:rsidRPr="0018493C" w:rsidRDefault="00CF4218" w:rsidP="0000323F">
      <w:pPr>
        <w:spacing w:before="0" w:after="120" w:line="240" w:lineRule="auto"/>
        <w:ind w:firstLine="0"/>
        <w:rPr>
          <w:b/>
          <w:color w:val="auto"/>
          <w:sz w:val="20"/>
          <w:lang w:val="uk-UA"/>
        </w:rPr>
      </w:pPr>
      <w:r w:rsidRPr="0018493C">
        <w:rPr>
          <w:b/>
          <w:color w:val="auto"/>
          <w:sz w:val="20"/>
          <w:lang w:val="uk-UA"/>
        </w:rPr>
        <w:t xml:space="preserve"> </w:t>
      </w:r>
      <w:r w:rsidR="0000323F" w:rsidRPr="0018493C">
        <w:rPr>
          <w:b/>
          <w:color w:val="auto"/>
          <w:sz w:val="20"/>
          <w:lang w:val="uk-UA"/>
        </w:rPr>
        <w:t>(ii) Фінансові інвестиції, наявні для продажу</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На кожну дату складання звіту про фінансовий стан </w:t>
      </w:r>
      <w:r w:rsidR="00CF4218" w:rsidRPr="0018493C">
        <w:rPr>
          <w:color w:val="auto"/>
          <w:sz w:val="20"/>
          <w:lang w:val="uk-UA"/>
        </w:rPr>
        <w:t>Товарство</w:t>
      </w:r>
      <w:r w:rsidRPr="0018493C">
        <w:rPr>
          <w:color w:val="auto"/>
          <w:sz w:val="20"/>
          <w:lang w:val="uk-UA"/>
        </w:rPr>
        <w:t xml:space="preserve"> оцінює наявність об'єктивних ознак зменшення корисності фінансових інвестицій, що є в наявності для продажу.</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lastRenderedPageBreak/>
        <w:t xml:space="preserve">Відносно боргових інструментів, класифікованих як наявні для продажу, </w:t>
      </w:r>
      <w:r w:rsidR="00CF4218" w:rsidRPr="0018493C">
        <w:rPr>
          <w:color w:val="auto"/>
          <w:sz w:val="20"/>
          <w:lang w:val="uk-UA"/>
        </w:rPr>
        <w:t>Товариство</w:t>
      </w:r>
      <w:r w:rsidRPr="0018493C">
        <w:rPr>
          <w:color w:val="auto"/>
          <w:sz w:val="20"/>
          <w:lang w:val="uk-UA"/>
        </w:rPr>
        <w:t xml:space="preserve"> оцінює на індивідуальній основі наявність об'єктивних ознак знецінення за тими ж принципами, що і для фінансових активів, які обліковуються за амортизаційною вартістю. Однак відображена сума знецінення є сукупним збитком, визначений як різниця між амортизованою вартістю і поточною справедливою вартістю, за вирахуванням збитку від знецінення відносно даної інвестиції, раніше відображеного в звіті про прибутки та збитки. Надалі процентні доходи нараховуються на знижену балансову вартість за процентною ставкою, використаної для дисконтування майбутніх грошових потоків з метою визначення збитку від знецінення. Процентні доходи відображаються за статтею «Процентні доходи». Якщо в наступному році справедлива вартість боргового інструменту збільшується, і це збільшення об'єктивно пов'язане з подією після того, як збитки від зменшення корисності були визнані у звіті про прибутки і збитки, то збитки від зменшення корисності відновлюються через звіт про прибутки і збитки.</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Відносно інвестицій в інструменти власного капіталу, класифікованих як наявні для продажу, об'єктивні свідчення знецінення включають «значне» або «тривале» зниження справедливої вартості інвестиції нижче її первісної вартості. </w:t>
      </w:r>
      <w:r w:rsidR="00CF4218" w:rsidRPr="0018493C">
        <w:rPr>
          <w:color w:val="auto"/>
          <w:sz w:val="20"/>
          <w:lang w:val="uk-UA"/>
        </w:rPr>
        <w:t>Товариство</w:t>
      </w:r>
      <w:r w:rsidRPr="0018493C">
        <w:rPr>
          <w:color w:val="auto"/>
          <w:sz w:val="20"/>
          <w:lang w:val="uk-UA"/>
        </w:rPr>
        <w:t xml:space="preserve"> вважає зниження «значним», якщо воно становить, як правило, не менше 20%, і «тривалим», якщо воно перевищує, як правило, 6 місяців. У разі наявності ознак зменшення корисності, накопичені збитки (визначені як різниця між вартістю придбання та поточною справедливою вартістю, за вирахуванням збитків від зменшення корисності інвестиції, раніше визнаних у звіті про прибутки і збитки та інший сукупний дохід переносяться з капіталу до звіту про прибутки і збитки та інший сукупний дохід. Збитки від знецінення з інвестицій в інструменти власного капіталу не відновлюються через звіт про прибутки і збитки та інший сукупний дохід; збільшення справедливої вартості після знецінення визнається безпосередньо у складі іншого сукупного доходу.</w:t>
      </w: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Взаємозалік фінансових інструментів</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Взаємозалік фінансових активів та фінансових зобов'язань з відображенням нетто-суми в звіті про фінансовий стан (баланс) здійснюється тоді, і тільки тоді, коли існує юридично закріплене право провести взаємозалік визнаних сум і намір провести розрахунки на нетто-основі, або реалізувати актив одночасно з врегулюванням зобов'язання. Це, як правило, не виконується щодо генеральних угод про взаємозалік, і відповідні активи і зобов'язання відображаються в балансі в повній сумі.</w:t>
      </w: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Оренда</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Визначення того, чи є угода орендою, або чи містить вона ознаки оренди, ґрунтується на аналізі змісту угоди. При цьому потрібно встановити, чи залежить виконання угоди від використання конкретного активу або активів і чи переходить право користування активом в результаті даної угоди.</w:t>
      </w:r>
    </w:p>
    <w:p w:rsidR="00827655" w:rsidRPr="00C43611" w:rsidRDefault="00827655" w:rsidP="0000323F">
      <w:pPr>
        <w:spacing w:before="0" w:after="120" w:line="240" w:lineRule="auto"/>
        <w:ind w:firstLine="0"/>
        <w:rPr>
          <w:b/>
          <w:color w:val="auto"/>
          <w:sz w:val="20"/>
        </w:rPr>
      </w:pPr>
    </w:p>
    <w:p w:rsidR="0000323F" w:rsidRPr="0018493C" w:rsidRDefault="00982338" w:rsidP="0000323F">
      <w:pPr>
        <w:spacing w:before="0" w:after="120" w:line="240" w:lineRule="auto"/>
        <w:ind w:firstLine="0"/>
        <w:rPr>
          <w:b/>
          <w:color w:val="auto"/>
          <w:sz w:val="20"/>
          <w:lang w:val="uk-UA"/>
        </w:rPr>
      </w:pPr>
      <w:r w:rsidRPr="0018493C">
        <w:rPr>
          <w:b/>
          <w:color w:val="auto"/>
          <w:sz w:val="20"/>
          <w:lang w:val="uk-UA"/>
        </w:rPr>
        <w:t>Товариство</w:t>
      </w:r>
      <w:r w:rsidR="0000323F" w:rsidRPr="0018493C">
        <w:rPr>
          <w:b/>
          <w:color w:val="auto"/>
          <w:sz w:val="20"/>
          <w:lang w:val="uk-UA"/>
        </w:rPr>
        <w:t xml:space="preserve"> як орендар</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Оренда, за якою до </w:t>
      </w:r>
      <w:r w:rsidR="00982338" w:rsidRPr="0018493C">
        <w:rPr>
          <w:color w:val="auto"/>
          <w:sz w:val="20"/>
          <w:lang w:val="uk-UA"/>
        </w:rPr>
        <w:t>Товарситва</w:t>
      </w:r>
      <w:r w:rsidRPr="0018493C">
        <w:rPr>
          <w:color w:val="auto"/>
          <w:sz w:val="20"/>
          <w:lang w:val="uk-UA"/>
        </w:rPr>
        <w:t xml:space="preserve"> не переходять практично всі ризики і вигоди, пов'язані з володінням орендованими активами, вважається операційною орендою. Платежі з операційної оренди визнаються як витрати у звіті про прибутки і збитки та інший сукупний дохід рівними частинами протягом терміну оренди. Кредиторська заборгованість щодо умовних платежів з оренди визнається як витрати в тому періоді, в якому вона виникає.</w:t>
      </w:r>
    </w:p>
    <w:p w:rsidR="0000323F" w:rsidRPr="0018493C" w:rsidRDefault="00982338" w:rsidP="0000323F">
      <w:pPr>
        <w:spacing w:before="0" w:after="120" w:line="240" w:lineRule="auto"/>
        <w:ind w:firstLine="0"/>
        <w:rPr>
          <w:b/>
          <w:color w:val="auto"/>
          <w:sz w:val="20"/>
          <w:lang w:val="uk-UA"/>
        </w:rPr>
      </w:pPr>
      <w:r w:rsidRPr="0018493C">
        <w:rPr>
          <w:b/>
          <w:color w:val="auto"/>
          <w:sz w:val="20"/>
          <w:lang w:val="uk-UA"/>
        </w:rPr>
        <w:t>Товариство</w:t>
      </w:r>
      <w:r w:rsidR="0000323F" w:rsidRPr="0018493C">
        <w:rPr>
          <w:b/>
          <w:color w:val="auto"/>
          <w:sz w:val="20"/>
          <w:lang w:val="uk-UA"/>
        </w:rPr>
        <w:t xml:space="preserve"> як орендодавець</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Договори оренди, за яким у </w:t>
      </w:r>
      <w:r w:rsidR="00BA5FBE" w:rsidRPr="0018493C">
        <w:rPr>
          <w:color w:val="auto"/>
          <w:sz w:val="20"/>
          <w:lang w:val="uk-UA"/>
        </w:rPr>
        <w:t>Товариства</w:t>
      </w:r>
      <w:r w:rsidRPr="0018493C">
        <w:rPr>
          <w:color w:val="auto"/>
          <w:sz w:val="20"/>
          <w:lang w:val="uk-UA"/>
        </w:rPr>
        <w:t xml:space="preserve"> залишаються практично всі ризики і вигоди від володіння активом, класифікуються як операційна оренда. Початкові прямі витрати, понесені при укладенні договорів операційної оренди, включаються до балансової вартості орендованого активу і визнаються протягом терміну оренди на тій же основі, що і дохід від оренди. Умовні платежі по оренді визнаються як виручка в тому періоді, в якому вони були отримані.</w:t>
      </w: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Визнання доходів і витрат</w:t>
      </w:r>
    </w:p>
    <w:p w:rsidR="00982338" w:rsidRPr="0018493C" w:rsidRDefault="00982338" w:rsidP="0000323F">
      <w:pPr>
        <w:spacing w:before="0" w:after="120" w:line="240" w:lineRule="auto"/>
        <w:ind w:firstLine="0"/>
        <w:rPr>
          <w:color w:val="auto"/>
          <w:sz w:val="20"/>
          <w:lang w:val="uk-UA"/>
        </w:rPr>
      </w:pP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Товариство одержує доходи від відсотків по депозитних договорах та продажу страхових договорів по страхуванню, іншого ніж страхування життя. Страхові договори набувають чинності в момент їх підписання, якщо інше не передбачено умовами договору. Дохід визнається, якщо існує впевненість, що Товариство одержить страхову премію від проведення операцій страхування.</w:t>
      </w:r>
    </w:p>
    <w:p w:rsidR="00982338" w:rsidRPr="0018493C" w:rsidRDefault="00982338" w:rsidP="00982338">
      <w:pPr>
        <w:spacing w:before="0" w:after="120" w:line="240" w:lineRule="auto"/>
        <w:ind w:firstLine="0"/>
        <w:rPr>
          <w:b/>
          <w:color w:val="auto"/>
          <w:sz w:val="20"/>
          <w:lang w:val="uk-UA"/>
        </w:rPr>
      </w:pPr>
      <w:r w:rsidRPr="0018493C">
        <w:rPr>
          <w:b/>
          <w:color w:val="auto"/>
          <w:sz w:val="20"/>
          <w:lang w:val="uk-UA"/>
        </w:rPr>
        <w:t xml:space="preserve">Інші доходи </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 xml:space="preserve">Товариство одержує інший дохід, який не пов'язаний із проведенням операцій страхування, від розміщення тимчасово вільних коштів, а саме: відсотки від депозитів і прибуток від продажу цінних паперів. </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lastRenderedPageBreak/>
        <w:t>Інший дохід визнається, коли є впевненість, що Товариство одержить економічні вигоди від проведених операцій і розмір доходу можна вірогідно визначити. Дохід визнається за винятком витрат на його одержання в тому періоді, у якому проведена операція.</w:t>
      </w:r>
    </w:p>
    <w:p w:rsidR="00982338" w:rsidRPr="0018493C" w:rsidRDefault="00982338" w:rsidP="00982338">
      <w:pPr>
        <w:contextualSpacing/>
        <w:rPr>
          <w:color w:val="auto"/>
          <w:szCs w:val="24"/>
        </w:rPr>
      </w:pPr>
    </w:p>
    <w:p w:rsidR="00982338" w:rsidRPr="0018493C" w:rsidRDefault="00982338" w:rsidP="00982338">
      <w:pPr>
        <w:spacing w:before="0" w:after="120" w:line="240" w:lineRule="auto"/>
        <w:ind w:firstLine="0"/>
        <w:rPr>
          <w:b/>
          <w:color w:val="auto"/>
          <w:sz w:val="20"/>
          <w:lang w:val="uk-UA"/>
        </w:rPr>
      </w:pPr>
      <w:r w:rsidRPr="0018493C">
        <w:rPr>
          <w:b/>
          <w:color w:val="auto"/>
          <w:sz w:val="20"/>
          <w:lang w:val="uk-UA"/>
        </w:rPr>
        <w:t>Визнання витрат</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Товариство має витрати на ведення справи в процесі своєї операційної діяльності, а також інші витрати, які не пов'язані зі страховою діяльністю.</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Витрати визнаються у звіті про фінансові результати, якщо виникає зменшення  майбутніх економічних вигід, пов'язаних зі зменшенням активу або збільшенням зобов'язання, які можуть бути надійно обмірювані.</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Витрати визнаються у звіті про фінансові результати на основі безпосереднього зіставлення між понесеними витратами й прибутками по конкретних статтях доходів.</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Якщо виникнення економічних вигід очікується протягом декількох облікових періодів і зв'язок з доходом може бути простежений тільки в цілому або побічно, витрати у звіті про фінансові результати визнаються на основі методу раціонального розподілу.</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Видаток визнається у звіті про фінансові результати негайно, якщо витрати не створюють більші майбутні економічні вигоди, або коли майбутні економічні вигоди не відповідають або перестають відповідати вимогам визнання як активу в балансі.</w:t>
      </w:r>
    </w:p>
    <w:p w:rsidR="00982338" w:rsidRPr="0018493C" w:rsidRDefault="00982338" w:rsidP="00982338">
      <w:pPr>
        <w:spacing w:before="0" w:after="120" w:line="240" w:lineRule="auto"/>
        <w:ind w:firstLine="0"/>
        <w:rPr>
          <w:color w:val="auto"/>
          <w:sz w:val="20"/>
          <w:lang w:val="uk-UA"/>
        </w:rPr>
      </w:pPr>
    </w:p>
    <w:p w:rsidR="00982338" w:rsidRPr="0018493C" w:rsidRDefault="00982338" w:rsidP="00982338">
      <w:pPr>
        <w:pStyle w:val="a0"/>
        <w:numPr>
          <w:ilvl w:val="0"/>
          <w:numId w:val="2"/>
        </w:numPr>
        <w:spacing w:before="0" w:after="120" w:line="240" w:lineRule="auto"/>
        <w:ind w:left="567" w:hanging="567"/>
        <w:rPr>
          <w:b/>
          <w:color w:val="auto"/>
          <w:sz w:val="20"/>
          <w:lang w:val="uk-UA"/>
        </w:rPr>
      </w:pPr>
      <w:r w:rsidRPr="0018493C">
        <w:rPr>
          <w:b/>
          <w:color w:val="auto"/>
          <w:sz w:val="20"/>
          <w:lang w:val="uk-UA"/>
        </w:rPr>
        <w:t>Зобов'язання по пенсійних програмах</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Товариство бере участь у державній пенсійній системі України. Дана система вимагає від роботодавця виплати поточних щомісячних внесків, які розраховуються на основі процентних ставок від фонду оплати праці. У звіті про фінансові результати такі витрати віднесені до витрат на ведення справи в тому періоді, у якому вони були понесені.</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У Товариства не існує інших пенсійних програм, програм додаткових виплат при виході працівників на пенсію або інших значних компенсаційних програм, які зажадали б додаткових нарахувань.</w:t>
      </w:r>
    </w:p>
    <w:p w:rsidR="00827655" w:rsidRPr="00C43611" w:rsidRDefault="00827655" w:rsidP="00982338">
      <w:pPr>
        <w:contextualSpacing/>
        <w:rPr>
          <w:color w:val="auto"/>
          <w:szCs w:val="24"/>
        </w:rPr>
      </w:pPr>
    </w:p>
    <w:p w:rsidR="00982338" w:rsidRPr="0018493C" w:rsidRDefault="00982338" w:rsidP="00982338">
      <w:pPr>
        <w:pStyle w:val="a0"/>
        <w:numPr>
          <w:ilvl w:val="0"/>
          <w:numId w:val="2"/>
        </w:numPr>
        <w:spacing w:before="0" w:after="120" w:line="240" w:lineRule="auto"/>
        <w:ind w:left="567" w:hanging="567"/>
        <w:rPr>
          <w:b/>
          <w:color w:val="auto"/>
          <w:sz w:val="20"/>
          <w:lang w:val="uk-UA"/>
        </w:rPr>
      </w:pPr>
      <w:r w:rsidRPr="0018493C">
        <w:rPr>
          <w:b/>
          <w:color w:val="auto"/>
          <w:sz w:val="20"/>
          <w:lang w:val="uk-UA"/>
        </w:rPr>
        <w:t>Видатки на персонал</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Короткострокові винагороди працівникам, включаючи заробітну плату й платежі по соціальному страхуванню, премії й відпускні допомоги, ураховуються в основних витратах за принципом накопичення. Відповідно до законодавства, Товариство провадить внески певного розміру до фонду пенсійного страхування, державного соціального страхування за кожного працівника протягом усього періоду зайнятості працівника. У Товариства немає зобов'язань по подальших внесках у зв'язку з пенсіями.</w:t>
      </w:r>
    </w:p>
    <w:p w:rsidR="00982338" w:rsidRPr="0018493C" w:rsidRDefault="00982338" w:rsidP="00982338">
      <w:pPr>
        <w:pStyle w:val="a0"/>
        <w:numPr>
          <w:ilvl w:val="0"/>
          <w:numId w:val="2"/>
        </w:numPr>
        <w:spacing w:before="0" w:after="120" w:line="240" w:lineRule="auto"/>
        <w:ind w:left="567" w:hanging="567"/>
        <w:rPr>
          <w:b/>
          <w:color w:val="auto"/>
          <w:sz w:val="20"/>
          <w:lang w:val="uk-UA"/>
        </w:rPr>
      </w:pPr>
      <w:r w:rsidRPr="0018493C">
        <w:rPr>
          <w:b/>
          <w:color w:val="auto"/>
          <w:sz w:val="20"/>
          <w:lang w:val="uk-UA"/>
        </w:rPr>
        <w:t>Резерви</w:t>
      </w:r>
    </w:p>
    <w:p w:rsidR="00982338" w:rsidRDefault="00982338" w:rsidP="00982338">
      <w:pPr>
        <w:spacing w:before="0" w:after="120" w:line="240" w:lineRule="auto"/>
        <w:ind w:firstLine="0"/>
        <w:rPr>
          <w:color w:val="auto"/>
          <w:sz w:val="20"/>
          <w:lang w:val="uk-UA"/>
        </w:rPr>
      </w:pPr>
      <w:r w:rsidRPr="0018493C">
        <w:rPr>
          <w:color w:val="auto"/>
          <w:sz w:val="20"/>
          <w:lang w:val="uk-UA"/>
        </w:rPr>
        <w:t>Резерв визнається, якщо в результаті події, що відбулася, Товариство має юридичні або можливі зобов'язання, які можуть бути вірогідно оцінені, і існує ймовірність того, що буде необхідний відтік економічних вигід для врегулювання зобов'язань.</w:t>
      </w:r>
    </w:p>
    <w:p w:rsidR="00612C50" w:rsidRPr="0018493C" w:rsidRDefault="00612C50" w:rsidP="00982338">
      <w:pPr>
        <w:spacing w:before="0" w:after="120" w:line="240" w:lineRule="auto"/>
        <w:ind w:firstLine="0"/>
        <w:rPr>
          <w:color w:val="auto"/>
          <w:sz w:val="20"/>
          <w:lang w:val="uk-UA"/>
        </w:rPr>
      </w:pPr>
    </w:p>
    <w:p w:rsidR="00982338" w:rsidRPr="0018493C" w:rsidRDefault="00982338" w:rsidP="00982338">
      <w:pPr>
        <w:pStyle w:val="a0"/>
        <w:numPr>
          <w:ilvl w:val="0"/>
          <w:numId w:val="2"/>
        </w:numPr>
        <w:spacing w:before="0" w:after="120" w:line="240" w:lineRule="auto"/>
        <w:ind w:left="567" w:hanging="567"/>
        <w:rPr>
          <w:b/>
          <w:color w:val="auto"/>
          <w:sz w:val="20"/>
          <w:lang w:val="uk-UA"/>
        </w:rPr>
      </w:pPr>
      <w:r w:rsidRPr="0018493C">
        <w:rPr>
          <w:b/>
          <w:color w:val="auto"/>
          <w:sz w:val="20"/>
          <w:lang w:val="uk-UA"/>
        </w:rPr>
        <w:t>Оподатковування</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Поточні витрати на сплату податку на  страхову діяльність Товариства розраховані відповідно українському податковому законодавству, де базою є валова сума страхових платежів, страхових внесків, страхових премій, нарахованих за договорами страхування і співстрахування. При цьому страхові платежі, страхові внески, страхові премії за договорами співстрахування включаються до складу об’єкта оподаткування страховика тільки в розмірі його частки страхової премії, передбаченої договором співстрахування..</w:t>
      </w:r>
    </w:p>
    <w:p w:rsidR="00982338" w:rsidRPr="0018493C" w:rsidRDefault="00982338" w:rsidP="00982338">
      <w:pPr>
        <w:pStyle w:val="a0"/>
        <w:numPr>
          <w:ilvl w:val="0"/>
          <w:numId w:val="2"/>
        </w:numPr>
        <w:spacing w:before="0" w:after="120" w:line="240" w:lineRule="auto"/>
        <w:ind w:left="567" w:hanging="567"/>
        <w:rPr>
          <w:b/>
          <w:color w:val="auto"/>
          <w:sz w:val="20"/>
          <w:lang w:val="uk-UA"/>
        </w:rPr>
      </w:pPr>
      <w:r w:rsidRPr="0018493C">
        <w:rPr>
          <w:b/>
          <w:color w:val="auto"/>
          <w:sz w:val="20"/>
          <w:lang w:val="uk-UA"/>
        </w:rPr>
        <w:t>Статутний капітал</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Статутний капітал відображається по первісній вартості. Видатки, безпосередньо пов'язані з випуском нових акцій, відображаються як зменшення власних коштів акціонерів за винятком усіх застосовних податків на прибуток.</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lastRenderedPageBreak/>
        <w:t>Дивіденди за простим акціями відображаються як зменшення власних коштів у тому періоді, у якому вони були оголошені. Дивіденди, оголошені після звітної дати, розглядаються в якості події після звітної дати згідно МСБО 10 «Події після звітної дати», і інформація про них розкривається відповідним чином.</w:t>
      </w:r>
    </w:p>
    <w:p w:rsidR="00982338" w:rsidRPr="0018493C" w:rsidRDefault="00982338" w:rsidP="00982338">
      <w:pPr>
        <w:pStyle w:val="a0"/>
        <w:numPr>
          <w:ilvl w:val="0"/>
          <w:numId w:val="2"/>
        </w:numPr>
        <w:spacing w:before="0" w:after="120" w:line="240" w:lineRule="auto"/>
        <w:ind w:left="567" w:hanging="567"/>
        <w:rPr>
          <w:b/>
          <w:color w:val="auto"/>
          <w:sz w:val="20"/>
          <w:lang w:val="uk-UA"/>
        </w:rPr>
      </w:pPr>
      <w:r w:rsidRPr="0018493C">
        <w:rPr>
          <w:b/>
          <w:color w:val="auto"/>
          <w:sz w:val="20"/>
          <w:lang w:val="uk-UA"/>
        </w:rPr>
        <w:t>Зв'язані сторони</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 xml:space="preserve">Зв'язаними сторонами є учасники Товариства, члени Наглядової Ради й члени Правління, </w:t>
      </w:r>
      <w:r w:rsidR="00827655">
        <w:rPr>
          <w:rStyle w:val="apple-converted-space"/>
          <w:color w:val="222222"/>
          <w:sz w:val="20"/>
          <w:shd w:val="clear" w:color="auto" w:fill="FFFFFF"/>
        </w:rPr>
        <w:t> </w:t>
      </w:r>
      <w:r w:rsidR="00827655" w:rsidRPr="00827655">
        <w:rPr>
          <w:color w:val="auto"/>
          <w:sz w:val="20"/>
          <w:lang w:val="uk-UA"/>
        </w:rPr>
        <w:t>керівники Товариства та дочірньої компанії,</w:t>
      </w:r>
      <w:r w:rsidR="00827655" w:rsidRPr="00827655">
        <w:rPr>
          <w:color w:val="auto"/>
          <w:sz w:val="20"/>
        </w:rPr>
        <w:t xml:space="preserve"> </w:t>
      </w:r>
      <w:r w:rsidRPr="0018493C">
        <w:rPr>
          <w:color w:val="auto"/>
          <w:sz w:val="20"/>
          <w:lang w:val="uk-UA"/>
        </w:rPr>
        <w:t>їх близькі родичі, а також підприємства, у яких вони мають істотний вплив або контроль.</w:t>
      </w:r>
    </w:p>
    <w:p w:rsidR="00982338" w:rsidRPr="0018493C" w:rsidRDefault="00982338" w:rsidP="00982338">
      <w:pPr>
        <w:pStyle w:val="a0"/>
        <w:numPr>
          <w:ilvl w:val="0"/>
          <w:numId w:val="2"/>
        </w:numPr>
        <w:spacing w:before="0" w:after="120" w:line="240" w:lineRule="auto"/>
        <w:ind w:left="567" w:hanging="567"/>
        <w:rPr>
          <w:b/>
          <w:color w:val="auto"/>
          <w:sz w:val="20"/>
          <w:lang w:val="uk-UA"/>
        </w:rPr>
      </w:pPr>
      <w:r w:rsidRPr="0018493C">
        <w:rPr>
          <w:b/>
          <w:color w:val="auto"/>
          <w:sz w:val="20"/>
          <w:lang w:val="uk-UA"/>
        </w:rPr>
        <w:t>Важливі облікові оцінки й судження в застосовуваній обліковій політиці</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Підготовка фінансової звітності відповідно до МСФО вимагає від керівництва застосування суджень, оцінок і допущень, які впливають на застосування політик і звітні суми активів і зобов'язань, прибуток і збитки. Хоча ці оцінки засновані на знанні керівництвом останніх подій, фактичні результати, в остаточному підсумку, можуть відрізнятися від цих оцінок.</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Оцінки й допущення аналізуються на постійній основі. Зміни в бухгалтерських оцінках визнаються в періоді, у якому оцінка змінюється, якщо ця зміна впливає тільки на цей період, або в період проведення аналізу й у майбутніх періодах, якщо зміна впливає як на звітний, так і на майбутній періоди.</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Основні джерела невизначеності оцінки: технічні резерви страхування</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У зв'язку зі специфікою бізнесу складно із упевненістю передбачити результат будь-якої вимоги й кінцеву вартість заявлених вимог. Кожна заявлена вимога оцінюється окремо, у кожному конкретному випадку, з урахуванням обставин вимоги, інформації, доступної від оцінювачів збитку, а також історичних фактів про розміри аналогічних вимог. Оцінки страхових вимог регулярно аналізуються й обновляються, коли з'являється нова інформація. Резерви ґрунтуються на інформації, наявної в цей час. Однак кінцеві зобов'язання можуть змінюватися в результаті наступних подій. Складнощі з оцінкою резерву також відрізняються залежно від сфери страхової діяльності через складність вимог, обсягу й індивідуальної значимості вимог, визначаючи дату виникнення вимоги й затримки пред'явлення вимог.</w:t>
      </w:r>
    </w:p>
    <w:p w:rsidR="00982338" w:rsidRPr="0018493C" w:rsidRDefault="00982338" w:rsidP="00982338">
      <w:pPr>
        <w:spacing w:before="0" w:after="120" w:line="240" w:lineRule="auto"/>
        <w:ind w:firstLine="0"/>
        <w:rPr>
          <w:color w:val="auto"/>
          <w:sz w:val="20"/>
          <w:lang w:val="uk-UA"/>
        </w:rPr>
      </w:pPr>
      <w:r w:rsidRPr="0018493C">
        <w:rPr>
          <w:color w:val="auto"/>
          <w:sz w:val="20"/>
          <w:lang w:val="uk-UA"/>
        </w:rPr>
        <w:t>Сама істотна оцінка пов'язана з резервами заявлених, але неурегульованих страхових випадків. Основне допущення щодо достатності технічних резервів страхування регулярно контролюється за допомогою аналізу періоду подачі вимог і тесту достатності зобов'язань, який проводиться для кожної сфери діяльності.</w:t>
      </w:r>
    </w:p>
    <w:p w:rsidR="00982338" w:rsidRPr="0018493C" w:rsidRDefault="00982338" w:rsidP="0000323F">
      <w:pPr>
        <w:spacing w:before="0" w:after="120" w:line="240" w:lineRule="auto"/>
        <w:ind w:firstLine="0"/>
        <w:rPr>
          <w:color w:val="auto"/>
          <w:sz w:val="20"/>
          <w:lang w:val="uk-UA"/>
        </w:rPr>
      </w:pP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Знецінення нефінансових активів</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На кожну звітну дату </w:t>
      </w:r>
      <w:r w:rsidR="00982338" w:rsidRPr="0018493C">
        <w:rPr>
          <w:color w:val="auto"/>
          <w:sz w:val="20"/>
          <w:lang w:val="uk-UA"/>
        </w:rPr>
        <w:t>Товариство</w:t>
      </w:r>
      <w:r w:rsidRPr="0018493C">
        <w:rPr>
          <w:color w:val="auto"/>
          <w:sz w:val="20"/>
          <w:lang w:val="uk-UA"/>
        </w:rPr>
        <w:t xml:space="preserve"> визначає, чи є ознаки можливого знецінення активу. Якщо такі ознаки існують або якщо необхідно виконати щорічну перевірку активу на знецінення, </w:t>
      </w:r>
      <w:r w:rsidR="00982338" w:rsidRPr="0018493C">
        <w:rPr>
          <w:color w:val="auto"/>
          <w:sz w:val="20"/>
          <w:lang w:val="uk-UA"/>
        </w:rPr>
        <w:t>Товариство</w:t>
      </w:r>
      <w:r w:rsidRPr="0018493C">
        <w:rPr>
          <w:color w:val="auto"/>
          <w:sz w:val="20"/>
          <w:lang w:val="uk-UA"/>
        </w:rPr>
        <w:t xml:space="preserve"> проводить оцінку суми очікуваного відшкодування. Сума очікуваного відшкодування є більшою з наступних величин: справедливої вартості активу або підрозділу, що генерує грошові потоки, за вирахуванням витрат на продаж, або вартості використання активу. Якщо балансова вартість активу або підрозділу, що генерує грошові потоки перевищує суму очікуваного відшкодування, актив вважається знеціненими і списується до суми відшкодування. Вартість використання активу оцінюється шляхом приведення очікуваних грошових надходжень до теперішньої вартості з використанням ставки дисконтування до оподаткування, що відображає поточну ринкову вартість грошей і ризики, властиві даному активу. При визначенні справедливої вартості за вирахуванням витрат на продаж використовується відповідна модель оцінки. Дані розрахунки підкріплюються коефіцієнтами оцінки, котируваннями цін на акції дочірніх компаній, які обертаються на біржі або іншими доступними індикаторами справедливої вартості.</w:t>
      </w:r>
    </w:p>
    <w:p w:rsidR="0000323F" w:rsidRPr="0018493C" w:rsidRDefault="0000323F" w:rsidP="0000323F">
      <w:pPr>
        <w:spacing w:before="0" w:after="120" w:line="240" w:lineRule="auto"/>
        <w:ind w:firstLine="0"/>
        <w:rPr>
          <w:color w:val="auto"/>
          <w:sz w:val="20"/>
          <w:lang w:val="uk-UA"/>
        </w:rPr>
      </w:pPr>
      <w:r w:rsidRPr="0018493C">
        <w:rPr>
          <w:color w:val="auto"/>
          <w:sz w:val="20"/>
          <w:lang w:val="uk-UA"/>
        </w:rPr>
        <w:t xml:space="preserve">На кожну звітну дату </w:t>
      </w:r>
      <w:r w:rsidR="00982338" w:rsidRPr="0018493C">
        <w:rPr>
          <w:color w:val="auto"/>
          <w:sz w:val="20"/>
          <w:lang w:val="uk-UA"/>
        </w:rPr>
        <w:t>Товариство</w:t>
      </w:r>
      <w:r w:rsidRPr="0018493C">
        <w:rPr>
          <w:color w:val="auto"/>
          <w:sz w:val="20"/>
          <w:lang w:val="uk-UA"/>
        </w:rPr>
        <w:t xml:space="preserve"> визначає, чи є ознаки того, що раніше визнані збитки від знецінення активу, за винятком гудвілу, більше не існують або скоротилися. Якщо така ознака є, </w:t>
      </w:r>
      <w:r w:rsidR="00982338" w:rsidRPr="0018493C">
        <w:rPr>
          <w:color w:val="auto"/>
          <w:sz w:val="20"/>
          <w:lang w:val="uk-UA"/>
        </w:rPr>
        <w:t>Товариство</w:t>
      </w:r>
      <w:r w:rsidRPr="0018493C">
        <w:rPr>
          <w:color w:val="auto"/>
          <w:sz w:val="20"/>
          <w:lang w:val="uk-UA"/>
        </w:rPr>
        <w:t xml:space="preserve"> визначає суму очікуваного відшкодування активу або підрозділу, що генерує грошові потоки. Раніше визнані збитки від знецінення відновлюються тільки в тому випадку, якщо мала місце зміна в припущеннях, що використовуються для визначення суми очікуваного відшкодування активу, з моменту останнього визнання збитку від знецінення. Відновлення має обмежений характер, тобто балансова вартість активу не повинна перевищувати суму очікуваного відшкодування і балансової вартості, яка була б визначена за вирахуванням амортизації, якби в попередніх періодах не був визнаний збиток від зменшення корисності. Таке відновлення визнається у звіті про прибутки та збитки.</w:t>
      </w:r>
    </w:p>
    <w:p w:rsidR="0000323F" w:rsidRPr="0018493C" w:rsidRDefault="0000323F" w:rsidP="00E417A5">
      <w:pPr>
        <w:pStyle w:val="a0"/>
        <w:numPr>
          <w:ilvl w:val="0"/>
          <w:numId w:val="2"/>
        </w:numPr>
        <w:spacing w:before="0" w:after="120" w:line="240" w:lineRule="auto"/>
        <w:ind w:left="567" w:hanging="567"/>
        <w:rPr>
          <w:b/>
          <w:color w:val="auto"/>
          <w:sz w:val="20"/>
          <w:lang w:val="uk-UA"/>
        </w:rPr>
      </w:pPr>
      <w:r w:rsidRPr="0018493C">
        <w:rPr>
          <w:b/>
          <w:color w:val="auto"/>
          <w:sz w:val="20"/>
          <w:lang w:val="uk-UA"/>
        </w:rPr>
        <w:t>Звітність за сегментами</w:t>
      </w:r>
    </w:p>
    <w:p w:rsidR="00295CEB" w:rsidRPr="0018493C" w:rsidRDefault="00827655" w:rsidP="0000323F">
      <w:pPr>
        <w:spacing w:before="0" w:after="120" w:line="240" w:lineRule="auto"/>
        <w:ind w:firstLine="0"/>
        <w:rPr>
          <w:color w:val="auto"/>
          <w:sz w:val="20"/>
          <w:lang w:val="uk-UA"/>
        </w:rPr>
      </w:pPr>
      <w:r w:rsidRPr="00827655">
        <w:rPr>
          <w:color w:val="auto"/>
          <w:sz w:val="20"/>
          <w:lang w:val="uk-UA"/>
        </w:rPr>
        <w:t>Відповідно до консолідованої фінансової звітності найсуттєвіший  економічний сегмент в якому Товариство здійснює свою діяльність є страхування та один географічний сегмент – Україна. Відповідно інформація за сегментами не надається.</w:t>
      </w:r>
    </w:p>
    <w:p w:rsidR="00295CEB" w:rsidRPr="0018493C" w:rsidRDefault="00295CEB" w:rsidP="00295CEB">
      <w:pPr>
        <w:pStyle w:val="a0"/>
        <w:numPr>
          <w:ilvl w:val="0"/>
          <w:numId w:val="2"/>
        </w:numPr>
        <w:spacing w:before="0" w:after="120" w:line="240" w:lineRule="auto"/>
        <w:ind w:left="567" w:hanging="567"/>
        <w:rPr>
          <w:b/>
          <w:color w:val="auto"/>
          <w:sz w:val="20"/>
          <w:lang w:val="uk-UA"/>
        </w:rPr>
      </w:pPr>
      <w:r w:rsidRPr="0018493C">
        <w:rPr>
          <w:b/>
          <w:color w:val="auto"/>
          <w:sz w:val="20"/>
          <w:lang w:val="uk-UA"/>
        </w:rPr>
        <w:lastRenderedPageBreak/>
        <w:t>Об'єднання бізнесу</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Об'єднання бізнесу обліковуються з використанням методу придбання на дату придбання, що є датою, на яку контроль передається Товариству.</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Товариство визначає гудвіл на дату придбання як різницю між справедливою вартістю винагороди при придбанні (включаючи справедливу вартість будь-якої попередньо утримуваної частки в капіталі об'єкту придбання, якщо об'єднання бізнесу здійснюється поетапно), та визнаною сумою будь-якої неконтролюючої частки у об'єкті придбання, за мінусом визначеної чистої суми (зазвичай, справедливої вартості) ідентифікованих придбаних активів та зобов'язань. Якщо різниця є від'ємною, у складі прибутку або збитку одразу визнається дохід від вигідного придбання.</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До складу сплаченої винагороди не включаються суми, що відносяться до врегулювання вже існуючих відносин. Такі суми визнаються у прибутках або збитках.</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Будь-яка умовна компенсація оцінюється за справедливою вартістю на дату придбання. Якщо умовна компенсація класифікується як капітал, тоді вона не переоцінюється, а оплата обліковується у складі капіталу. Іншими словами, подальші зміни у справедливій вартості умовної компенсації визнаються у прибутках або збитках.</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Товариство обирає по кожній з операцій: чи визнавати йому неконтролюючу частку за справедливою вартістю, чи на пропорційній основі щодо визнаної суми ідентифікованих чистих активів об'єкту придбання на дату придбання.</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Витрати на здійснення операції, інші, ніж ті, які пов'язані з випуском боргу чи вкладеннями в капітал, які Товариство несе при здійсненні об'єднання бізнесу, визнаються у прибутках або збитках одразу в момент виникнення.</w:t>
      </w:r>
    </w:p>
    <w:p w:rsidR="00CA5886" w:rsidRPr="0018493C" w:rsidRDefault="00CA5886" w:rsidP="00295CEB">
      <w:pPr>
        <w:contextualSpacing/>
        <w:rPr>
          <w:b/>
          <w:i/>
          <w:color w:val="auto"/>
          <w:szCs w:val="24"/>
          <w:lang w:val="uk-UA"/>
        </w:rPr>
      </w:pPr>
      <w:bookmarkStart w:id="14" w:name="bookmark2"/>
    </w:p>
    <w:p w:rsidR="00295CEB" w:rsidRPr="0018493C" w:rsidRDefault="00295CEB" w:rsidP="00295CEB">
      <w:pPr>
        <w:pStyle w:val="a0"/>
        <w:numPr>
          <w:ilvl w:val="0"/>
          <w:numId w:val="2"/>
        </w:numPr>
        <w:spacing w:before="0" w:after="120" w:line="240" w:lineRule="auto"/>
        <w:ind w:left="567" w:hanging="567"/>
        <w:rPr>
          <w:b/>
          <w:color w:val="auto"/>
          <w:sz w:val="20"/>
          <w:lang w:val="uk-UA"/>
        </w:rPr>
      </w:pPr>
      <w:r w:rsidRPr="0018493C">
        <w:rPr>
          <w:b/>
          <w:color w:val="auto"/>
          <w:sz w:val="20"/>
          <w:lang w:val="uk-UA"/>
        </w:rPr>
        <w:t>Дочірні підприємства</w:t>
      </w:r>
      <w:bookmarkEnd w:id="14"/>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Дочірні підприємства - це підприємства, які контролюються Товариством. Товариство контролює підприємство, коли піддається ризикам, пов'язаним з перемінними доходами від участі у діяльності підприємства, або має право на отримання таких доходів та має можливість впливати на ці доходи через свій вплив на підприємство. Зокрема, Товариство консолідує підприємства, над якими у нього є контроль де-факто. Фінансова звітність дочірніх підприємств включена у консолідовану фінансову звітність з дати набуття контролю до дати втрати контролю.</w:t>
      </w:r>
    </w:p>
    <w:p w:rsidR="00295CEB" w:rsidRPr="0018493C" w:rsidRDefault="00295CEB" w:rsidP="00295CEB">
      <w:pPr>
        <w:pStyle w:val="a0"/>
        <w:numPr>
          <w:ilvl w:val="0"/>
          <w:numId w:val="2"/>
        </w:numPr>
        <w:spacing w:before="0" w:after="120" w:line="240" w:lineRule="auto"/>
        <w:ind w:left="567" w:hanging="567"/>
        <w:rPr>
          <w:b/>
          <w:color w:val="auto"/>
          <w:sz w:val="20"/>
          <w:lang w:val="uk-UA"/>
        </w:rPr>
      </w:pPr>
      <w:bookmarkStart w:id="15" w:name="bookmark3"/>
      <w:r w:rsidRPr="0018493C">
        <w:rPr>
          <w:b/>
          <w:color w:val="auto"/>
          <w:sz w:val="20"/>
          <w:lang w:val="uk-UA"/>
        </w:rPr>
        <w:t>Придбання та продаж неконтролюючої частки</w:t>
      </w:r>
      <w:bookmarkEnd w:id="15"/>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Товариство обліковує придбання та продаж неконтролюючої частки як операції з капіталом. Будь-яка різниця між сумою, на яку неконтролююча частка коригується, та справедливою вартістю заплаченої або отриманої винагороди визнається напряму в капіталі та належить власникам материнсько</w:t>
      </w:r>
      <w:r w:rsidR="00827655">
        <w:rPr>
          <w:color w:val="auto"/>
          <w:sz w:val="20"/>
          <w:lang w:val="uk-UA"/>
        </w:rPr>
        <w:t>ї</w:t>
      </w:r>
      <w:r w:rsidRPr="0018493C">
        <w:rPr>
          <w:color w:val="auto"/>
          <w:sz w:val="20"/>
          <w:lang w:val="uk-UA"/>
        </w:rPr>
        <w:t xml:space="preserve"> </w:t>
      </w:r>
      <w:r w:rsidR="00827655" w:rsidRPr="00827655">
        <w:rPr>
          <w:color w:val="auto"/>
          <w:sz w:val="20"/>
        </w:rPr>
        <w:t>компанії</w:t>
      </w:r>
      <w:r w:rsidRPr="0018493C">
        <w:rPr>
          <w:color w:val="auto"/>
          <w:sz w:val="20"/>
          <w:lang w:val="uk-UA"/>
        </w:rPr>
        <w:t>.</w:t>
      </w:r>
    </w:p>
    <w:p w:rsidR="00295CEB" w:rsidRPr="0018493C" w:rsidRDefault="00295CEB" w:rsidP="00295CEB">
      <w:pPr>
        <w:spacing w:before="0" w:after="120" w:line="240" w:lineRule="auto"/>
        <w:ind w:firstLine="0"/>
        <w:rPr>
          <w:color w:val="auto"/>
          <w:sz w:val="20"/>
          <w:lang w:val="uk-UA"/>
        </w:rPr>
      </w:pPr>
      <w:bookmarkStart w:id="16" w:name="bookmark4"/>
    </w:p>
    <w:p w:rsidR="00295CEB" w:rsidRPr="0018493C" w:rsidRDefault="00295CEB" w:rsidP="00295CEB">
      <w:pPr>
        <w:pStyle w:val="a0"/>
        <w:numPr>
          <w:ilvl w:val="0"/>
          <w:numId w:val="2"/>
        </w:numPr>
        <w:spacing w:before="0" w:after="120" w:line="240" w:lineRule="auto"/>
        <w:ind w:left="567" w:hanging="567"/>
        <w:rPr>
          <w:b/>
          <w:color w:val="auto"/>
          <w:sz w:val="20"/>
          <w:lang w:val="uk-UA"/>
        </w:rPr>
      </w:pPr>
      <w:r w:rsidRPr="0018493C">
        <w:rPr>
          <w:b/>
          <w:color w:val="auto"/>
          <w:sz w:val="20"/>
          <w:lang w:val="uk-UA"/>
        </w:rPr>
        <w:t>Асоційовані підприємства</w:t>
      </w:r>
      <w:bookmarkEnd w:id="16"/>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Асоційовані підприємства - це підприємства, в яких Товариство має суттєвий вплив, але не контроль, над фінансовою та операційною діяльністю. Станом на 31.12.201</w:t>
      </w:r>
      <w:r w:rsidR="00612C50">
        <w:rPr>
          <w:color w:val="auto"/>
          <w:sz w:val="20"/>
          <w:lang w:val="uk-UA"/>
        </w:rPr>
        <w:t>7</w:t>
      </w:r>
      <w:r w:rsidRPr="0018493C">
        <w:rPr>
          <w:color w:val="auto"/>
          <w:sz w:val="20"/>
          <w:lang w:val="uk-UA"/>
        </w:rPr>
        <w:t xml:space="preserve"> року Товариство не має асоційованих підприємств.</w:t>
      </w:r>
    </w:p>
    <w:p w:rsidR="00295CEB" w:rsidRPr="0018493C" w:rsidRDefault="00295CEB" w:rsidP="00295CEB">
      <w:pPr>
        <w:contextualSpacing/>
        <w:rPr>
          <w:b/>
          <w:i/>
          <w:color w:val="auto"/>
          <w:szCs w:val="24"/>
        </w:rPr>
      </w:pPr>
      <w:bookmarkStart w:id="17" w:name="bookmark5"/>
    </w:p>
    <w:p w:rsidR="00295CEB" w:rsidRPr="0018493C" w:rsidRDefault="00295CEB" w:rsidP="00295CEB">
      <w:pPr>
        <w:pStyle w:val="a0"/>
        <w:numPr>
          <w:ilvl w:val="0"/>
          <w:numId w:val="2"/>
        </w:numPr>
        <w:spacing w:before="0" w:after="120" w:line="240" w:lineRule="auto"/>
        <w:ind w:left="567" w:hanging="567"/>
        <w:rPr>
          <w:b/>
          <w:color w:val="auto"/>
          <w:sz w:val="20"/>
          <w:lang w:val="uk-UA"/>
        </w:rPr>
      </w:pPr>
      <w:r w:rsidRPr="0018493C">
        <w:rPr>
          <w:b/>
          <w:color w:val="auto"/>
          <w:sz w:val="20"/>
          <w:lang w:val="uk-UA"/>
        </w:rPr>
        <w:t>Елімінація операцій при консолідації</w:t>
      </w:r>
      <w:bookmarkEnd w:id="17"/>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 xml:space="preserve">Внутрігрупові залишки та операції, а також будь-які нереалізовані прибутки від внутрігрупових операцій, елімінуються при підготовці консолідованої фінансової звітності. </w:t>
      </w:r>
    </w:p>
    <w:p w:rsidR="00295CEB" w:rsidRPr="0018493C" w:rsidRDefault="00295CEB" w:rsidP="00295CEB">
      <w:pPr>
        <w:pStyle w:val="a0"/>
        <w:numPr>
          <w:ilvl w:val="0"/>
          <w:numId w:val="2"/>
        </w:numPr>
        <w:spacing w:before="0" w:after="120" w:line="240" w:lineRule="auto"/>
        <w:ind w:left="567" w:hanging="567"/>
        <w:rPr>
          <w:b/>
          <w:color w:val="auto"/>
          <w:sz w:val="20"/>
          <w:lang w:val="uk-UA"/>
        </w:rPr>
      </w:pPr>
      <w:bookmarkStart w:id="18" w:name="bookmark6"/>
      <w:r w:rsidRPr="0018493C">
        <w:rPr>
          <w:b/>
          <w:color w:val="auto"/>
          <w:sz w:val="20"/>
          <w:lang w:val="uk-UA"/>
        </w:rPr>
        <w:t>Гудвіл</w:t>
      </w:r>
      <w:bookmarkEnd w:id="18"/>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Гудвіл від придбання дочірніх підприємств включається до складу нематеріальних активів. Що стосується асоційованих підприємств, то балансова вартість гудвілу включається до балансової вартості інвестицій в асоційовані підприємства.</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Гудвіл відноситься до одиниць, що генерують грошові потоки, для цілей оцінки на зменшення корисності, та відображається за собівартістю за мінусом збитків від зменшення корисності.</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lastRenderedPageBreak/>
        <w:t>Прибутки та збитки від реалізації підприємств включають балансову вартість гудвілу, що відноситься до реалізованого підприємства.</w:t>
      </w:r>
    </w:p>
    <w:p w:rsidR="00295CEB" w:rsidRPr="0018493C" w:rsidRDefault="00295CEB" w:rsidP="00295CEB">
      <w:pPr>
        <w:pStyle w:val="a0"/>
        <w:numPr>
          <w:ilvl w:val="0"/>
          <w:numId w:val="2"/>
        </w:numPr>
        <w:spacing w:before="0" w:after="120" w:line="240" w:lineRule="auto"/>
        <w:ind w:left="567" w:hanging="567"/>
        <w:rPr>
          <w:b/>
          <w:color w:val="auto"/>
          <w:sz w:val="20"/>
          <w:lang w:val="uk-UA"/>
        </w:rPr>
      </w:pPr>
      <w:bookmarkStart w:id="19" w:name="bookmark7"/>
      <w:r w:rsidRPr="0018493C">
        <w:rPr>
          <w:b/>
          <w:color w:val="auto"/>
          <w:sz w:val="20"/>
          <w:lang w:val="uk-UA"/>
        </w:rPr>
        <w:t xml:space="preserve">Частка неконтролюючих </w:t>
      </w:r>
      <w:bookmarkEnd w:id="19"/>
      <w:r w:rsidR="00673DC5">
        <w:rPr>
          <w:b/>
          <w:color w:val="auto"/>
          <w:sz w:val="20"/>
          <w:lang w:val="uk-UA"/>
        </w:rPr>
        <w:t>учасників</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 xml:space="preserve">Частка неконтролюючих </w:t>
      </w:r>
      <w:r w:rsidR="00673DC5">
        <w:rPr>
          <w:color w:val="auto"/>
          <w:sz w:val="20"/>
          <w:lang w:val="uk-UA"/>
        </w:rPr>
        <w:t>учасників</w:t>
      </w:r>
      <w:r w:rsidRPr="0018493C">
        <w:rPr>
          <w:color w:val="auto"/>
          <w:sz w:val="20"/>
          <w:lang w:val="uk-UA"/>
        </w:rPr>
        <w:t xml:space="preserve"> - це капітал дочірніх підприємств, що не належить, прямо чи опосередковано, Товариству.</w:t>
      </w:r>
    </w:p>
    <w:p w:rsidR="00295CEB" w:rsidRPr="0018493C" w:rsidRDefault="00295CEB" w:rsidP="00295CEB">
      <w:pPr>
        <w:spacing w:before="0" w:after="120" w:line="240" w:lineRule="auto"/>
        <w:ind w:firstLine="0"/>
        <w:rPr>
          <w:color w:val="auto"/>
          <w:sz w:val="20"/>
          <w:lang w:val="uk-UA"/>
        </w:rPr>
      </w:pPr>
      <w:r w:rsidRPr="0018493C">
        <w:rPr>
          <w:color w:val="auto"/>
          <w:sz w:val="20"/>
          <w:lang w:val="uk-UA"/>
        </w:rPr>
        <w:t xml:space="preserve">Частка неконтролюючих </w:t>
      </w:r>
      <w:r w:rsidR="00673DC5">
        <w:rPr>
          <w:color w:val="auto"/>
          <w:sz w:val="20"/>
          <w:lang w:val="uk-UA"/>
        </w:rPr>
        <w:t>учасників</w:t>
      </w:r>
      <w:r w:rsidRPr="0018493C">
        <w:rPr>
          <w:color w:val="auto"/>
          <w:sz w:val="20"/>
          <w:lang w:val="uk-UA"/>
        </w:rPr>
        <w:t xml:space="preserve"> показана у консолідованому звіті про фінансовий стан у складі капіталу, окремо від капіталу, що належить </w:t>
      </w:r>
      <w:r w:rsidR="00673DC5">
        <w:rPr>
          <w:color w:val="auto"/>
          <w:sz w:val="20"/>
          <w:lang w:val="uk-UA"/>
        </w:rPr>
        <w:t>учаникам</w:t>
      </w:r>
      <w:r w:rsidRPr="0018493C">
        <w:rPr>
          <w:color w:val="auto"/>
          <w:sz w:val="20"/>
          <w:lang w:val="uk-UA"/>
        </w:rPr>
        <w:t xml:space="preserve"> Товариства. Частка неконтролюючих </w:t>
      </w:r>
      <w:r w:rsidR="00673DC5">
        <w:rPr>
          <w:color w:val="auto"/>
          <w:sz w:val="20"/>
          <w:lang w:val="uk-UA"/>
        </w:rPr>
        <w:t>учаників</w:t>
      </w:r>
      <w:r w:rsidRPr="0018493C">
        <w:rPr>
          <w:color w:val="auto"/>
          <w:sz w:val="20"/>
          <w:lang w:val="uk-UA"/>
        </w:rPr>
        <w:t xml:space="preserve"> у прибутку або збитку та сукупному доході розкрита окремо у консолідованому звіті про прибутки та збитки та консолідованому звіті про сукупний дохід.</w:t>
      </w:r>
    </w:p>
    <w:p w:rsidR="00CA5886" w:rsidRPr="0018493C" w:rsidRDefault="00CA5886" w:rsidP="00295CEB">
      <w:pPr>
        <w:pStyle w:val="afe"/>
        <w:framePr w:wrap="notBeside" w:vAnchor="text" w:hAnchor="text" w:xAlign="center" w:y="1"/>
        <w:shd w:val="clear" w:color="auto" w:fill="auto"/>
        <w:spacing w:line="160" w:lineRule="exact"/>
        <w:jc w:val="center"/>
        <w:rPr>
          <w:rFonts w:ascii="Times New Roman" w:hAnsi="Times New Roman" w:cs="Times New Roman"/>
          <w:sz w:val="24"/>
          <w:szCs w:val="24"/>
          <w:lang w:val="uk-UA"/>
        </w:rPr>
      </w:pPr>
    </w:p>
    <w:p w:rsidR="00295CEB" w:rsidRPr="0018493C" w:rsidRDefault="00295CEB" w:rsidP="00295CEB">
      <w:pPr>
        <w:pStyle w:val="afe"/>
        <w:framePr w:wrap="notBeside" w:vAnchor="text" w:hAnchor="text" w:xAlign="center" w:y="1"/>
        <w:shd w:val="clear" w:color="auto" w:fill="auto"/>
        <w:spacing w:line="160" w:lineRule="exact"/>
        <w:jc w:val="center"/>
        <w:rPr>
          <w:rFonts w:ascii="Times New Roman" w:eastAsiaTheme="minorHAnsi" w:hAnsi="Times New Roman" w:cs="Times New Roman"/>
          <w:sz w:val="24"/>
          <w:szCs w:val="24"/>
          <w:lang w:val="uk-UA"/>
        </w:rPr>
      </w:pPr>
      <w:r w:rsidRPr="0018493C">
        <w:rPr>
          <w:rFonts w:ascii="Times New Roman" w:hAnsi="Times New Roman" w:cs="Times New Roman"/>
          <w:sz w:val="24"/>
          <w:szCs w:val="24"/>
          <w:lang w:val="uk-UA"/>
        </w:rPr>
        <w:t xml:space="preserve">Консолідована </w:t>
      </w:r>
      <w:r w:rsidRPr="0018493C">
        <w:rPr>
          <w:rFonts w:ascii="Times New Roman" w:eastAsiaTheme="minorHAnsi" w:hAnsi="Times New Roman" w:cs="Times New Roman"/>
          <w:sz w:val="24"/>
          <w:szCs w:val="24"/>
          <w:lang w:val="uk-UA"/>
        </w:rPr>
        <w:t>фінансова звітність включає такі дочірні підприємства:</w:t>
      </w:r>
    </w:p>
    <w:p w:rsidR="00295CEB" w:rsidRPr="0018493C" w:rsidRDefault="00295CEB" w:rsidP="00295CEB">
      <w:pPr>
        <w:pStyle w:val="afe"/>
        <w:framePr w:wrap="notBeside" w:vAnchor="text" w:hAnchor="text" w:xAlign="center" w:y="1"/>
        <w:shd w:val="clear" w:color="auto" w:fill="auto"/>
        <w:spacing w:line="160" w:lineRule="exact"/>
        <w:jc w:val="center"/>
        <w:rPr>
          <w:rFonts w:ascii="Times New Roman" w:eastAsiaTheme="minorHAnsi" w:hAnsi="Times New Roman" w:cs="Times New Roman"/>
          <w:sz w:val="24"/>
          <w:szCs w:val="24"/>
          <w:lang w:val="uk-UA"/>
        </w:rPr>
      </w:pPr>
    </w:p>
    <w:tbl>
      <w:tblPr>
        <w:tblW w:w="0" w:type="auto"/>
        <w:jc w:val="center"/>
        <w:tblLayout w:type="fixed"/>
        <w:tblCellMar>
          <w:left w:w="10" w:type="dxa"/>
          <w:right w:w="10" w:type="dxa"/>
        </w:tblCellMar>
        <w:tblLook w:val="04A0" w:firstRow="1" w:lastRow="0" w:firstColumn="1" w:lastColumn="0" w:noHBand="0" w:noVBand="1"/>
      </w:tblPr>
      <w:tblGrid>
        <w:gridCol w:w="2587"/>
        <w:gridCol w:w="1061"/>
        <w:gridCol w:w="907"/>
        <w:gridCol w:w="874"/>
        <w:gridCol w:w="1906"/>
        <w:gridCol w:w="2102"/>
      </w:tblGrid>
      <w:tr w:rsidR="00295CEB" w:rsidRPr="0018493C" w:rsidTr="00C470BA">
        <w:trPr>
          <w:trHeight w:val="245"/>
          <w:jc w:val="center"/>
        </w:trPr>
        <w:tc>
          <w:tcPr>
            <w:tcW w:w="2587" w:type="dxa"/>
            <w:tcBorders>
              <w:top w:val="single" w:sz="4" w:space="0" w:color="auto"/>
            </w:tcBorders>
            <w:shd w:val="clear" w:color="auto" w:fill="FFFFFF"/>
          </w:tcPr>
          <w:p w:rsidR="00295CEB" w:rsidRPr="0018493C" w:rsidRDefault="00295CEB" w:rsidP="00C470BA">
            <w:pPr>
              <w:framePr w:wrap="notBeside" w:vAnchor="text" w:hAnchor="text" w:xAlign="center" w:y="1"/>
              <w:rPr>
                <w:color w:val="auto"/>
                <w:szCs w:val="24"/>
                <w:lang w:val="uk-UA"/>
              </w:rPr>
            </w:pPr>
          </w:p>
        </w:tc>
        <w:tc>
          <w:tcPr>
            <w:tcW w:w="1968" w:type="dxa"/>
            <w:gridSpan w:val="2"/>
            <w:tcBorders>
              <w:top w:val="single" w:sz="4" w:space="0" w:color="auto"/>
            </w:tcBorders>
            <w:shd w:val="clear" w:color="auto" w:fill="FFFFFF"/>
          </w:tcPr>
          <w:p w:rsidR="00295CEB" w:rsidRPr="0018493C" w:rsidRDefault="00295CEB" w:rsidP="00C470BA">
            <w:pPr>
              <w:pStyle w:val="33"/>
              <w:framePr w:wrap="notBeside" w:vAnchor="text" w:hAnchor="text" w:xAlign="center" w:y="1"/>
              <w:shd w:val="clear" w:color="auto" w:fill="auto"/>
              <w:spacing w:before="0" w:after="0" w:line="240" w:lineRule="auto"/>
              <w:ind w:left="280"/>
              <w:jc w:val="left"/>
              <w:rPr>
                <w:rFonts w:ascii="Times New Roman" w:hAnsi="Times New Roman" w:cs="Times New Roman"/>
                <w:sz w:val="24"/>
                <w:szCs w:val="24"/>
              </w:rPr>
            </w:pPr>
            <w:r w:rsidRPr="0018493C">
              <w:rPr>
                <w:rFonts w:ascii="Times New Roman" w:hAnsi="Times New Roman" w:cs="Times New Roman"/>
                <w:sz w:val="24"/>
                <w:szCs w:val="24"/>
              </w:rPr>
              <w:t>Частка участі/</w:t>
            </w:r>
          </w:p>
        </w:tc>
        <w:tc>
          <w:tcPr>
            <w:tcW w:w="874" w:type="dxa"/>
            <w:tcBorders>
              <w:top w:val="single" w:sz="4" w:space="0" w:color="auto"/>
            </w:tcBorders>
            <w:shd w:val="clear" w:color="auto" w:fill="FFFFFF"/>
          </w:tcPr>
          <w:p w:rsidR="00295CEB" w:rsidRPr="0018493C" w:rsidRDefault="00295CEB" w:rsidP="00C470BA">
            <w:pPr>
              <w:framePr w:wrap="notBeside" w:vAnchor="text" w:hAnchor="text" w:xAlign="center" w:y="1"/>
              <w:rPr>
                <w:color w:val="auto"/>
                <w:szCs w:val="24"/>
              </w:rPr>
            </w:pPr>
          </w:p>
        </w:tc>
        <w:tc>
          <w:tcPr>
            <w:tcW w:w="1906" w:type="dxa"/>
            <w:tcBorders>
              <w:top w:val="single" w:sz="4" w:space="0" w:color="auto"/>
            </w:tcBorders>
            <w:shd w:val="clear" w:color="auto" w:fill="FFFFFF"/>
          </w:tcPr>
          <w:p w:rsidR="00295CEB" w:rsidRPr="0018493C" w:rsidRDefault="00295CEB" w:rsidP="00C470BA">
            <w:pPr>
              <w:framePr w:wrap="notBeside" w:vAnchor="text" w:hAnchor="text" w:xAlign="center" w:y="1"/>
              <w:rPr>
                <w:color w:val="auto"/>
                <w:szCs w:val="24"/>
              </w:rPr>
            </w:pPr>
          </w:p>
        </w:tc>
        <w:tc>
          <w:tcPr>
            <w:tcW w:w="2102" w:type="dxa"/>
            <w:tcBorders>
              <w:top w:val="single" w:sz="4" w:space="0" w:color="auto"/>
            </w:tcBorders>
            <w:shd w:val="clear" w:color="auto" w:fill="FFFFFF"/>
          </w:tcPr>
          <w:p w:rsidR="00295CEB" w:rsidRPr="0018493C" w:rsidRDefault="00295CEB" w:rsidP="00C470BA">
            <w:pPr>
              <w:framePr w:wrap="notBeside" w:vAnchor="text" w:hAnchor="text" w:xAlign="center" w:y="1"/>
              <w:rPr>
                <w:color w:val="auto"/>
                <w:szCs w:val="24"/>
              </w:rPr>
            </w:pPr>
          </w:p>
        </w:tc>
      </w:tr>
      <w:tr w:rsidR="00295CEB" w:rsidRPr="0018493C" w:rsidTr="00C470BA">
        <w:trPr>
          <w:trHeight w:val="182"/>
          <w:jc w:val="center"/>
        </w:trPr>
        <w:tc>
          <w:tcPr>
            <w:tcW w:w="2587" w:type="dxa"/>
            <w:shd w:val="clear" w:color="auto" w:fill="FFFFFF"/>
          </w:tcPr>
          <w:p w:rsidR="00295CEB" w:rsidRPr="0018493C" w:rsidRDefault="00295CEB" w:rsidP="00C470BA">
            <w:pPr>
              <w:framePr w:wrap="notBeside" w:vAnchor="text" w:hAnchor="text" w:xAlign="center" w:y="1"/>
              <w:rPr>
                <w:color w:val="auto"/>
                <w:szCs w:val="24"/>
              </w:rPr>
            </w:pPr>
          </w:p>
        </w:tc>
        <w:tc>
          <w:tcPr>
            <w:tcW w:w="1968" w:type="dxa"/>
            <w:gridSpan w:val="2"/>
            <w:tcBorders>
              <w:bottom w:val="single" w:sz="4" w:space="0" w:color="auto"/>
            </w:tcBorders>
            <w:shd w:val="clear" w:color="auto" w:fill="FFFFFF"/>
          </w:tcPr>
          <w:p w:rsidR="00295CEB" w:rsidRPr="0018493C" w:rsidRDefault="00295CEB" w:rsidP="00C470BA">
            <w:pPr>
              <w:pStyle w:val="33"/>
              <w:framePr w:wrap="notBeside" w:vAnchor="text" w:hAnchor="text" w:xAlign="center" w:y="1"/>
              <w:shd w:val="clear" w:color="auto" w:fill="auto"/>
              <w:spacing w:before="0" w:after="0" w:line="240" w:lineRule="auto"/>
              <w:ind w:left="280"/>
              <w:jc w:val="left"/>
              <w:rPr>
                <w:rFonts w:ascii="Times New Roman" w:hAnsi="Times New Roman" w:cs="Times New Roman"/>
                <w:sz w:val="24"/>
                <w:szCs w:val="24"/>
              </w:rPr>
            </w:pPr>
            <w:r w:rsidRPr="0018493C">
              <w:rPr>
                <w:rFonts w:ascii="Times New Roman" w:hAnsi="Times New Roman" w:cs="Times New Roman"/>
                <w:sz w:val="24"/>
                <w:szCs w:val="24"/>
              </w:rPr>
              <w:t>права голосу, %</w:t>
            </w:r>
          </w:p>
        </w:tc>
        <w:tc>
          <w:tcPr>
            <w:tcW w:w="874" w:type="dxa"/>
            <w:shd w:val="clear" w:color="auto" w:fill="FFFFFF"/>
          </w:tcPr>
          <w:p w:rsidR="00295CEB" w:rsidRPr="0018493C" w:rsidRDefault="00295CEB" w:rsidP="00C470BA">
            <w:pPr>
              <w:framePr w:wrap="notBeside" w:vAnchor="text" w:hAnchor="text" w:xAlign="center" w:y="1"/>
              <w:rPr>
                <w:color w:val="auto"/>
                <w:szCs w:val="24"/>
              </w:rPr>
            </w:pPr>
          </w:p>
        </w:tc>
        <w:tc>
          <w:tcPr>
            <w:tcW w:w="1906" w:type="dxa"/>
            <w:shd w:val="clear" w:color="auto" w:fill="FFFFFF"/>
          </w:tcPr>
          <w:p w:rsidR="00295CEB" w:rsidRPr="0018493C" w:rsidRDefault="00295CEB" w:rsidP="00C470BA">
            <w:pPr>
              <w:framePr w:wrap="notBeside" w:vAnchor="text" w:hAnchor="text" w:xAlign="center" w:y="1"/>
              <w:rPr>
                <w:color w:val="auto"/>
                <w:szCs w:val="24"/>
              </w:rPr>
            </w:pPr>
          </w:p>
        </w:tc>
        <w:tc>
          <w:tcPr>
            <w:tcW w:w="2102" w:type="dxa"/>
            <w:shd w:val="clear" w:color="auto" w:fill="FFFFFF"/>
          </w:tcPr>
          <w:p w:rsidR="00295CEB" w:rsidRPr="0018493C" w:rsidRDefault="00295CEB" w:rsidP="00C470BA">
            <w:pPr>
              <w:framePr w:wrap="notBeside" w:vAnchor="text" w:hAnchor="text" w:xAlign="center" w:y="1"/>
              <w:rPr>
                <w:color w:val="auto"/>
                <w:szCs w:val="24"/>
              </w:rPr>
            </w:pPr>
          </w:p>
        </w:tc>
      </w:tr>
      <w:tr w:rsidR="00612C50" w:rsidRPr="0018493C" w:rsidTr="00C470BA">
        <w:trPr>
          <w:trHeight w:val="250"/>
          <w:jc w:val="center"/>
        </w:trPr>
        <w:tc>
          <w:tcPr>
            <w:tcW w:w="2587" w:type="dxa"/>
            <w:tcBorders>
              <w:bottom w:val="single" w:sz="4" w:space="0" w:color="auto"/>
            </w:tcBorders>
            <w:shd w:val="clear" w:color="auto" w:fill="FFFFFF"/>
          </w:tcPr>
          <w:p w:rsidR="00612C50" w:rsidRPr="0018493C" w:rsidRDefault="00612C50" w:rsidP="00612C50">
            <w:pPr>
              <w:pStyle w:val="33"/>
              <w:framePr w:wrap="notBeside" w:vAnchor="text" w:hAnchor="text" w:xAlign="center" w:y="1"/>
              <w:shd w:val="clear" w:color="auto" w:fill="auto"/>
              <w:spacing w:before="0" w:after="0" w:line="240" w:lineRule="auto"/>
              <w:ind w:left="160"/>
              <w:jc w:val="left"/>
              <w:rPr>
                <w:rFonts w:ascii="Times New Roman" w:hAnsi="Times New Roman" w:cs="Times New Roman"/>
                <w:sz w:val="24"/>
                <w:szCs w:val="24"/>
              </w:rPr>
            </w:pPr>
            <w:r w:rsidRPr="0018493C">
              <w:rPr>
                <w:rFonts w:ascii="Times New Roman" w:hAnsi="Times New Roman" w:cs="Times New Roman"/>
                <w:sz w:val="24"/>
                <w:szCs w:val="24"/>
              </w:rPr>
              <w:t xml:space="preserve">Дочірнє </w:t>
            </w:r>
            <w:proofErr w:type="gramStart"/>
            <w:r w:rsidRPr="0018493C">
              <w:rPr>
                <w:rFonts w:ascii="Times New Roman" w:hAnsi="Times New Roman" w:cs="Times New Roman"/>
                <w:sz w:val="24"/>
                <w:szCs w:val="24"/>
              </w:rPr>
              <w:t>п</w:t>
            </w:r>
            <w:proofErr w:type="gramEnd"/>
            <w:r w:rsidRPr="0018493C">
              <w:rPr>
                <w:rFonts w:ascii="Times New Roman" w:hAnsi="Times New Roman" w:cs="Times New Roman"/>
                <w:sz w:val="24"/>
                <w:szCs w:val="24"/>
              </w:rPr>
              <w:t>ідприємство</w:t>
            </w:r>
          </w:p>
        </w:tc>
        <w:tc>
          <w:tcPr>
            <w:tcW w:w="1061" w:type="dxa"/>
            <w:tcBorders>
              <w:top w:val="single" w:sz="4" w:space="0" w:color="auto"/>
              <w:bottom w:val="single" w:sz="4" w:space="0" w:color="auto"/>
            </w:tcBorders>
            <w:shd w:val="clear" w:color="auto" w:fill="FFFFFF"/>
          </w:tcPr>
          <w:p w:rsidR="00612C50" w:rsidRPr="0018493C" w:rsidRDefault="00612C50" w:rsidP="00612C50">
            <w:pPr>
              <w:pStyle w:val="33"/>
              <w:framePr w:wrap="notBeside" w:vAnchor="text" w:hAnchor="text" w:xAlign="center" w:y="1"/>
              <w:shd w:val="clear" w:color="auto" w:fill="auto"/>
              <w:spacing w:before="0" w:after="0" w:line="240" w:lineRule="auto"/>
              <w:ind w:left="300"/>
              <w:jc w:val="left"/>
              <w:rPr>
                <w:rFonts w:ascii="Times New Roman" w:hAnsi="Times New Roman" w:cs="Times New Roman"/>
                <w:sz w:val="24"/>
                <w:szCs w:val="24"/>
              </w:rPr>
            </w:pPr>
            <w:r w:rsidRPr="0018493C">
              <w:rPr>
                <w:rFonts w:ascii="Times New Roman" w:hAnsi="Times New Roman" w:cs="Times New Roman"/>
                <w:sz w:val="24"/>
                <w:szCs w:val="24"/>
              </w:rPr>
              <w:t>201</w:t>
            </w:r>
            <w:r>
              <w:rPr>
                <w:rFonts w:ascii="Times New Roman" w:hAnsi="Times New Roman" w:cs="Times New Roman"/>
                <w:sz w:val="24"/>
                <w:szCs w:val="24"/>
                <w:lang w:val="uk-UA"/>
              </w:rPr>
              <w:t>7</w:t>
            </w:r>
            <w:r w:rsidRPr="0018493C">
              <w:rPr>
                <w:rFonts w:ascii="Times New Roman" w:hAnsi="Times New Roman" w:cs="Times New Roman"/>
                <w:sz w:val="24"/>
                <w:szCs w:val="24"/>
              </w:rPr>
              <w:t xml:space="preserve"> р.</w:t>
            </w:r>
          </w:p>
        </w:tc>
        <w:tc>
          <w:tcPr>
            <w:tcW w:w="907" w:type="dxa"/>
            <w:tcBorders>
              <w:top w:val="single" w:sz="4" w:space="0" w:color="auto"/>
              <w:bottom w:val="single" w:sz="4" w:space="0" w:color="auto"/>
            </w:tcBorders>
            <w:shd w:val="clear" w:color="auto" w:fill="FFFFFF"/>
          </w:tcPr>
          <w:p w:rsidR="00612C50" w:rsidRPr="0018493C" w:rsidRDefault="00612C50" w:rsidP="00612C50">
            <w:pPr>
              <w:pStyle w:val="33"/>
              <w:framePr w:wrap="notBeside" w:vAnchor="text" w:hAnchor="text" w:xAlign="center" w:y="1"/>
              <w:shd w:val="clear" w:color="auto" w:fill="auto"/>
              <w:spacing w:before="0" w:after="0" w:line="240" w:lineRule="auto"/>
              <w:ind w:left="300"/>
              <w:jc w:val="left"/>
              <w:rPr>
                <w:rFonts w:ascii="Times New Roman" w:hAnsi="Times New Roman" w:cs="Times New Roman"/>
                <w:sz w:val="24"/>
                <w:szCs w:val="24"/>
              </w:rPr>
            </w:pPr>
            <w:r w:rsidRPr="0018493C">
              <w:rPr>
                <w:rFonts w:ascii="Times New Roman" w:hAnsi="Times New Roman" w:cs="Times New Roman"/>
                <w:sz w:val="24"/>
                <w:szCs w:val="24"/>
              </w:rPr>
              <w:t>2016 р.</w:t>
            </w:r>
          </w:p>
        </w:tc>
        <w:tc>
          <w:tcPr>
            <w:tcW w:w="874" w:type="dxa"/>
            <w:tcBorders>
              <w:bottom w:val="single" w:sz="4" w:space="0" w:color="auto"/>
            </w:tcBorders>
            <w:shd w:val="clear" w:color="auto" w:fill="FFFFFF"/>
          </w:tcPr>
          <w:p w:rsidR="00612C50" w:rsidRPr="0018493C" w:rsidRDefault="00612C50" w:rsidP="00612C50">
            <w:pPr>
              <w:pStyle w:val="33"/>
              <w:framePr w:wrap="notBeside" w:vAnchor="text" w:hAnchor="text" w:xAlign="center" w:y="1"/>
              <w:shd w:val="clear" w:color="auto" w:fill="auto"/>
              <w:spacing w:before="0" w:after="0" w:line="240" w:lineRule="auto"/>
              <w:ind w:left="140"/>
              <w:jc w:val="left"/>
              <w:rPr>
                <w:rFonts w:ascii="Times New Roman" w:hAnsi="Times New Roman" w:cs="Times New Roman"/>
                <w:sz w:val="24"/>
                <w:szCs w:val="24"/>
              </w:rPr>
            </w:pPr>
            <w:proofErr w:type="gramStart"/>
            <w:r w:rsidRPr="0018493C">
              <w:rPr>
                <w:rFonts w:ascii="Times New Roman" w:hAnsi="Times New Roman" w:cs="Times New Roman"/>
                <w:sz w:val="24"/>
                <w:szCs w:val="24"/>
              </w:rPr>
              <w:t>Країна</w:t>
            </w:r>
            <w:proofErr w:type="gramEnd"/>
          </w:p>
        </w:tc>
        <w:tc>
          <w:tcPr>
            <w:tcW w:w="1906" w:type="dxa"/>
            <w:tcBorders>
              <w:bottom w:val="single" w:sz="4" w:space="0" w:color="auto"/>
            </w:tcBorders>
            <w:shd w:val="clear" w:color="auto" w:fill="FFFFFF"/>
          </w:tcPr>
          <w:p w:rsidR="00612C50" w:rsidRPr="0018493C" w:rsidRDefault="00612C50" w:rsidP="00612C50">
            <w:pPr>
              <w:pStyle w:val="33"/>
              <w:framePr w:wrap="notBeside" w:vAnchor="text" w:hAnchor="text" w:xAlign="center" w:y="1"/>
              <w:shd w:val="clear" w:color="auto" w:fill="auto"/>
              <w:spacing w:before="0" w:after="0" w:line="240" w:lineRule="auto"/>
              <w:ind w:left="120"/>
              <w:jc w:val="left"/>
              <w:rPr>
                <w:rFonts w:ascii="Times New Roman" w:hAnsi="Times New Roman" w:cs="Times New Roman"/>
                <w:sz w:val="24"/>
                <w:szCs w:val="24"/>
              </w:rPr>
            </w:pPr>
            <w:r w:rsidRPr="0018493C">
              <w:rPr>
                <w:rFonts w:ascii="Times New Roman" w:hAnsi="Times New Roman" w:cs="Times New Roman"/>
                <w:sz w:val="24"/>
                <w:szCs w:val="24"/>
              </w:rPr>
              <w:t>Дата приєднання</w:t>
            </w:r>
          </w:p>
        </w:tc>
        <w:tc>
          <w:tcPr>
            <w:tcW w:w="2102" w:type="dxa"/>
            <w:tcBorders>
              <w:bottom w:val="single" w:sz="4" w:space="0" w:color="auto"/>
            </w:tcBorders>
            <w:shd w:val="clear" w:color="auto" w:fill="FFFFFF"/>
          </w:tcPr>
          <w:p w:rsidR="00612C50" w:rsidRPr="0018493C" w:rsidRDefault="00612C50" w:rsidP="00612C50">
            <w:pPr>
              <w:pStyle w:val="33"/>
              <w:framePr w:wrap="notBeside" w:vAnchor="text" w:hAnchor="text" w:xAlign="center" w:y="1"/>
              <w:shd w:val="clear" w:color="auto" w:fill="auto"/>
              <w:spacing w:before="0" w:after="0" w:line="240" w:lineRule="auto"/>
              <w:ind w:left="740"/>
              <w:jc w:val="left"/>
              <w:rPr>
                <w:rFonts w:ascii="Times New Roman" w:hAnsi="Times New Roman" w:cs="Times New Roman"/>
                <w:sz w:val="24"/>
                <w:szCs w:val="24"/>
              </w:rPr>
            </w:pPr>
            <w:r w:rsidRPr="0018493C">
              <w:rPr>
                <w:rFonts w:ascii="Times New Roman" w:hAnsi="Times New Roman" w:cs="Times New Roman"/>
                <w:sz w:val="24"/>
                <w:szCs w:val="24"/>
              </w:rPr>
              <w:t>Галузь</w:t>
            </w:r>
          </w:p>
        </w:tc>
      </w:tr>
      <w:tr w:rsidR="00612C50" w:rsidRPr="0018493C" w:rsidTr="00C470BA">
        <w:trPr>
          <w:trHeight w:val="422"/>
          <w:jc w:val="center"/>
        </w:trPr>
        <w:tc>
          <w:tcPr>
            <w:tcW w:w="2587" w:type="dxa"/>
            <w:tcBorders>
              <w:top w:val="single" w:sz="4" w:space="0" w:color="auto"/>
              <w:bottom w:val="single" w:sz="4" w:space="0" w:color="auto"/>
            </w:tcBorders>
            <w:shd w:val="clear" w:color="auto" w:fill="FFFFFF"/>
          </w:tcPr>
          <w:p w:rsidR="00612C50" w:rsidRPr="0018493C" w:rsidRDefault="00612C50" w:rsidP="00612C50">
            <w:pPr>
              <w:pStyle w:val="15"/>
              <w:framePr w:wrap="notBeside" w:vAnchor="text" w:hAnchor="text" w:xAlign="center" w:y="1"/>
              <w:shd w:val="clear" w:color="auto" w:fill="auto"/>
              <w:spacing w:after="0" w:line="211" w:lineRule="exact"/>
              <w:ind w:left="160"/>
              <w:jc w:val="left"/>
              <w:rPr>
                <w:rFonts w:ascii="Times New Roman" w:hAnsi="Times New Roman" w:cs="Times New Roman"/>
                <w:sz w:val="24"/>
                <w:szCs w:val="24"/>
              </w:rPr>
            </w:pPr>
            <w:r w:rsidRPr="0018493C">
              <w:rPr>
                <w:rFonts w:ascii="Times New Roman" w:hAnsi="Times New Roman" w:cs="Times New Roman"/>
                <w:sz w:val="24"/>
                <w:szCs w:val="24"/>
              </w:rPr>
              <w:t>ПрАТ «СК «Довіра та Гарантія»</w:t>
            </w:r>
          </w:p>
        </w:tc>
        <w:tc>
          <w:tcPr>
            <w:tcW w:w="1061" w:type="dxa"/>
            <w:tcBorders>
              <w:top w:val="single" w:sz="4" w:space="0" w:color="auto"/>
              <w:bottom w:val="single" w:sz="4" w:space="0" w:color="auto"/>
            </w:tcBorders>
            <w:shd w:val="clear" w:color="auto" w:fill="FFFFFF"/>
          </w:tcPr>
          <w:p w:rsidR="00612C50" w:rsidRPr="0018493C" w:rsidRDefault="00612C50" w:rsidP="00612C50">
            <w:pPr>
              <w:pStyle w:val="15"/>
              <w:framePr w:wrap="notBeside" w:vAnchor="text" w:hAnchor="text" w:xAlign="center" w:y="1"/>
              <w:shd w:val="clear" w:color="auto" w:fill="auto"/>
              <w:spacing w:after="0" w:line="240" w:lineRule="auto"/>
              <w:jc w:val="left"/>
              <w:rPr>
                <w:rFonts w:ascii="Times New Roman" w:hAnsi="Times New Roman" w:cs="Times New Roman"/>
                <w:sz w:val="24"/>
                <w:szCs w:val="24"/>
              </w:rPr>
            </w:pPr>
            <w:r w:rsidRPr="0018493C">
              <w:rPr>
                <w:rFonts w:ascii="Times New Roman" w:hAnsi="Times New Roman" w:cs="Times New Roman"/>
                <w:sz w:val="24"/>
                <w:szCs w:val="24"/>
              </w:rPr>
              <w:t>99,9828</w:t>
            </w:r>
          </w:p>
        </w:tc>
        <w:tc>
          <w:tcPr>
            <w:tcW w:w="907" w:type="dxa"/>
            <w:tcBorders>
              <w:top w:val="single" w:sz="4" w:space="0" w:color="auto"/>
              <w:bottom w:val="single" w:sz="4" w:space="0" w:color="auto"/>
            </w:tcBorders>
            <w:shd w:val="clear" w:color="auto" w:fill="FFFFFF"/>
          </w:tcPr>
          <w:p w:rsidR="00612C50" w:rsidRPr="0018493C" w:rsidRDefault="00612C50" w:rsidP="00612C50">
            <w:pPr>
              <w:pStyle w:val="15"/>
              <w:framePr w:wrap="notBeside" w:vAnchor="text" w:hAnchor="text" w:xAlign="center" w:y="1"/>
              <w:shd w:val="clear" w:color="auto" w:fill="auto"/>
              <w:spacing w:after="0" w:line="240" w:lineRule="auto"/>
              <w:jc w:val="left"/>
              <w:rPr>
                <w:rFonts w:ascii="Times New Roman" w:hAnsi="Times New Roman" w:cs="Times New Roman"/>
                <w:sz w:val="24"/>
                <w:szCs w:val="24"/>
              </w:rPr>
            </w:pPr>
            <w:r w:rsidRPr="0018493C">
              <w:rPr>
                <w:rFonts w:ascii="Times New Roman" w:hAnsi="Times New Roman" w:cs="Times New Roman"/>
                <w:sz w:val="24"/>
                <w:szCs w:val="24"/>
              </w:rPr>
              <w:t>99,9828</w:t>
            </w:r>
          </w:p>
        </w:tc>
        <w:tc>
          <w:tcPr>
            <w:tcW w:w="874" w:type="dxa"/>
            <w:tcBorders>
              <w:top w:val="single" w:sz="4" w:space="0" w:color="auto"/>
              <w:bottom w:val="single" w:sz="4" w:space="0" w:color="auto"/>
            </w:tcBorders>
            <w:shd w:val="clear" w:color="auto" w:fill="FFFFFF"/>
          </w:tcPr>
          <w:p w:rsidR="00612C50" w:rsidRPr="0018493C" w:rsidRDefault="00612C50" w:rsidP="00612C50">
            <w:pPr>
              <w:pStyle w:val="15"/>
              <w:framePr w:wrap="notBeside" w:vAnchor="text" w:hAnchor="text" w:xAlign="center" w:y="1"/>
              <w:shd w:val="clear" w:color="auto" w:fill="auto"/>
              <w:spacing w:after="0" w:line="240" w:lineRule="auto"/>
              <w:jc w:val="left"/>
              <w:rPr>
                <w:rFonts w:ascii="Times New Roman" w:hAnsi="Times New Roman" w:cs="Times New Roman"/>
                <w:sz w:val="24"/>
                <w:szCs w:val="24"/>
              </w:rPr>
            </w:pPr>
            <w:r w:rsidRPr="0018493C">
              <w:rPr>
                <w:rFonts w:ascii="Times New Roman" w:hAnsi="Times New Roman" w:cs="Times New Roman"/>
                <w:sz w:val="24"/>
                <w:szCs w:val="24"/>
              </w:rPr>
              <w:t>Україна</w:t>
            </w:r>
          </w:p>
        </w:tc>
        <w:tc>
          <w:tcPr>
            <w:tcW w:w="1906" w:type="dxa"/>
            <w:tcBorders>
              <w:top w:val="single" w:sz="4" w:space="0" w:color="auto"/>
              <w:bottom w:val="single" w:sz="4" w:space="0" w:color="auto"/>
            </w:tcBorders>
            <w:shd w:val="clear" w:color="auto" w:fill="FFFFFF"/>
          </w:tcPr>
          <w:p w:rsidR="00612C50" w:rsidRPr="0018493C" w:rsidRDefault="00612C50" w:rsidP="00612C50">
            <w:pPr>
              <w:pStyle w:val="15"/>
              <w:framePr w:wrap="notBeside" w:vAnchor="text" w:hAnchor="text" w:xAlign="center" w:y="1"/>
              <w:shd w:val="clear" w:color="auto" w:fill="auto"/>
              <w:spacing w:after="0" w:line="240" w:lineRule="auto"/>
              <w:ind w:left="120"/>
              <w:jc w:val="left"/>
              <w:rPr>
                <w:rFonts w:ascii="Times New Roman" w:hAnsi="Times New Roman" w:cs="Times New Roman"/>
                <w:sz w:val="24"/>
                <w:szCs w:val="24"/>
              </w:rPr>
            </w:pPr>
            <w:r w:rsidRPr="0018493C">
              <w:rPr>
                <w:rFonts w:ascii="Times New Roman" w:hAnsi="Times New Roman" w:cs="Times New Roman"/>
                <w:sz w:val="24"/>
                <w:szCs w:val="24"/>
              </w:rPr>
              <w:t>лютий 2016 р.</w:t>
            </w:r>
          </w:p>
        </w:tc>
        <w:tc>
          <w:tcPr>
            <w:tcW w:w="2102" w:type="dxa"/>
            <w:tcBorders>
              <w:top w:val="single" w:sz="4" w:space="0" w:color="auto"/>
              <w:bottom w:val="single" w:sz="4" w:space="0" w:color="auto"/>
            </w:tcBorders>
            <w:shd w:val="clear" w:color="auto" w:fill="FFFFFF"/>
          </w:tcPr>
          <w:p w:rsidR="00612C50" w:rsidRPr="0018493C" w:rsidRDefault="00612C50" w:rsidP="00612C50">
            <w:pPr>
              <w:pStyle w:val="15"/>
              <w:framePr w:wrap="notBeside" w:vAnchor="text" w:hAnchor="text" w:xAlign="center" w:y="1"/>
              <w:shd w:val="clear" w:color="auto" w:fill="auto"/>
              <w:spacing w:after="0" w:line="240" w:lineRule="auto"/>
              <w:ind w:left="140"/>
              <w:jc w:val="left"/>
              <w:rPr>
                <w:rFonts w:ascii="Times New Roman" w:hAnsi="Times New Roman" w:cs="Times New Roman"/>
                <w:sz w:val="24"/>
                <w:szCs w:val="24"/>
              </w:rPr>
            </w:pPr>
            <w:r w:rsidRPr="0018493C">
              <w:rPr>
                <w:rFonts w:ascii="Times New Roman" w:hAnsi="Times New Roman" w:cs="Times New Roman"/>
                <w:sz w:val="24"/>
                <w:szCs w:val="24"/>
              </w:rPr>
              <w:t>Страхування</w:t>
            </w:r>
          </w:p>
        </w:tc>
      </w:tr>
    </w:tbl>
    <w:p w:rsidR="00295CEB" w:rsidRPr="0018493C" w:rsidRDefault="00295CEB" w:rsidP="0000323F">
      <w:pPr>
        <w:spacing w:before="0" w:after="120" w:line="240" w:lineRule="auto"/>
        <w:ind w:firstLine="0"/>
        <w:rPr>
          <w:color w:val="auto"/>
          <w:sz w:val="20"/>
          <w:lang w:val="uk-UA"/>
        </w:rPr>
      </w:pPr>
    </w:p>
    <w:p w:rsidR="0095684B" w:rsidRPr="0018493C" w:rsidRDefault="0095684B" w:rsidP="00D57199">
      <w:pPr>
        <w:pStyle w:val="2"/>
        <w:numPr>
          <w:ilvl w:val="1"/>
          <w:numId w:val="5"/>
        </w:numPr>
        <w:ind w:left="567" w:hanging="567"/>
      </w:pPr>
      <w:bookmarkStart w:id="20" w:name="_Toc511835059"/>
      <w:r w:rsidRPr="0018493C">
        <w:t>Зміни в обліковій політиці та принципах розкриття інформації</w:t>
      </w:r>
      <w:bookmarkEnd w:id="20"/>
    </w:p>
    <w:p w:rsidR="00D25D40" w:rsidRPr="0018493C" w:rsidRDefault="001A7870" w:rsidP="0000323F">
      <w:pPr>
        <w:spacing w:before="0" w:after="120" w:line="240" w:lineRule="auto"/>
        <w:ind w:firstLine="0"/>
        <w:rPr>
          <w:b/>
          <w:color w:val="auto"/>
          <w:sz w:val="20"/>
          <w:lang w:val="uk-UA"/>
        </w:rPr>
      </w:pPr>
      <w:r w:rsidRPr="0018493C">
        <w:rPr>
          <w:b/>
          <w:color w:val="auto"/>
          <w:sz w:val="20"/>
          <w:lang w:val="uk-UA"/>
        </w:rPr>
        <w:t>Нові стандарти, роз'яснення та поправки до чинних стандартів та роз'яснень</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Нижче представлені стандарти та інтерпретації, які були випущені, але не набрали чинності на дату публікації  фінансової звітності Товариством. Товариство  планує, при необхідності, застосувати ці стандарти, коли вони набудуть чинності.</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Нові стандарти, що були випущені та набудуть чинності з 1 січня 2018 року і пізніше.</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Новий МСФЗ 9 (2014р.) «Фінансові інструменти» набирає чинності з 01 січня 2018 року. Стандарт застосовується ретроспективно з деякими виключеннями, але не вимагається виконання перерахунку за попередні періоди у відношенні класифікації та оцінки (включаючи зменшення корисності).У відповідності до МСФЗ 9, існує три категорії обліку боргових інструментів: за амортизованою вартістю, за справедливою вартістю через інший сукупний дохід і за справедливою вартістю через прибутки/збитки. Принципи оцінки кожної категорії є аналогічними до діючих вимог МСБО 39. Класифікація залежить від бізнес-моделі управління фінансовими активами та від того, чи включають контрактні потоки грошових коштів платежі за основною сумою заборгованості і проценти. Інвестиції в інструменти капіталу завжди оцінюються за справедливою вартістю. Однак, керівництво може прийняти безвідкличне рішення про представлення змін справедливої вартості в іншому сукупному доході, якщо даний інструмент не відноситься до категорії «утримувані для торгівлі». Якщо ж він відноситься до категорії «утримувані для торгівлі», то зміни справедливої вартості включаються до складу прибутків/збитків. Всі інші інструменти (у тому числі всі похідні інструменти), оцінюються за справедливою вартістю з відображенням змін у складі прибутку або збитку. МСФЗ 9 містить «триетапний» підхід до обліку кредитних збитків, який заснований на змінах кредитної якості фінансових активів з моменту їх первісного визнання. При значному збільшенні кредитного ризику зменшення корисності оцінюється за допомогою очікуваних кредитних збитків за весь строк дії кредиту, а не за 12 місяців. Переглянутий варіант МСФЗ 9 представляє нову модель обліку хеджування, яка розроблена, щоб бути більш тісно пов'язана з тим, як суб'єкт господарювання здійснює діяльність з управління ризиками при хеджуванні фінансових і нефінансових ризиків. Товариство не застосовувало МСФЗ 9 (2014) до своєї фінансової звітності за 2017 рік. За оцінками керівництва Товариства, застосування стандарту в майбутньому може суттєво вплинути на вартість фінансових активів і фінансових зобов’язань. Однак, до того часу, поки не буде завершена детальна перевірка, неможливо зробити обґрунтовану оцінку впливу МСФЗ 9 на майбутню фінансову звітність Товариства.</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МСФЗ 15 «Виручка за контрактами з клієнтами» застосовується до першої річної фінансової звітності за період, що починається з або після 1 січня 2018 року. Стандарт забезпечує єдину комплексну модель обліку виручки на основі п'ятиступінчастої моделі, яка може застосовуватися до всіх договорів з клієнтами, а саме:</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lastRenderedPageBreak/>
        <w:t>ідентифікувати договір з клієнтом;</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ідентифікувати зобов'язання щодо виконання;</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визначити ціну операції;</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розподілити ціну операції на зобов'язання щодо виконання;</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 xml:space="preserve">визнавати  виручку у певний момент часу або з плином часу задоволення зобов'язання щодо виконання. </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В стандарті також надаються рекомендації на такі теми як: методи оцінювання прогресу на шляху до повного задоволення зобов’язання щодо виконання; продаж з правом повернення; компенсації принципалу і агенту; безповоротні авансові платежі; угоди про продаж з подальшим викупом; угоди про реалізацію товару (договори комісії тощо); угоди про зберігання та продаж; прийняття активу клієнтом; розкриття інформації про дезагрегований дохід. Товариство не планує застосовувати МСФЗ (IFRS) 15 достроково. Вплив застосування стандарту на фінансову звітність майбутніх періодів може бути суттєвим, але на дату складання цієї фінансової звітності обґрунтовано оцінити кількісний вплив на майбутню фінансову звітність не є можливим.</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 xml:space="preserve">МСФЗ 16 «Оренда» застосовується до першої річної фінансової звітності за період, що починається з або після 1 січня 2019 року. Стандарт замінює облік операційної та фінансової оренди для орендарів єдиною моделлю. На дату початку оренди визнається актив в формі права використання в сумі зобов’язання за майбутніми орендними платежами плюс первісні прямі витрати. В подальшому актив в формі права використання оцінюється за первісною вартістю за вирахуванням амортизації та збитків від зменшення корисності (крім інвестиційної нерухомості або основних засобів, що обліковуються за переоціненою вартістю). Зобов’язання оцінюється за теперішньою вартістю майбутніх орендних платежів, виходячи із строку оренди, який включає періоди, у відношенні яких існує достатня впевненість в продовженні. Комбіновані договори оренди та надання послуг повинні розділятися на компоненти, при цьому актив в формі права використання та зобов’язання формуються лише виходячи з компонента оренди. Витрати з операційної оренди будуть замінені процентними витратами за зобов’язанням та витратами з амортизації активу, що призведе до визнання більш високих витрат на початку строку оренди та більш низьких – в кінці строку. Стандарт може застосовуватись повністю ретроспективно або без перерахунку інформації за порівняльний період з визнанням сумарного ефекту від первісного застосування стандарту як коригування вхідних залишків. Товариство не планує застосовувати МСФЗ (IFRS) 16 достроково. За оцінками керівництва Товариства, застосування стандарту в майбутньому суттєво не вплине на вартість активів і зобов’язань, а також на характер та розмір витрат, оскільки витрати з оренди не є суттєвими для підприємства. </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МСФЗ 17 «Страхові контракти» застосовується до першої річної фінансової звітності за період, що починається з або після 1 січня 2021 року та замінює МСФЗ 4 «Страхові контракти». У відповідності до МСФЗ 17, компаніям необхідно буде застосовувати модель поточної оцінки, яка передбачає здійснення переоцінки в кожному звітному періоді. Контракти оцінюються із застосуванням таких елементів, як:</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 xml:space="preserve">дисконтовані грошові потоки, зважені з врахуванням ймовірності; </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коригування на очевидний ризик;</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 xml:space="preserve">сервісна маржа за контрактом, яка уявляє собою незароблений прибуток за контрактом, який визнається рівномірно. </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Стандарт дозволяє обирати між визнанням змін в ставках дисконтування у звіті про прибутки та збитки або безпосередньо у складі іншого сукупного доходу. Вибір буде відображати те, як страхові компанії будуть обліковувати свої фінансові активи у відповідності до МСФЗ 9. Дозволяється використання спрощеного методу розподілу премії для зобов’язань за короткостроковими контрактами для страхових компаній, які не займаються страхуванням життя. Передбачена модифікація загальної моделі оцінки для деяких договорів страхування життя, в яких передбачено участь страхувальників в розподілі доходу від базових активів. Облік виручки буде зіставним з положеннями МСФЗ 15, окрім депозитних складових. Розрахунок буде здійснюватися на більш низькому рівні деталізації порівняно з тим, що страхові компанії використовують на даний час. За оцінками керівництва МСФО 17 не вплине на активи і зобов’язання Товариства, оскільки МСФЗ 17 не застосовується підприємством.</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Зміни до стандартів, що були випущені та набудуть чинності з 1 січня 2018 року і пізніше</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 xml:space="preserve">Поправки до МСФЗ 2 «Платіж на основі акцій» застосовуються для річних періодів, що починаються з або після 1 січня 2018 року. Поправки роз’яснюють ситуацію, коли виплати на основі акцій з розрахунками грошовими коштами змінюються на виплати на основі акцій з розрахунками інструментами власного капіталу у зв’язку з модифікацією умов та строків. При таких модифікаціях припиняється визнання первісного зобов’язання, що було визнане у відношенні виплат на основі акцій з розрахунками грошовими коштами, та визнаються виплати на основі акцій з розрахунками інструментами власного капіталу за справедливою </w:t>
      </w:r>
      <w:r w:rsidRPr="00B26DD2">
        <w:rPr>
          <w:color w:val="auto"/>
          <w:sz w:val="20"/>
          <w:lang w:val="uk-UA"/>
        </w:rPr>
        <w:lastRenderedPageBreak/>
        <w:t>вартістю на дату модифікації у розмірі послуг, наданих до дати модифікації. Різниця між балансовою вартістю зобов’язання на дату модифікації та сумами, визнаними у власному капіталі на ту саму дату, визнається негайно в звіті про прибутки та збитки. Поправки до МСФЗ 2 не вплинуть на фінансову звітність Товариства у зв’язку з тим, що Товариство не здійснює і не планує здійснювати операції, платежі за якими здійснюються на основі акцій.</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Поправки до МСФЗ 10 «Консолідована фінансова звітність» та МСБО 28 «Інвестиції в асоційовані підприємства» були випущені в вересні 2014 року, а в грудні 2015 року дату набуття чинності поправок було перенесено не невизначений строк до завершення проекту дослідження у відношенні методу участі в капіталі (дострокове застосування допускається). Поправки до МСФЗ 28 встановлюють, що часткове визнання прибутку або збитку від операцій між суб’єктом господарювання та його асоційованим підприємством або спільним підприємством буде здійснюватися лише у відношенні активів або груп активів, але не бізнесу. Нова вимога означає, що інвестор повинен повністю визнавати прибуток або збиток від операцій «зверху вниз», пов’язаних з передачею бізнесу від суб’єкта господарювання до асоційованого підприємства або спільного підприємства. Було добавлено вимогу, що суб’єкт господарювання повинен розглядати, чи є бізнесом активи, які продаються або передаються в окремих операціях, та чи повинні вони обліковуватись як єдина операція. Поправками до МСФЗ 10  було встановлено виключення у відношенні визнання прибутку або збитку в повному обсязі під час передачі дочірнього підприємства в асоційоване підприємство або спільне підприємство, які обліковуються за методом участі в капіталі, для тих випадків, коли дочірнє підприємство не є бізнесом. Прибутки або збитки, отримані в результаті таких операцій, визнаються в прибутках або збитках материнської компанії лише у межах часток участі, які є у не пов’язаних з нею інвесторів. За оцінками керівництва МСФЗ 10 та МСБО 28 не вплине на діяльність Товариства, оскільки МСФЗ 10 та МСБО 28 не застосовується підприємством.</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Поправки до МСФЗ 4 «Страхові контракти» застосовуються у відношенні річних періодів, які починаються 1 січня 2018 року або пізніше. Поправки передбачають дві альтернативи обліку:</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суб’єктам господарювання дозволяється  рекласифікувати деякі доходи та витрати за призначеними фінансовими активами з прибутків або збитків в інший сукупний дохід;</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добровільне тимчасове звільнення від застосування МСФЗ 9 «Фінансові інструменти» для суб’єктів господарювання, чиєю основною діяльністю є випуск страхових контрактів у відповідності до МСФЗ 4.</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 xml:space="preserve">Застосування цих двох альтернатив є добровільним та суб’єктам господарювання дозволено припинити їх застосування до набуття чинності новим МСФЗ 4. </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Поправки до МСФЗ 40 «Інвестиційна нерухомість» застосовуються у відношенні річних періодів, які починаються 1 січня 2018 року або пізніше. Поправки уточнюють, що для переведення в інвестиційну нерухомість або з інвестиційної нерухомості повинні відбутися зміни у використанні. Такі зміни у використання повинні підтверджуватися доказами. Наміри або відокремлення не є достатніми доказами для переведення нерухомості в інвестиційну нерухомість. Поправки передбачають як ретроспективне застосування, так і перспективне. За оцінками керівництва МСФЗ 40 не вплине на діяльність Товариства, оскільки МСФЗ 40 не застосовується підприємством.</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Нові тлумачення, що були випущені та набудуть чинності з 1 січня 2018 року і пізніше</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Тлумачення КТМФЗ 22 «Операції в іноземній валюті та аванси» набирає чинності з 1 січня 2018 року. Тлумачення роз’яснює, що дату визнання авансу або відкладеного доходу (зобов’язання) слід вважати датою здійснення операції з метою визначення обмінного курсу. Якщо операція передбачає декілька платежів або надходжень, датою здійснення операції вважається дата кожного платежу або надходження.</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Тлумачення КТМФЗ 23 «Невизначеність відносно розрахунку податку на прибуток» набирає чинності з 1 січня 2019 року. Тлумачення надає роз’яснення у визначенні податку на прибуток в ситуації, коли існує невизначеність щодо вимог податкових органів відносно конкретної операції або обставин. Основним є критерій: чи є високою ймовірність того, що податковий орган погодиться з трактуванням податкового законодавства, яке застосувало підприємство під час складання податкової декларації. Якщо так, то підприємство відобразить в фінансовій звітності таку ж суму податку на прибуток, як і в податковій декларації, та розкриє інформацію стосовно невизначеності. Якщо ні, то сума, відображена в фінансовій звітності, буде відрізнятися від суми, відображеної в податковій декларації, оскільки вона оцінюється з врахуванням невизначеності.</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Судження щодо операцій, подій або умов за відсутності конкретних МСФЗ</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Якщо немає МСФЗ, який конкретно застосовується до операції, іншої події або умови, керівництво Товариства застосовує судження під час розроблення та застосування облікової політики, щоб інформація була доречною для потреб користувачів для прийняття економічних рішень та достовірною, у тому значенні, що фінансова звітність:</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lastRenderedPageBreak/>
        <w:t>подає достовірно фінансовий стан, фінансові результати діяльності та грошові потоки Товариства;</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відображає економічну сутність операцій, інших подій або умов, а не лише юридичну форму;</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є нейтральною, тобто вільною від упереджень;</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є повною в усіх суттєвих аспектах.</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Під час здійснення судження керівництво Товариства посилається на прийнятність наведених далі джерел та враховує їх у низхідному порядку:</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вимоги в МСФЗ, у яких ідеться про подібні та пов’язані з ними питання;</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визначення, критерії визнання та концепції оцінки активів, зобов’язань, доходів та витрат у Концептуальній основі фінансової звітності.</w:t>
      </w:r>
    </w:p>
    <w:p w:rsidR="00B26DD2" w:rsidRPr="00B26DD2" w:rsidRDefault="00B26DD2" w:rsidP="00B26DD2">
      <w:pPr>
        <w:spacing w:before="0" w:after="120" w:line="240" w:lineRule="auto"/>
        <w:ind w:firstLine="0"/>
        <w:rPr>
          <w:color w:val="auto"/>
          <w:sz w:val="20"/>
          <w:lang w:val="uk-UA"/>
        </w:rPr>
      </w:pPr>
      <w:r w:rsidRPr="00B26DD2">
        <w:rPr>
          <w:color w:val="auto"/>
          <w:sz w:val="20"/>
          <w:lang w:val="uk-UA"/>
        </w:rPr>
        <w:t>Під час здійснення судження керівництво Товариства враховує найостанніші положення інших органів, що розробляють та затверджують стандарти, які застосовують подібну концептуальну основу для розроблення стандартів, іншу професійну літературу з обліку та прийняті галузеві практики, тією мірою, якою вони не суперечать вищезазначеним джерелам.</w:t>
      </w:r>
    </w:p>
    <w:p w:rsidR="00CA5886" w:rsidRPr="0018493C" w:rsidRDefault="00CA5886" w:rsidP="0000323F">
      <w:pPr>
        <w:spacing w:before="0" w:after="120" w:line="240" w:lineRule="auto"/>
        <w:ind w:firstLine="0"/>
        <w:jc w:val="left"/>
        <w:rPr>
          <w:color w:val="auto"/>
          <w:sz w:val="20"/>
          <w:lang w:val="uk-UA"/>
        </w:rPr>
      </w:pPr>
    </w:p>
    <w:p w:rsidR="00816C5D" w:rsidRPr="0018493C" w:rsidRDefault="00816C5D" w:rsidP="00D57199">
      <w:pPr>
        <w:pStyle w:val="2"/>
        <w:numPr>
          <w:ilvl w:val="1"/>
          <w:numId w:val="5"/>
        </w:numPr>
        <w:ind w:left="567" w:hanging="567"/>
      </w:pPr>
      <w:bookmarkStart w:id="21" w:name="_Toc511835060"/>
      <w:r w:rsidRPr="0018493C">
        <w:t>Ризик і керування ризиками</w:t>
      </w:r>
      <w:bookmarkEnd w:id="21"/>
    </w:p>
    <w:p w:rsidR="00816C5D" w:rsidRPr="0018493C" w:rsidRDefault="00816C5D" w:rsidP="00816C5D">
      <w:pPr>
        <w:ind w:firstLine="0"/>
        <w:contextualSpacing/>
        <w:rPr>
          <w:b/>
          <w:color w:val="auto"/>
          <w:sz w:val="20"/>
        </w:rPr>
      </w:pPr>
      <w:r w:rsidRPr="0018493C">
        <w:rPr>
          <w:b/>
          <w:color w:val="auto"/>
          <w:sz w:val="20"/>
        </w:rPr>
        <w:t>Ризик і керування ризиками</w:t>
      </w:r>
    </w:p>
    <w:p w:rsidR="00816C5D" w:rsidRPr="0018493C" w:rsidRDefault="00816C5D" w:rsidP="00816C5D">
      <w:pPr>
        <w:spacing w:before="0" w:after="120" w:line="240" w:lineRule="auto"/>
        <w:ind w:firstLine="0"/>
        <w:rPr>
          <w:color w:val="auto"/>
          <w:sz w:val="20"/>
          <w:lang w:val="uk-UA"/>
        </w:rPr>
      </w:pP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Фінансові активи та фінансові зобов’язання Товариства піддаються наступним фінансовим ризикам: ринковий ризик, який включає ціну, відсоткову ставку та валютні ризики, кредитний ризик і ризик ліквідності.</w:t>
      </w:r>
    </w:p>
    <w:p w:rsidR="00816C5D" w:rsidRPr="0018493C" w:rsidRDefault="00816C5D" w:rsidP="00816C5D">
      <w:pPr>
        <w:spacing w:before="0" w:after="120" w:line="240" w:lineRule="auto"/>
        <w:ind w:firstLine="0"/>
        <w:rPr>
          <w:color w:val="auto"/>
          <w:sz w:val="20"/>
          <w:lang w:val="uk-UA"/>
        </w:rPr>
      </w:pP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Страхова діяльність має на увазі передачу ризику від власника поліса страховикові й наступне керування цим ризиком. Найбільші ризики в області страхування пов'язані із прийманням і оцінкою страхових ризиків, вибором обсягу відповідальності при перестрахуванні й виконанням зобов'язань стосовно укладених страхових договорів. Крім цього, страховик також підданий інвестиційним ризикам, пов'язаним з необхідністю покривати технічні резерви активами, вкладеними в різні фінансові інструменти, а також ринковому ризику, кредитному ризику, ризику втрати ліквідності й операційному ризику.</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Керівництво Товариства виділило наступні основні категорії ризиків:</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w:t>
      </w:r>
      <w:r w:rsidRPr="0018493C">
        <w:rPr>
          <w:color w:val="auto"/>
          <w:sz w:val="20"/>
          <w:lang w:val="uk-UA"/>
        </w:rPr>
        <w:tab/>
        <w:t>Страхові ризики</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w:t>
      </w:r>
      <w:r w:rsidRPr="0018493C">
        <w:rPr>
          <w:color w:val="auto"/>
          <w:sz w:val="20"/>
          <w:lang w:val="uk-UA"/>
        </w:rPr>
        <w:tab/>
        <w:t>Фінансові ризики</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w:t>
      </w:r>
      <w:r w:rsidRPr="0018493C">
        <w:rPr>
          <w:color w:val="auto"/>
          <w:sz w:val="20"/>
          <w:lang w:val="uk-UA"/>
        </w:rPr>
        <w:tab/>
        <w:t>Операційні ризики</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Кожна з вищезгаданих категорій розділяється на підгрупи, у яких позначаються ризики, які можуть вплинути на напрямок діяльності Товариства. Для кожного з ризиків розроблений план виконання, згідно якому Товариство мінімізує виникнення ризику.</w:t>
      </w:r>
    </w:p>
    <w:p w:rsidR="00816C5D" w:rsidRPr="0018493C" w:rsidRDefault="00816C5D" w:rsidP="00816C5D">
      <w:pPr>
        <w:spacing w:before="0" w:after="120" w:line="240" w:lineRule="auto"/>
        <w:ind w:firstLine="0"/>
        <w:rPr>
          <w:color w:val="auto"/>
          <w:sz w:val="20"/>
          <w:lang w:val="uk-UA"/>
        </w:rPr>
      </w:pP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(а)</w:t>
      </w:r>
      <w:r w:rsidRPr="0018493C">
        <w:rPr>
          <w:color w:val="auto"/>
          <w:sz w:val="20"/>
          <w:lang w:val="uk-UA"/>
        </w:rPr>
        <w:tab/>
        <w:t>Страхові ризики й керування ними</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 xml:space="preserve">Страхові ризики - найпоширеніші ризики, з якими Товариство зустрічається у своїй діяльності щодня. </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Стратегія по диверсифікації  ризиків</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В основі стратегії  лежить диверсифікованість ризиків, яка забезпечує підтримку збалансованого портфеля ризиків, ґрунтуючись на великому портфелі схожих ризиків протягом декількох років. Таким чином, знижується кількість різноманітних наслідків.</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Стратегія по диверсифікації ризиків включена в річний бізнес план, у якому описуються види страхування, за якими надходять премії. Страхові договори, можуть бути укладені на період до 5 років, але частіше укладаються на 1 рік. У страховика є право не продовжувати страховий договір або при продовженні договору змінити умови договору.</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Розрахунки тарифів і цін на страхові продукти відображає існуючі ринкові умови й покриває допущення, необхідні для коректування майбутніх результатів для істотного зниження фінансових ризиків.</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 xml:space="preserve">Дотримання диверсифікації страхових ризиків контролюється керівництвом на безперервній основі. </w:t>
      </w:r>
    </w:p>
    <w:p w:rsidR="00816C5D" w:rsidRPr="0018493C" w:rsidRDefault="00816C5D" w:rsidP="00816C5D">
      <w:pPr>
        <w:ind w:firstLine="0"/>
        <w:contextualSpacing/>
        <w:rPr>
          <w:b/>
          <w:color w:val="auto"/>
          <w:sz w:val="20"/>
          <w:u w:val="single"/>
          <w:lang w:val="uk-UA"/>
        </w:rPr>
      </w:pPr>
    </w:p>
    <w:p w:rsidR="00816C5D" w:rsidRPr="0018493C" w:rsidRDefault="00816C5D" w:rsidP="00816C5D">
      <w:pPr>
        <w:ind w:firstLine="0"/>
        <w:contextualSpacing/>
        <w:rPr>
          <w:b/>
          <w:color w:val="auto"/>
          <w:sz w:val="20"/>
          <w:u w:val="single"/>
        </w:rPr>
      </w:pPr>
      <w:r w:rsidRPr="0018493C">
        <w:rPr>
          <w:b/>
          <w:color w:val="auto"/>
          <w:sz w:val="20"/>
          <w:u w:val="single"/>
        </w:rPr>
        <w:t>Опис головних продукті</w:t>
      </w:r>
      <w:proofErr w:type="gramStart"/>
      <w:r w:rsidRPr="0018493C">
        <w:rPr>
          <w:b/>
          <w:color w:val="auto"/>
          <w:sz w:val="20"/>
          <w:u w:val="single"/>
        </w:rPr>
        <w:t>в</w:t>
      </w:r>
      <w:proofErr w:type="gramEnd"/>
    </w:p>
    <w:p w:rsidR="00816C5D" w:rsidRPr="0018493C" w:rsidRDefault="00816C5D" w:rsidP="00816C5D">
      <w:pPr>
        <w:spacing w:before="0" w:after="120" w:line="240" w:lineRule="auto"/>
        <w:ind w:firstLine="0"/>
        <w:rPr>
          <w:color w:val="auto"/>
          <w:sz w:val="20"/>
          <w:lang w:val="uk-UA"/>
        </w:rPr>
      </w:pP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Строки й умови страхових договорів, які мають істотний вплив на суму, час і невизначеність майбутніх грошових потоків, що виникають від страхових договорів, установлені нижче. Крім того опис, що наведено нижче, дає оцінку головним продуктам Товариства й способам, за допомогою яких вона управляє ризиками.</w:t>
      </w:r>
    </w:p>
    <w:p w:rsidR="00816C5D" w:rsidRPr="0018493C" w:rsidRDefault="00816C5D" w:rsidP="00816C5D">
      <w:pPr>
        <w:ind w:firstLine="0"/>
        <w:contextualSpacing/>
        <w:rPr>
          <w:b/>
          <w:color w:val="auto"/>
          <w:sz w:val="20"/>
          <w:u w:val="single"/>
        </w:rPr>
      </w:pPr>
      <w:r w:rsidRPr="0018493C">
        <w:rPr>
          <w:b/>
          <w:color w:val="auto"/>
          <w:sz w:val="20"/>
          <w:u w:val="single"/>
        </w:rPr>
        <w:t>Доброві</w:t>
      </w:r>
      <w:proofErr w:type="gramStart"/>
      <w:r w:rsidRPr="0018493C">
        <w:rPr>
          <w:b/>
          <w:color w:val="auto"/>
          <w:sz w:val="20"/>
          <w:u w:val="single"/>
        </w:rPr>
        <w:t>льне</w:t>
      </w:r>
      <w:proofErr w:type="gramEnd"/>
      <w:r w:rsidRPr="0018493C">
        <w:rPr>
          <w:b/>
          <w:color w:val="auto"/>
          <w:sz w:val="20"/>
          <w:u w:val="single"/>
        </w:rPr>
        <w:t xml:space="preserve"> страхування від нещасного випадку.</w:t>
      </w:r>
    </w:p>
    <w:p w:rsidR="00816C5D" w:rsidRPr="0018493C" w:rsidRDefault="00816C5D" w:rsidP="00816C5D">
      <w:pPr>
        <w:spacing w:before="0" w:after="120" w:line="240" w:lineRule="auto"/>
        <w:ind w:firstLine="0"/>
        <w:rPr>
          <w:color w:val="auto"/>
          <w:sz w:val="20"/>
          <w:lang w:val="uk-UA"/>
        </w:rPr>
      </w:pPr>
    </w:p>
    <w:p w:rsidR="00816C5D" w:rsidRPr="0018493C" w:rsidRDefault="00816C5D" w:rsidP="00816C5D">
      <w:pPr>
        <w:spacing w:before="0" w:after="120" w:line="240" w:lineRule="auto"/>
        <w:ind w:firstLine="0"/>
        <w:rPr>
          <w:b/>
          <w:color w:val="auto"/>
          <w:sz w:val="20"/>
          <w:lang w:val="uk-UA"/>
        </w:rPr>
      </w:pPr>
      <w:r w:rsidRPr="0018493C">
        <w:rPr>
          <w:b/>
          <w:color w:val="auto"/>
          <w:sz w:val="20"/>
          <w:lang w:val="uk-UA"/>
        </w:rPr>
        <w:t>Опис продукту</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Цей вид особистого страхування спрямований на компенсацію шкоди здоров’ю застрахованої особи (тілесні ушкодження, встановлення постійної або тимчасової непрацездатності) або смерті застрахованої особи, що є наслідком нещасного випадку, який трапився з застрахованою особою протягом терміну дії договору страхування.</w:t>
      </w:r>
    </w:p>
    <w:p w:rsidR="00CA5886" w:rsidRPr="0018493C" w:rsidRDefault="00CA5886" w:rsidP="00816C5D">
      <w:pPr>
        <w:spacing w:before="0" w:after="120" w:line="240" w:lineRule="auto"/>
        <w:ind w:firstLine="0"/>
        <w:rPr>
          <w:b/>
          <w:color w:val="auto"/>
          <w:sz w:val="20"/>
          <w:lang w:val="uk-UA"/>
        </w:rPr>
      </w:pPr>
    </w:p>
    <w:p w:rsidR="00816C5D" w:rsidRPr="0018493C" w:rsidRDefault="00816C5D" w:rsidP="00816C5D">
      <w:pPr>
        <w:spacing w:before="0" w:after="120" w:line="240" w:lineRule="auto"/>
        <w:ind w:firstLine="0"/>
        <w:rPr>
          <w:b/>
          <w:color w:val="auto"/>
          <w:sz w:val="20"/>
          <w:lang w:val="uk-UA"/>
        </w:rPr>
      </w:pPr>
      <w:r w:rsidRPr="0018493C">
        <w:rPr>
          <w:b/>
          <w:color w:val="auto"/>
          <w:sz w:val="20"/>
          <w:lang w:val="uk-UA"/>
        </w:rPr>
        <w:t>Керування ризиками</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 xml:space="preserve">Основні ризики, пов'язані з даним продуктом є ризики тілесних ушкоджень. </w:t>
      </w:r>
    </w:p>
    <w:p w:rsidR="00816C5D" w:rsidRPr="0018493C" w:rsidRDefault="00816C5D" w:rsidP="00816C5D">
      <w:pPr>
        <w:spacing w:before="0" w:after="120" w:line="240" w:lineRule="auto"/>
        <w:ind w:firstLine="0"/>
        <w:rPr>
          <w:color w:val="auto"/>
          <w:sz w:val="20"/>
          <w:lang w:val="uk-UA"/>
        </w:rPr>
      </w:pPr>
      <w:r w:rsidRPr="0018493C">
        <w:rPr>
          <w:color w:val="auto"/>
          <w:sz w:val="20"/>
          <w:lang w:val="uk-UA"/>
        </w:rPr>
        <w:t>Страхова ставка визначається за допомогою актуарних розрахунків, які враховують комплекс факторів: вік застрахованої особи, професію та рід занять застрахованої особи, та інше. Страхові суми не перевищують 200 тисяч гривен.</w:t>
      </w:r>
    </w:p>
    <w:p w:rsidR="00816C5D" w:rsidRPr="0018493C" w:rsidRDefault="00816C5D" w:rsidP="00816C5D">
      <w:pPr>
        <w:contextualSpacing/>
        <w:rPr>
          <w:i/>
          <w:color w:val="auto"/>
          <w:szCs w:val="24"/>
          <w:u w:val="single"/>
        </w:rPr>
      </w:pPr>
    </w:p>
    <w:p w:rsidR="00816C5D" w:rsidRPr="0018493C" w:rsidRDefault="00816C5D" w:rsidP="00FE3C31">
      <w:pPr>
        <w:ind w:firstLine="0"/>
        <w:contextualSpacing/>
        <w:rPr>
          <w:b/>
          <w:color w:val="auto"/>
          <w:sz w:val="20"/>
          <w:u w:val="single"/>
        </w:rPr>
      </w:pPr>
      <w:r w:rsidRPr="0018493C">
        <w:rPr>
          <w:b/>
          <w:color w:val="auto"/>
          <w:sz w:val="20"/>
          <w:u w:val="single"/>
        </w:rPr>
        <w:t>Доброві</w:t>
      </w:r>
      <w:proofErr w:type="gramStart"/>
      <w:r w:rsidRPr="0018493C">
        <w:rPr>
          <w:b/>
          <w:color w:val="auto"/>
          <w:sz w:val="20"/>
          <w:u w:val="single"/>
        </w:rPr>
        <w:t>льне</w:t>
      </w:r>
      <w:proofErr w:type="gramEnd"/>
      <w:r w:rsidRPr="0018493C">
        <w:rPr>
          <w:b/>
          <w:color w:val="auto"/>
          <w:sz w:val="20"/>
          <w:u w:val="single"/>
        </w:rPr>
        <w:t xml:space="preserve"> страхування на випадок захворювання.</w:t>
      </w:r>
    </w:p>
    <w:p w:rsidR="00816C5D" w:rsidRPr="0018493C" w:rsidRDefault="00816C5D" w:rsidP="00FE3C31">
      <w:pPr>
        <w:spacing w:before="0" w:after="120" w:line="240" w:lineRule="auto"/>
        <w:ind w:firstLine="0"/>
        <w:rPr>
          <w:b/>
          <w:color w:val="auto"/>
          <w:sz w:val="20"/>
          <w:lang w:val="uk-UA"/>
        </w:rPr>
      </w:pPr>
      <w:r w:rsidRPr="0018493C">
        <w:rPr>
          <w:b/>
          <w:color w:val="auto"/>
          <w:sz w:val="20"/>
          <w:lang w:val="uk-UA"/>
        </w:rPr>
        <w:t>Опис продукту</w:t>
      </w:r>
    </w:p>
    <w:p w:rsidR="00816C5D" w:rsidRPr="0018493C" w:rsidRDefault="00816C5D" w:rsidP="00FE3C31">
      <w:pPr>
        <w:spacing w:before="0" w:after="120" w:line="240" w:lineRule="auto"/>
        <w:ind w:firstLine="0"/>
        <w:rPr>
          <w:color w:val="auto"/>
          <w:sz w:val="20"/>
          <w:lang w:val="uk-UA"/>
        </w:rPr>
      </w:pPr>
      <w:r w:rsidRPr="0018493C">
        <w:rPr>
          <w:color w:val="auto"/>
          <w:sz w:val="20"/>
          <w:lang w:val="uk-UA"/>
        </w:rPr>
        <w:t>Цей вид особистого страхування спрямований на компенсацію шкоди здоров’ю застрахованої особи (встановлення постійної або тимчасової непрацездатності) або смерті застрахованої особи, що є наслідком захворювання, що було вперше діагностовано у застрахованої особи протягом терміну дії договору страхування.</w:t>
      </w:r>
    </w:p>
    <w:p w:rsidR="00816C5D" w:rsidRPr="0018493C" w:rsidRDefault="00816C5D" w:rsidP="00FE3C31">
      <w:pPr>
        <w:spacing w:before="0" w:after="120" w:line="240" w:lineRule="auto"/>
        <w:ind w:firstLine="0"/>
        <w:rPr>
          <w:color w:val="auto"/>
          <w:sz w:val="20"/>
          <w:lang w:val="uk-UA"/>
        </w:rPr>
      </w:pPr>
      <w:r w:rsidRPr="0018493C">
        <w:rPr>
          <w:color w:val="auto"/>
          <w:sz w:val="20"/>
          <w:lang w:val="uk-UA"/>
        </w:rPr>
        <w:t>Керування ризиками</w:t>
      </w:r>
    </w:p>
    <w:p w:rsidR="00816C5D" w:rsidRPr="0018493C" w:rsidRDefault="00816C5D" w:rsidP="00FE3C31">
      <w:pPr>
        <w:spacing w:before="0" w:after="120" w:line="240" w:lineRule="auto"/>
        <w:ind w:firstLine="0"/>
        <w:rPr>
          <w:color w:val="auto"/>
          <w:sz w:val="20"/>
          <w:lang w:val="uk-UA"/>
        </w:rPr>
      </w:pPr>
      <w:r w:rsidRPr="0018493C">
        <w:rPr>
          <w:color w:val="auto"/>
          <w:sz w:val="20"/>
          <w:lang w:val="uk-UA"/>
        </w:rPr>
        <w:t xml:space="preserve">Основні ризики, пов'язані з даним продуктом є ризики смерті застрахованої особи. </w:t>
      </w:r>
    </w:p>
    <w:p w:rsidR="00816C5D" w:rsidRPr="0018493C" w:rsidRDefault="00816C5D" w:rsidP="00FE3C31">
      <w:pPr>
        <w:spacing w:before="0" w:after="120" w:line="240" w:lineRule="auto"/>
        <w:ind w:firstLine="0"/>
        <w:rPr>
          <w:color w:val="auto"/>
          <w:sz w:val="20"/>
          <w:lang w:val="uk-UA"/>
        </w:rPr>
      </w:pPr>
      <w:r w:rsidRPr="0018493C">
        <w:rPr>
          <w:color w:val="auto"/>
          <w:sz w:val="20"/>
          <w:lang w:val="uk-UA"/>
        </w:rPr>
        <w:t xml:space="preserve">Страхова ставка визначається за допомогою актуарних розрахунків, які враховують комплекс факторів: вік застрахованої особи, професію та рід занять застрахованої особи, та інше. Страхові суми не перевищують </w:t>
      </w:r>
      <w:r w:rsidR="00CB62FE">
        <w:rPr>
          <w:color w:val="auto"/>
          <w:sz w:val="20"/>
          <w:lang w:val="uk-UA"/>
        </w:rPr>
        <w:t>170</w:t>
      </w:r>
      <w:r w:rsidRPr="0018493C">
        <w:rPr>
          <w:color w:val="auto"/>
          <w:sz w:val="20"/>
          <w:lang w:val="uk-UA"/>
        </w:rPr>
        <w:t xml:space="preserve"> тисяч гривен.</w:t>
      </w:r>
    </w:p>
    <w:p w:rsidR="007A59AC" w:rsidRPr="0018493C" w:rsidRDefault="007A59AC" w:rsidP="00FE3C31">
      <w:pPr>
        <w:spacing w:before="0" w:after="120" w:line="240" w:lineRule="auto"/>
        <w:ind w:firstLine="0"/>
        <w:rPr>
          <w:color w:val="auto"/>
          <w:sz w:val="20"/>
          <w:lang w:val="uk-UA"/>
        </w:rPr>
      </w:pPr>
    </w:p>
    <w:p w:rsidR="00816C5D" w:rsidRPr="0018493C" w:rsidRDefault="00816C5D" w:rsidP="007A59AC">
      <w:pPr>
        <w:ind w:firstLine="0"/>
        <w:contextualSpacing/>
        <w:rPr>
          <w:b/>
          <w:color w:val="auto"/>
          <w:sz w:val="20"/>
          <w:u w:val="single"/>
        </w:rPr>
      </w:pPr>
      <w:r w:rsidRPr="0018493C">
        <w:rPr>
          <w:b/>
          <w:color w:val="auto"/>
          <w:sz w:val="20"/>
          <w:u w:val="single"/>
        </w:rPr>
        <w:t>Добровільне страхування фінансових ризикі</w:t>
      </w:r>
      <w:proofErr w:type="gramStart"/>
      <w:r w:rsidRPr="0018493C">
        <w:rPr>
          <w:b/>
          <w:color w:val="auto"/>
          <w:sz w:val="20"/>
          <w:u w:val="single"/>
        </w:rPr>
        <w:t>в</w:t>
      </w:r>
      <w:proofErr w:type="gramEnd"/>
      <w:r w:rsidRPr="0018493C">
        <w:rPr>
          <w:b/>
          <w:color w:val="auto"/>
          <w:sz w:val="20"/>
          <w:u w:val="single"/>
        </w:rPr>
        <w:t>.</w:t>
      </w:r>
    </w:p>
    <w:p w:rsidR="00816C5D" w:rsidRPr="0018493C" w:rsidRDefault="00816C5D" w:rsidP="007A59AC">
      <w:pPr>
        <w:spacing w:before="0" w:after="120" w:line="240" w:lineRule="auto"/>
        <w:ind w:firstLine="0"/>
        <w:rPr>
          <w:b/>
          <w:color w:val="auto"/>
          <w:sz w:val="20"/>
          <w:lang w:val="uk-UA"/>
        </w:rPr>
      </w:pPr>
      <w:r w:rsidRPr="0018493C">
        <w:rPr>
          <w:b/>
          <w:color w:val="auto"/>
          <w:sz w:val="20"/>
          <w:lang w:val="uk-UA"/>
        </w:rPr>
        <w:t>Опис продукту</w:t>
      </w:r>
    </w:p>
    <w:p w:rsidR="00816C5D" w:rsidRPr="0018493C" w:rsidRDefault="00816C5D" w:rsidP="007A59AC">
      <w:pPr>
        <w:spacing w:before="0" w:after="120" w:line="240" w:lineRule="auto"/>
        <w:ind w:firstLine="0"/>
        <w:rPr>
          <w:color w:val="auto"/>
          <w:sz w:val="20"/>
          <w:lang w:val="uk-UA"/>
        </w:rPr>
      </w:pPr>
      <w:r w:rsidRPr="0018493C">
        <w:rPr>
          <w:color w:val="auto"/>
          <w:sz w:val="20"/>
          <w:lang w:val="uk-UA"/>
        </w:rPr>
        <w:t>Цей вид страхування спрямований на компенсацію збитків застрахованої особи, що стали наслідком різноманітних подій, що відбулися протягом терміну дії договору страхування: втрата застрахованою особою роботи в зв’язку з ліквідацією підприємства/Товариства або скорочення штату на підприємстві/Товариства, протиправне списання коштів з банківського рахунку застрахованої особи, втрата особистих речей або документів.</w:t>
      </w:r>
    </w:p>
    <w:p w:rsidR="00816C5D" w:rsidRPr="0018493C" w:rsidRDefault="00816C5D" w:rsidP="007A59AC">
      <w:pPr>
        <w:ind w:firstLine="0"/>
        <w:contextualSpacing/>
        <w:rPr>
          <w:b/>
          <w:color w:val="auto"/>
          <w:sz w:val="20"/>
          <w:u w:val="single"/>
          <w:lang w:val="uk-UA"/>
        </w:rPr>
      </w:pPr>
      <w:r w:rsidRPr="0018493C">
        <w:rPr>
          <w:b/>
          <w:color w:val="auto"/>
          <w:sz w:val="20"/>
          <w:u w:val="single"/>
        </w:rPr>
        <w:t>Керування ризиками</w:t>
      </w:r>
    </w:p>
    <w:p w:rsidR="007A59AC" w:rsidRPr="0018493C" w:rsidRDefault="007A59AC" w:rsidP="007A59AC">
      <w:pPr>
        <w:ind w:firstLine="0"/>
        <w:contextualSpacing/>
        <w:rPr>
          <w:b/>
          <w:color w:val="auto"/>
          <w:sz w:val="20"/>
          <w:u w:val="single"/>
          <w:lang w:val="uk-UA"/>
        </w:rPr>
      </w:pPr>
    </w:p>
    <w:p w:rsidR="00816C5D" w:rsidRPr="0018493C" w:rsidRDefault="00816C5D" w:rsidP="007A59AC">
      <w:pPr>
        <w:spacing w:before="0" w:after="120" w:line="240" w:lineRule="auto"/>
        <w:ind w:firstLine="0"/>
        <w:rPr>
          <w:color w:val="auto"/>
          <w:sz w:val="20"/>
          <w:lang w:val="uk-UA"/>
        </w:rPr>
      </w:pPr>
      <w:r w:rsidRPr="0018493C">
        <w:rPr>
          <w:color w:val="auto"/>
          <w:sz w:val="20"/>
          <w:lang w:val="uk-UA"/>
        </w:rPr>
        <w:t xml:space="preserve">Основні ризики, пов'язані з даним продуктом є ризики втрати застрахованою особою роботи в зв’язку з ліквідацією підприємства/Товариства або скорочення штату на підприємстві/Товариства. </w:t>
      </w:r>
    </w:p>
    <w:p w:rsidR="00816C5D" w:rsidRPr="0018493C" w:rsidRDefault="00816C5D" w:rsidP="007A59AC">
      <w:pPr>
        <w:spacing w:before="0" w:after="120" w:line="240" w:lineRule="auto"/>
        <w:ind w:firstLine="0"/>
        <w:rPr>
          <w:color w:val="auto"/>
          <w:sz w:val="20"/>
          <w:lang w:val="uk-UA"/>
        </w:rPr>
      </w:pPr>
      <w:r w:rsidRPr="0018493C">
        <w:rPr>
          <w:color w:val="auto"/>
          <w:sz w:val="20"/>
          <w:lang w:val="uk-UA"/>
        </w:rPr>
        <w:t xml:space="preserve">Страхова ставка визначається за допомогою актуарних розрахунків, які враховують комплекс факторів: вік застрахованої особи, стаж роботи застрахованої особи, та інше. Страхові суми не перевищують </w:t>
      </w:r>
      <w:r w:rsidR="00CB62FE">
        <w:rPr>
          <w:color w:val="auto"/>
          <w:sz w:val="20"/>
          <w:lang w:val="uk-UA"/>
        </w:rPr>
        <w:t>38</w:t>
      </w:r>
      <w:r w:rsidRPr="0018493C">
        <w:rPr>
          <w:color w:val="auto"/>
          <w:sz w:val="20"/>
          <w:lang w:val="uk-UA"/>
        </w:rPr>
        <w:t xml:space="preserve"> тисяч гривен.</w:t>
      </w:r>
    </w:p>
    <w:p w:rsidR="00816C5D" w:rsidRPr="0018493C" w:rsidRDefault="00816C5D" w:rsidP="007A59AC">
      <w:pPr>
        <w:spacing w:before="0" w:after="120" w:line="240" w:lineRule="auto"/>
        <w:ind w:firstLine="0"/>
        <w:rPr>
          <w:color w:val="auto"/>
          <w:sz w:val="20"/>
          <w:lang w:val="uk-UA"/>
        </w:rPr>
      </w:pPr>
      <w:r w:rsidRPr="0018493C">
        <w:rPr>
          <w:color w:val="auto"/>
          <w:sz w:val="20"/>
          <w:lang w:val="uk-UA"/>
        </w:rPr>
        <w:t xml:space="preserve">З метою керування ризиками застосовуються обмеження на страхування: застрахована особа має бути офіційно працевлаштована, повинна мати стаж роботи не менше року на останньому місці роботи, тощо.  </w:t>
      </w:r>
    </w:p>
    <w:p w:rsidR="00816C5D" w:rsidRPr="0018493C" w:rsidRDefault="00816C5D" w:rsidP="0064776E">
      <w:pPr>
        <w:ind w:firstLine="0"/>
        <w:contextualSpacing/>
        <w:rPr>
          <w:b/>
          <w:color w:val="auto"/>
          <w:sz w:val="20"/>
          <w:u w:val="single"/>
        </w:rPr>
      </w:pPr>
      <w:r w:rsidRPr="0018493C">
        <w:rPr>
          <w:b/>
          <w:color w:val="auto"/>
          <w:sz w:val="20"/>
          <w:u w:val="single"/>
        </w:rPr>
        <w:t>Доброві</w:t>
      </w:r>
      <w:proofErr w:type="gramStart"/>
      <w:r w:rsidRPr="0018493C">
        <w:rPr>
          <w:b/>
          <w:color w:val="auto"/>
          <w:sz w:val="20"/>
          <w:u w:val="single"/>
        </w:rPr>
        <w:t>льне</w:t>
      </w:r>
      <w:proofErr w:type="gramEnd"/>
      <w:r w:rsidRPr="0018493C">
        <w:rPr>
          <w:b/>
          <w:color w:val="auto"/>
          <w:sz w:val="20"/>
          <w:u w:val="single"/>
        </w:rPr>
        <w:t xml:space="preserve"> страхування майна іншого ніж передбачено</w:t>
      </w:r>
    </w:p>
    <w:p w:rsidR="00816C5D" w:rsidRPr="0018493C" w:rsidRDefault="00816C5D" w:rsidP="0064776E">
      <w:pPr>
        <w:spacing w:before="0" w:after="120" w:line="240" w:lineRule="auto"/>
        <w:ind w:firstLine="0"/>
        <w:rPr>
          <w:b/>
          <w:color w:val="auto"/>
          <w:sz w:val="20"/>
          <w:lang w:val="uk-UA"/>
        </w:rPr>
      </w:pPr>
      <w:r w:rsidRPr="0018493C">
        <w:rPr>
          <w:b/>
          <w:color w:val="auto"/>
          <w:sz w:val="20"/>
          <w:lang w:val="uk-UA"/>
        </w:rPr>
        <w:t>Опис продукту</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lastRenderedPageBreak/>
        <w:t xml:space="preserve">Цей вид страхування спрямований на компенсацію збитків, що виникли внаслідок пошкодження або знищення застрахованого майна, що відбулися протягом терміну дії договору страхування. </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Керування ризиками</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Основні ризики, пов'язані з даним продуктом є ризики протиправних дій третіх осіб: викрадення, розбій, хуліганські дії. </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Страхова ставка визначається за допомогою актуарних розрахунків, які враховують комплекс факторів: вид майна, характер використання майна, вартість майна, та інше. Страхові суми не перевищують 4</w:t>
      </w:r>
      <w:r w:rsidR="00CB62FE">
        <w:rPr>
          <w:color w:val="auto"/>
          <w:sz w:val="20"/>
          <w:lang w:val="uk-UA"/>
        </w:rPr>
        <w:t>5</w:t>
      </w:r>
      <w:r w:rsidRPr="0018493C">
        <w:rPr>
          <w:color w:val="auto"/>
          <w:sz w:val="20"/>
          <w:lang w:val="uk-UA"/>
        </w:rPr>
        <w:t>0 тисяч гривен.</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З метою керування ризиками застосовуються обмеження на страхування: наприклад не приймаються на страхування окремі види майна (банкноти, цінні папери), застосовується франшиза та зменшення вартості майна (амортизація), тощо.  </w:t>
      </w:r>
    </w:p>
    <w:p w:rsidR="00816C5D" w:rsidRPr="0018493C" w:rsidRDefault="00816C5D" w:rsidP="0064776E">
      <w:pPr>
        <w:ind w:firstLine="0"/>
        <w:contextualSpacing/>
        <w:rPr>
          <w:b/>
          <w:color w:val="auto"/>
          <w:sz w:val="20"/>
          <w:u w:val="single"/>
        </w:rPr>
      </w:pPr>
      <w:r w:rsidRPr="0018493C">
        <w:rPr>
          <w:b/>
          <w:color w:val="auto"/>
          <w:sz w:val="20"/>
          <w:u w:val="single"/>
        </w:rPr>
        <w:t>Добровільне страхування на випадок стихійних явищ та вогневих ризикі</w:t>
      </w:r>
      <w:proofErr w:type="gramStart"/>
      <w:r w:rsidRPr="0018493C">
        <w:rPr>
          <w:b/>
          <w:color w:val="auto"/>
          <w:sz w:val="20"/>
          <w:u w:val="single"/>
        </w:rPr>
        <w:t>в</w:t>
      </w:r>
      <w:proofErr w:type="gramEnd"/>
      <w:r w:rsidRPr="0018493C">
        <w:rPr>
          <w:b/>
          <w:color w:val="auto"/>
          <w:sz w:val="20"/>
          <w:u w:val="single"/>
        </w:rPr>
        <w:t>.</w:t>
      </w:r>
    </w:p>
    <w:p w:rsidR="00816C5D" w:rsidRPr="0018493C" w:rsidRDefault="00816C5D" w:rsidP="0064776E">
      <w:pPr>
        <w:spacing w:before="0" w:after="120" w:line="240" w:lineRule="auto"/>
        <w:ind w:firstLine="0"/>
        <w:rPr>
          <w:b/>
          <w:color w:val="auto"/>
          <w:sz w:val="20"/>
          <w:lang w:val="uk-UA"/>
        </w:rPr>
      </w:pPr>
      <w:r w:rsidRPr="0018493C">
        <w:rPr>
          <w:b/>
          <w:color w:val="auto"/>
          <w:sz w:val="20"/>
          <w:lang w:val="uk-UA"/>
        </w:rPr>
        <w:t>Опис продукту</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Цей вид страхування спрямований на компенсацію збитків, що виникли внаслідок пошкодження або знищення застрахованого майна, що відбулися протягом терміну дії договору страхування. </w:t>
      </w:r>
    </w:p>
    <w:p w:rsidR="00816C5D" w:rsidRPr="0018493C" w:rsidRDefault="00816C5D" w:rsidP="0064776E">
      <w:pPr>
        <w:spacing w:before="0" w:after="120" w:line="240" w:lineRule="auto"/>
        <w:ind w:firstLine="0"/>
        <w:rPr>
          <w:b/>
          <w:color w:val="auto"/>
          <w:sz w:val="20"/>
          <w:lang w:val="uk-UA"/>
        </w:rPr>
      </w:pPr>
      <w:r w:rsidRPr="0018493C">
        <w:rPr>
          <w:b/>
          <w:color w:val="auto"/>
          <w:sz w:val="20"/>
          <w:lang w:val="uk-UA"/>
        </w:rPr>
        <w:t>Керування ризиками</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Основні ризики, пов'язані з даним продуктом є ризики пошкодження або знищення майна внаслідок впливу вогню (пожежа). </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Страхова ставка визначається за допомогою актуарних розрахунків, які враховують комплекс факторів: вид майна, характер використання майна, вартість майна, вік майна, розташування майна та інше. Страхові суми не перевищують 4</w:t>
      </w:r>
      <w:r w:rsidR="00CB62FE">
        <w:rPr>
          <w:color w:val="auto"/>
          <w:sz w:val="20"/>
          <w:lang w:val="uk-UA"/>
        </w:rPr>
        <w:t>5</w:t>
      </w:r>
      <w:r w:rsidRPr="0018493C">
        <w:rPr>
          <w:color w:val="auto"/>
          <w:sz w:val="20"/>
          <w:lang w:val="uk-UA"/>
        </w:rPr>
        <w:t>0 тисяч гривен.</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З метою керування ризиками застосовуються обмеження на страхування: наприклад не приймаються на страхування окремі види майна (банкноти, цінні папери), застосовується франшиза та зменшення вартості майна (амортизація), не приймається на страхування майно що розташоване в зоні стихійного лиха, тощо.  </w:t>
      </w:r>
    </w:p>
    <w:p w:rsidR="00816C5D" w:rsidRPr="0018493C" w:rsidRDefault="00816C5D" w:rsidP="00816C5D">
      <w:pPr>
        <w:contextualSpacing/>
        <w:rPr>
          <w:color w:val="auto"/>
          <w:szCs w:val="24"/>
          <w:lang w:val="uk-UA"/>
        </w:rPr>
      </w:pPr>
    </w:p>
    <w:p w:rsidR="00816C5D" w:rsidRPr="0018493C" w:rsidRDefault="00816C5D" w:rsidP="0064776E">
      <w:pPr>
        <w:ind w:firstLine="0"/>
        <w:contextualSpacing/>
        <w:rPr>
          <w:b/>
          <w:color w:val="auto"/>
          <w:sz w:val="20"/>
          <w:u w:val="single"/>
        </w:rPr>
      </w:pPr>
      <w:r w:rsidRPr="0018493C">
        <w:rPr>
          <w:b/>
          <w:color w:val="auto"/>
          <w:sz w:val="20"/>
          <w:u w:val="single"/>
        </w:rPr>
        <w:t xml:space="preserve">Концентрація </w:t>
      </w:r>
      <w:proofErr w:type="gramStart"/>
      <w:r w:rsidRPr="0018493C">
        <w:rPr>
          <w:b/>
          <w:color w:val="auto"/>
          <w:sz w:val="20"/>
          <w:u w:val="single"/>
        </w:rPr>
        <w:t>страхового</w:t>
      </w:r>
      <w:proofErr w:type="gramEnd"/>
      <w:r w:rsidRPr="0018493C">
        <w:rPr>
          <w:b/>
          <w:color w:val="auto"/>
          <w:sz w:val="20"/>
          <w:u w:val="single"/>
        </w:rPr>
        <w:t xml:space="preserve"> ризику</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У процесі страхування можуть виникати концентрації ризику, де конкретна подія або ряд подій можуть вплинути на зобов'язання Товариства. Такі концентрації можуть виникати з одного договору страхування або з декількох зв'язаних договорів.</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Товариство у роботі не допускає виникнення концентрації страхових ризиків, для чого обмежується страхова відповідальність за окремим договором страхування, проводиться страхування великої кількості незв’язаних об’єктів страхування або застрахованих осіб. </w:t>
      </w:r>
    </w:p>
    <w:p w:rsidR="00816C5D" w:rsidRPr="0018493C" w:rsidRDefault="00816C5D" w:rsidP="00816C5D">
      <w:pPr>
        <w:contextualSpacing/>
        <w:rPr>
          <w:color w:val="auto"/>
          <w:szCs w:val="24"/>
        </w:rPr>
      </w:pPr>
    </w:p>
    <w:p w:rsidR="00816C5D" w:rsidRPr="0018493C" w:rsidRDefault="00816C5D" w:rsidP="0064776E">
      <w:pPr>
        <w:ind w:firstLine="0"/>
        <w:contextualSpacing/>
        <w:rPr>
          <w:b/>
          <w:color w:val="auto"/>
          <w:sz w:val="20"/>
          <w:u w:val="single"/>
        </w:rPr>
      </w:pPr>
      <w:r w:rsidRPr="0018493C">
        <w:rPr>
          <w:b/>
          <w:color w:val="auto"/>
          <w:sz w:val="20"/>
          <w:u w:val="single"/>
        </w:rPr>
        <w:t xml:space="preserve">Катастрофи та </w:t>
      </w:r>
      <w:proofErr w:type="gramStart"/>
      <w:r w:rsidRPr="0018493C">
        <w:rPr>
          <w:b/>
          <w:color w:val="auto"/>
          <w:sz w:val="20"/>
          <w:u w:val="single"/>
        </w:rPr>
        <w:t>соц</w:t>
      </w:r>
      <w:proofErr w:type="gramEnd"/>
      <w:r w:rsidRPr="0018493C">
        <w:rPr>
          <w:b/>
          <w:color w:val="auto"/>
          <w:sz w:val="20"/>
          <w:u w:val="single"/>
        </w:rPr>
        <w:t>іальні катаклізми</w:t>
      </w:r>
    </w:p>
    <w:p w:rsidR="0064776E" w:rsidRPr="0018493C" w:rsidRDefault="0064776E" w:rsidP="0064776E">
      <w:pPr>
        <w:spacing w:before="0" w:after="120" w:line="240" w:lineRule="auto"/>
        <w:ind w:firstLine="0"/>
        <w:rPr>
          <w:color w:val="auto"/>
          <w:sz w:val="20"/>
          <w:lang w:val="uk-UA"/>
        </w:rPr>
      </w:pP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Керівництво Товариства допускає можливість існування ризиків, пов'язаних з катастрофами або соціальними катаклізмами. </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З урахуванням географічного положення Товариства, ризики катастроф головним чином пов'язані з такими метеорологічними явищами, як шторми, повені, стихійні лиха (гради, сніг, заледеніння й т.п.). Великомасштабні пожежі й землетрусу можливі, але малоймовірні. Найбільш характерними катастрофами вважаються повені й шторми. Для мінімізації ризику, пов'язаного з катастрофами, Товариство обмежує суму відповідальності за окремими об’єктами страхування, а також застосовує обмеження по розташуванню об’єктів страхування.</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З урахуванням політичної та соціальної ситуації у країні, ризики соціальних катаклізмів головним чином пов'язані з наслідками економічної кризи, що почалася у 2008 році.  </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Для мінімізації ризику, пов'язаного з соціальними катаклізмами, Товариство застосовує ряд обмежень, що дозволяють мінімізувати вплив наслідків економічної кризи на застрахованих осіб або об’єкти страхування.</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На думку керівництва, вжиті заходи в достатньому ступені зменшують вплив ризику, пов'язаного з катастрофами та соціальними катаклізмами, на діяльність Товариства.</w:t>
      </w:r>
    </w:p>
    <w:p w:rsidR="00816C5D" w:rsidRPr="0018493C" w:rsidRDefault="00816C5D" w:rsidP="00816C5D">
      <w:pPr>
        <w:contextualSpacing/>
        <w:rPr>
          <w:color w:val="auto"/>
          <w:szCs w:val="24"/>
        </w:rPr>
      </w:pPr>
    </w:p>
    <w:p w:rsidR="00816C5D" w:rsidRPr="0018493C" w:rsidRDefault="00816C5D" w:rsidP="0064776E">
      <w:pPr>
        <w:ind w:firstLine="0"/>
        <w:contextualSpacing/>
        <w:rPr>
          <w:b/>
          <w:color w:val="auto"/>
          <w:sz w:val="20"/>
          <w:u w:val="single"/>
          <w:lang w:val="uk-UA"/>
        </w:rPr>
      </w:pPr>
      <w:r w:rsidRPr="0018493C">
        <w:rPr>
          <w:b/>
          <w:color w:val="auto"/>
          <w:sz w:val="20"/>
          <w:u w:val="single"/>
        </w:rPr>
        <w:lastRenderedPageBreak/>
        <w:t>Керування страховими ризиками</w:t>
      </w:r>
    </w:p>
    <w:p w:rsidR="0064776E" w:rsidRPr="0018493C" w:rsidRDefault="0064776E" w:rsidP="0064776E">
      <w:pPr>
        <w:ind w:firstLine="0"/>
        <w:contextualSpacing/>
        <w:rPr>
          <w:b/>
          <w:color w:val="auto"/>
          <w:sz w:val="20"/>
          <w:u w:val="single"/>
          <w:lang w:val="uk-UA"/>
        </w:rPr>
      </w:pP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Товариство розробила механізми контролю й керування для того, щоб обмежити страховий ризик. Для всіх видів страхування актуарно розраховані страхові тарифи, що залежать від ймовірності настання страхового ризику за окремим видом страхування. Товариство заключає договори страхування на різні строки та з різними умовами та використовує визначені контролюючими органами методики оцінки страхових ризиків.</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Існує ліміт, у рамках якого може ухвалювати рішення щодо прийняття окремого ризику на страхування.</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Незалежно від вказаних кроків і механізмів по керуванню ризиками, які застосовуються, керівництво Товариства розуміє, що існує ймовірність того, що оцінка страхового ризику може бути недостатньо якісною й можуть бути зроблені невірні висновки. Також існує ризик, що страхові виплати не будуть відповідати нанесеним збиткам, або адміністрування вимог по відшкодуванню збитків буде забирати тривалий час.</w:t>
      </w:r>
    </w:p>
    <w:p w:rsidR="00816C5D" w:rsidRPr="0018493C" w:rsidRDefault="00816C5D" w:rsidP="0064776E">
      <w:pPr>
        <w:spacing w:before="0" w:after="120" w:line="240" w:lineRule="auto"/>
        <w:ind w:firstLine="0"/>
        <w:rPr>
          <w:color w:val="auto"/>
          <w:sz w:val="20"/>
          <w:lang w:val="uk-UA"/>
        </w:rPr>
      </w:pPr>
      <w:r w:rsidRPr="0018493C">
        <w:rPr>
          <w:color w:val="auto"/>
          <w:sz w:val="20"/>
          <w:lang w:val="uk-UA"/>
        </w:rPr>
        <w:t xml:space="preserve">Для того, щоб зменшити дані ризики, Товариство розробила й використовує систему контролю страхових виплат, яка описує всі процеси, які відбуваються в Товариства під час врегулювання вимог про страхове відшкодування. </w:t>
      </w:r>
    </w:p>
    <w:p w:rsidR="00CA5886" w:rsidRPr="0018493C" w:rsidRDefault="00CA5886" w:rsidP="00816C5D">
      <w:pPr>
        <w:contextualSpacing/>
        <w:rPr>
          <w:color w:val="auto"/>
          <w:szCs w:val="24"/>
        </w:rPr>
      </w:pPr>
    </w:p>
    <w:p w:rsidR="00816C5D" w:rsidRPr="0018493C" w:rsidRDefault="00816C5D" w:rsidP="00816C5D">
      <w:pPr>
        <w:contextualSpacing/>
        <w:rPr>
          <w:i/>
          <w:color w:val="auto"/>
          <w:sz w:val="20"/>
        </w:rPr>
      </w:pPr>
      <w:r w:rsidRPr="0018493C">
        <w:rPr>
          <w:i/>
          <w:color w:val="auto"/>
          <w:sz w:val="20"/>
        </w:rPr>
        <w:t>(б)</w:t>
      </w:r>
      <w:r w:rsidRPr="0018493C">
        <w:rPr>
          <w:i/>
          <w:color w:val="auto"/>
          <w:sz w:val="20"/>
        </w:rPr>
        <w:tab/>
        <w:t xml:space="preserve"> Ринкові ризики</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Усі фінансові інструменти й позиції піддаються ринковому ризику - ризику того, що майбутні ринкові умови можуть зробити інструмент більш-менш коштовним. Товариство піддається потенційним інвестиційним ризикам, несучи збитки від фінансових активів, фінансових зобов'язань й контрактних страхових зобов'язань у результаті змін процентних ставок, валютних курсів і ціни фінансових інструментів.</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Для того щоб обмежити інвестиційний ризик, зроблені вкладення в різні фінансові інструменти. При виборі фінансових інструментів ураховуються вимоги страхової Товариства й законодавства.</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При здійсненні інвестиційної діяльності Товариство  опирається на затверджену процедуру інвестування, що регулює численні питання, пов'язані з контролем і мінімізацією інвестиційних ризиків.</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Мінімізація інвестиційних ризиків здійснюється двома способами: по-перше, диверсифікуючи свій інвестиційний портфель; по-друге, аналізуючи певний актив перед його покупкою й відслідковуючи подальшу інформацію про цей актив.</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Товариство управляє ринковими ризиками, вкладаючи більшість інвестицій у ринки й інвестування з високими рейтингами. Депозити розміщаються в основному в комерційних банках, які мають високі рейтинги.</w:t>
      </w:r>
    </w:p>
    <w:p w:rsidR="00816C5D" w:rsidRPr="0018493C" w:rsidRDefault="00816C5D" w:rsidP="00816C5D">
      <w:pPr>
        <w:contextualSpacing/>
        <w:rPr>
          <w:color w:val="auto"/>
          <w:szCs w:val="24"/>
        </w:rPr>
      </w:pPr>
    </w:p>
    <w:p w:rsidR="00816C5D" w:rsidRPr="0018493C" w:rsidRDefault="00816C5D" w:rsidP="00816C5D">
      <w:pPr>
        <w:contextualSpacing/>
        <w:rPr>
          <w:i/>
          <w:color w:val="auto"/>
          <w:sz w:val="20"/>
        </w:rPr>
      </w:pPr>
      <w:r w:rsidRPr="0018493C">
        <w:rPr>
          <w:i/>
          <w:color w:val="auto"/>
          <w:sz w:val="20"/>
        </w:rPr>
        <w:t>(в)</w:t>
      </w:r>
      <w:r w:rsidRPr="0018493C">
        <w:rPr>
          <w:i/>
          <w:color w:val="auto"/>
          <w:sz w:val="20"/>
        </w:rPr>
        <w:tab/>
        <w:t xml:space="preserve"> Ризик процентної ставки</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Заходи щодо керування ризиком процентної ставки проводяться в Товариства на основі оцінки впливу процентного ризику на фінансові показники Товариства. Товариство не піддана значному ризику коливання процентних ставок, які з'являються через відмінності в часі виплат активів, що приносять процентний дохід, і зобов'язань, тому що Товариство не має значних зобов'язань, за які доводиться платити, а відсотки й значна частина активів, що приносять процентний дохід, забезпечені фіксованою процентною ставкою.</w:t>
      </w:r>
    </w:p>
    <w:p w:rsidR="00816C5D" w:rsidRDefault="00816C5D" w:rsidP="00816C5D">
      <w:pPr>
        <w:contextualSpacing/>
        <w:rPr>
          <w:color w:val="auto"/>
          <w:szCs w:val="24"/>
          <w:lang w:val="uk-UA"/>
        </w:rPr>
      </w:pPr>
    </w:p>
    <w:p w:rsidR="00CB62FE" w:rsidRPr="00CB62FE" w:rsidRDefault="00CB62FE" w:rsidP="00816C5D">
      <w:pPr>
        <w:contextualSpacing/>
        <w:rPr>
          <w:color w:val="auto"/>
          <w:szCs w:val="24"/>
          <w:lang w:val="uk-UA"/>
        </w:rPr>
      </w:pPr>
    </w:p>
    <w:p w:rsidR="00816C5D" w:rsidRPr="0018493C" w:rsidRDefault="00816C5D" w:rsidP="00816C5D">
      <w:pPr>
        <w:contextualSpacing/>
        <w:rPr>
          <w:i/>
          <w:color w:val="auto"/>
          <w:szCs w:val="24"/>
        </w:rPr>
      </w:pPr>
      <w:r w:rsidRPr="0018493C">
        <w:rPr>
          <w:i/>
          <w:color w:val="auto"/>
          <w:szCs w:val="24"/>
        </w:rPr>
        <w:t>(г)</w:t>
      </w:r>
      <w:r w:rsidRPr="0018493C">
        <w:rPr>
          <w:i/>
          <w:color w:val="auto"/>
          <w:szCs w:val="24"/>
        </w:rPr>
        <w:tab/>
      </w:r>
      <w:r w:rsidRPr="0018493C">
        <w:rPr>
          <w:i/>
          <w:color w:val="auto"/>
          <w:sz w:val="20"/>
        </w:rPr>
        <w:t xml:space="preserve"> Операційні ризики й керування ними</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 xml:space="preserve">Завданням Товариства є надання своїм клієнтам високоякісного обслуговування. Найбільш істотним ризиком, що ставлять під загрозу наявність сервісу високого класу, вважається відсутність кваліфікованого й компетентного персоналу Товариства. Для того, щоб успішно залучати й зберігати кваліфікований персонал середнього й вищого рівня, Товариство впровадила систему мотивації, а також виплачує своїм співробітникам конкурентну зарплату, таким чином, досягла низького рівня плинності персоналу. </w:t>
      </w:r>
    </w:p>
    <w:p w:rsidR="00816C5D" w:rsidRPr="0018493C" w:rsidRDefault="00816C5D" w:rsidP="00816C5D">
      <w:pPr>
        <w:contextualSpacing/>
        <w:rPr>
          <w:i/>
          <w:color w:val="auto"/>
          <w:sz w:val="20"/>
        </w:rPr>
      </w:pPr>
    </w:p>
    <w:p w:rsidR="00816C5D" w:rsidRPr="0018493C" w:rsidRDefault="00816C5D" w:rsidP="00816C5D">
      <w:pPr>
        <w:contextualSpacing/>
        <w:rPr>
          <w:i/>
          <w:color w:val="auto"/>
          <w:sz w:val="20"/>
        </w:rPr>
      </w:pPr>
      <w:r w:rsidRPr="0018493C">
        <w:rPr>
          <w:i/>
          <w:color w:val="auto"/>
          <w:sz w:val="20"/>
        </w:rPr>
        <w:t>(д)</w:t>
      </w:r>
      <w:r w:rsidRPr="0018493C">
        <w:rPr>
          <w:i/>
          <w:color w:val="auto"/>
          <w:sz w:val="20"/>
        </w:rPr>
        <w:tab/>
        <w:t xml:space="preserve">Розкриття інформації про капітал </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 xml:space="preserve">Визначення капіталу Товариства укладається в капіталі звичайних акцій, емісійному доході, накопиченому нерозподіленому прибутку й інших резервах капіталу. Керівництво бачить свою роль як корпоративних кураторів, що несуть відповідальність за збереження й приріст капіталу, а також за одержання акціонерами необхідної суми прибутку. </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Мета Товариства в завданні підтримки й росту капіталу:</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lastRenderedPageBreak/>
        <w:t xml:space="preserve">- забезпечення здатності Товариства продовжувати свою діяльність у майбутньому з метою надання прибутки акціонерам і вигід іншим зацікавленим сторонам, </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 зниження й контроль над ризиками, яким піддано операційне й конкурентне середовище активів Товариства, а, отже, збереження цілісності Товариства, і</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 xml:space="preserve">- забезпечення достатньої суми прибутку акціонерів шляхом реалізації страхових продуктів, що користуються попитом у замовників по тарифах, відповідних до рівня ризику й очікуванням акціонерів. </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Товариство встановлює суму капіталу, який їй необхідний, пропорційно ризикам. Товариство управляє структурою свого капіталу й коректує її з урахуванням змін економічної ситуації й характеристик ризику поточного середовища. Основні активи Товариства складаються, головним чином, з коштів і фінансових інвестицій. При цьому пакет даних інвестицій досить диверсифікований, що дає підстави зміцнення фінансового становища Товариства.</w:t>
      </w:r>
    </w:p>
    <w:p w:rsidR="00816C5D" w:rsidRPr="0018493C" w:rsidRDefault="00816C5D" w:rsidP="00361440">
      <w:pPr>
        <w:spacing w:before="0" w:after="120" w:line="240" w:lineRule="auto"/>
        <w:ind w:firstLine="0"/>
        <w:rPr>
          <w:color w:val="auto"/>
          <w:sz w:val="20"/>
          <w:lang w:val="uk-UA"/>
        </w:rPr>
      </w:pPr>
      <w:r w:rsidRPr="0018493C">
        <w:rPr>
          <w:color w:val="auto"/>
          <w:sz w:val="20"/>
          <w:lang w:val="uk-UA"/>
        </w:rPr>
        <w:t>З метою підтримки або зміни структури капіталу, Товариство може випустити нові акції, змінити суму дивідендів, виплачуваних акціонерам, погасити заборгованості, повернути капітал акціонерам або реалізувати активи для поліпшення грошової позиції. Як показує досвід, перші три методи використовувалися з метою одержання й підтримки бажаної структури капіталу. Товариство не залучала позиковий капітал и не планує цього в майбутньому.</w:t>
      </w:r>
    </w:p>
    <w:p w:rsidR="002F5734" w:rsidRPr="0018493C" w:rsidRDefault="002F5734" w:rsidP="00D57199">
      <w:pPr>
        <w:pStyle w:val="2"/>
        <w:numPr>
          <w:ilvl w:val="1"/>
          <w:numId w:val="5"/>
        </w:numPr>
        <w:ind w:left="567" w:hanging="567"/>
      </w:pPr>
      <w:bookmarkStart w:id="22" w:name="_Toc511835061"/>
      <w:r w:rsidRPr="0018493C">
        <w:t>Ризик ліквідності</w:t>
      </w:r>
      <w:bookmarkEnd w:id="22"/>
    </w:p>
    <w:p w:rsidR="002F5734" w:rsidRPr="0018493C" w:rsidRDefault="002F5734" w:rsidP="002F5734">
      <w:pPr>
        <w:spacing w:before="0" w:after="120" w:line="240" w:lineRule="auto"/>
        <w:ind w:firstLine="0"/>
        <w:rPr>
          <w:color w:val="auto"/>
          <w:sz w:val="20"/>
          <w:lang w:val="uk-UA"/>
        </w:rPr>
      </w:pPr>
      <w:r w:rsidRPr="0018493C">
        <w:rPr>
          <w:color w:val="auto"/>
          <w:sz w:val="20"/>
          <w:lang w:val="uk-UA"/>
        </w:rPr>
        <w:t>Ризик ліквідності – це наявний або потенційний ризик для надходжень та капіталу, який виникає через неспроможність Товариства виконати свої зобов'язання у належні строки, не зазнавши при цьому неприйнятних втрат.</w:t>
      </w:r>
    </w:p>
    <w:p w:rsidR="002F5734" w:rsidRPr="0018493C" w:rsidRDefault="002F5734" w:rsidP="002F5734">
      <w:pPr>
        <w:spacing w:before="0" w:after="120" w:line="240" w:lineRule="auto"/>
        <w:ind w:firstLine="0"/>
        <w:rPr>
          <w:color w:val="auto"/>
          <w:sz w:val="20"/>
          <w:lang w:val="uk-UA"/>
        </w:rPr>
      </w:pPr>
      <w:r w:rsidRPr="0018493C">
        <w:rPr>
          <w:color w:val="auto"/>
          <w:sz w:val="20"/>
          <w:lang w:val="uk-UA"/>
        </w:rPr>
        <w:t xml:space="preserve">Ризик ліквідності виникає через нездатність управляти незапланованими відтоками коштів, змінами джерел фінансування та/або виконувати позабалансові зобов'язання. </w:t>
      </w:r>
    </w:p>
    <w:p w:rsidR="002F5734" w:rsidRPr="0018493C" w:rsidRDefault="002F5734" w:rsidP="002F5734">
      <w:pPr>
        <w:spacing w:before="0" w:after="120" w:line="240" w:lineRule="auto"/>
        <w:ind w:firstLine="0"/>
        <w:rPr>
          <w:color w:val="auto"/>
          <w:sz w:val="20"/>
          <w:lang w:val="uk-UA"/>
        </w:rPr>
      </w:pPr>
      <w:r w:rsidRPr="0018493C">
        <w:rPr>
          <w:color w:val="auto"/>
          <w:sz w:val="20"/>
          <w:lang w:val="uk-UA"/>
        </w:rPr>
        <w:t xml:space="preserve">Заходи з управління ризиком ліквідності включають: </w:t>
      </w:r>
    </w:p>
    <w:p w:rsidR="002F5734" w:rsidRPr="0018493C" w:rsidRDefault="002F5734" w:rsidP="00D57199">
      <w:pPr>
        <w:pStyle w:val="a0"/>
        <w:numPr>
          <w:ilvl w:val="0"/>
          <w:numId w:val="3"/>
        </w:numPr>
        <w:spacing w:before="0" w:after="120" w:line="240" w:lineRule="auto"/>
        <w:ind w:left="567" w:hanging="567"/>
        <w:rPr>
          <w:color w:val="auto"/>
          <w:sz w:val="20"/>
          <w:lang w:val="uk-UA"/>
        </w:rPr>
      </w:pPr>
      <w:r w:rsidRPr="0018493C">
        <w:rPr>
          <w:color w:val="auto"/>
          <w:sz w:val="20"/>
          <w:lang w:val="uk-UA"/>
        </w:rPr>
        <w:t xml:space="preserve">складання фінансового плану діяльності Товариства та проводження діяльності виключно в межах такого плану; </w:t>
      </w:r>
    </w:p>
    <w:p w:rsidR="002F5734" w:rsidRPr="0018493C" w:rsidRDefault="002F5734" w:rsidP="00D57199">
      <w:pPr>
        <w:pStyle w:val="a0"/>
        <w:numPr>
          <w:ilvl w:val="0"/>
          <w:numId w:val="3"/>
        </w:numPr>
        <w:spacing w:before="0" w:after="120" w:line="240" w:lineRule="auto"/>
        <w:ind w:left="567" w:hanging="567"/>
        <w:rPr>
          <w:color w:val="auto"/>
          <w:sz w:val="20"/>
          <w:lang w:val="uk-UA"/>
        </w:rPr>
      </w:pPr>
      <w:r w:rsidRPr="0018493C">
        <w:rPr>
          <w:color w:val="auto"/>
          <w:sz w:val="20"/>
          <w:lang w:val="uk-UA"/>
        </w:rPr>
        <w:t xml:space="preserve">застосування ефективного управління активами і пасивами, спрямованого на забезпечення підтримки відповідного рівня ліквідності у короткостроковому періоді та максимізацію прибутку в середньо- та довгостроковому періоді відповідно до встановлених внутрішніх нормативів і обмежень; </w:t>
      </w:r>
    </w:p>
    <w:p w:rsidR="002F5734" w:rsidRPr="0018493C" w:rsidRDefault="002F5734" w:rsidP="00D57199">
      <w:pPr>
        <w:pStyle w:val="a0"/>
        <w:numPr>
          <w:ilvl w:val="0"/>
          <w:numId w:val="3"/>
        </w:numPr>
        <w:spacing w:before="0" w:after="120" w:line="240" w:lineRule="auto"/>
        <w:ind w:left="567" w:hanging="567"/>
        <w:rPr>
          <w:color w:val="auto"/>
          <w:sz w:val="20"/>
          <w:lang w:val="uk-UA"/>
        </w:rPr>
      </w:pPr>
      <w:r w:rsidRPr="0018493C">
        <w:rPr>
          <w:color w:val="auto"/>
          <w:sz w:val="20"/>
          <w:lang w:val="uk-UA"/>
        </w:rPr>
        <w:t>застосування ефективного механізму управління ліквідністю, який полягає у бюджетуванні, створенні та використанні систем моніторингу та аналізу ліквідності, оцінки стану та прогнозу ліквідності, оцінки та моніторингу активів і зобов'язань, встановленні кількісних та якісних цілей;</w:t>
      </w:r>
    </w:p>
    <w:p w:rsidR="002F5734" w:rsidRPr="0018493C" w:rsidRDefault="002F5734" w:rsidP="00D57199">
      <w:pPr>
        <w:pStyle w:val="a0"/>
        <w:numPr>
          <w:ilvl w:val="0"/>
          <w:numId w:val="3"/>
        </w:numPr>
        <w:spacing w:before="0" w:after="120" w:line="240" w:lineRule="auto"/>
        <w:ind w:left="567" w:hanging="567"/>
        <w:rPr>
          <w:color w:val="auto"/>
          <w:sz w:val="20"/>
          <w:lang w:val="uk-UA"/>
        </w:rPr>
      </w:pPr>
      <w:r w:rsidRPr="0018493C">
        <w:rPr>
          <w:color w:val="auto"/>
          <w:sz w:val="20"/>
          <w:lang w:val="uk-UA"/>
        </w:rPr>
        <w:t xml:space="preserve">установлення внутрішніх обмежень та нормативів ліквідності. </w:t>
      </w:r>
    </w:p>
    <w:p w:rsidR="00816C5D" w:rsidRPr="0018493C" w:rsidRDefault="00816C5D" w:rsidP="0000323F">
      <w:pPr>
        <w:spacing w:before="0" w:after="120" w:line="240" w:lineRule="auto"/>
        <w:ind w:firstLine="0"/>
        <w:jc w:val="left"/>
        <w:rPr>
          <w:color w:val="auto"/>
          <w:sz w:val="20"/>
          <w:lang w:val="uk-UA"/>
        </w:rPr>
      </w:pPr>
    </w:p>
    <w:p w:rsidR="00361440" w:rsidRPr="0018493C" w:rsidRDefault="00361440" w:rsidP="00361440">
      <w:pPr>
        <w:pStyle w:val="2"/>
      </w:pPr>
      <w:bookmarkStart w:id="23" w:name="_Toc511835062"/>
      <w:bookmarkStart w:id="24" w:name="_Toc475614606"/>
      <w:r w:rsidRPr="0018493C">
        <w:t>Основні засоби й нематеріальні активи</w:t>
      </w:r>
      <w:bookmarkEnd w:id="23"/>
    </w:p>
    <w:p w:rsidR="00361440" w:rsidRDefault="00361440" w:rsidP="00361440">
      <w:pPr>
        <w:spacing w:before="0" w:after="120" w:line="240" w:lineRule="auto"/>
        <w:ind w:firstLine="0"/>
        <w:rPr>
          <w:color w:val="auto"/>
          <w:sz w:val="20"/>
          <w:lang w:val="uk-UA"/>
        </w:rPr>
      </w:pPr>
      <w:r w:rsidRPr="0018493C">
        <w:rPr>
          <w:color w:val="auto"/>
          <w:sz w:val="20"/>
          <w:lang w:val="uk-UA"/>
        </w:rPr>
        <w:t>Основні засоби за станом на 31 грудня 201</w:t>
      </w:r>
      <w:r w:rsidR="00CB62FE">
        <w:rPr>
          <w:color w:val="auto"/>
          <w:sz w:val="20"/>
          <w:lang w:val="uk-UA"/>
        </w:rPr>
        <w:t>7</w:t>
      </w:r>
      <w:r w:rsidRPr="0018493C">
        <w:rPr>
          <w:color w:val="auto"/>
          <w:sz w:val="20"/>
          <w:lang w:val="uk-UA"/>
        </w:rPr>
        <w:t xml:space="preserve"> р.  включають:</w:t>
      </w:r>
    </w:p>
    <w:p w:rsidR="00CB62FE" w:rsidRDefault="00CB62FE" w:rsidP="00361440">
      <w:pPr>
        <w:spacing w:before="0" w:after="120" w:line="240" w:lineRule="auto"/>
        <w:ind w:firstLine="0"/>
        <w:rPr>
          <w:color w:val="auto"/>
          <w:sz w:val="20"/>
          <w:lang w:val="uk-UA"/>
        </w:rPr>
      </w:pPr>
    </w:p>
    <w:p w:rsidR="00CB62FE" w:rsidRDefault="00CB62FE" w:rsidP="00361440">
      <w:pPr>
        <w:spacing w:before="0" w:after="120" w:line="240" w:lineRule="auto"/>
        <w:ind w:firstLine="0"/>
        <w:rPr>
          <w:color w:val="auto"/>
          <w:sz w:val="20"/>
          <w:lang w:val="uk-UA"/>
        </w:rPr>
      </w:pPr>
    </w:p>
    <w:tbl>
      <w:tblPr>
        <w:tblW w:w="10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1843"/>
        <w:gridCol w:w="1559"/>
        <w:gridCol w:w="1701"/>
        <w:gridCol w:w="1134"/>
        <w:gridCol w:w="1355"/>
      </w:tblGrid>
      <w:tr w:rsidR="00CB62FE" w:rsidRPr="00811DD0" w:rsidTr="002E68B4">
        <w:trPr>
          <w:cantSplit/>
          <w:trHeight w:val="985"/>
          <w:jc w:val="center"/>
        </w:trPr>
        <w:tc>
          <w:tcPr>
            <w:tcW w:w="2490" w:type="dxa"/>
            <w:shd w:val="clear" w:color="auto" w:fill="auto"/>
            <w:noWrap/>
            <w:vAlign w:val="center"/>
          </w:tcPr>
          <w:p w:rsidR="00CB62FE" w:rsidRPr="00CB62FE" w:rsidRDefault="00CB62FE" w:rsidP="002E68B4">
            <w:pPr>
              <w:jc w:val="center"/>
              <w:rPr>
                <w:color w:val="auto"/>
                <w:sz w:val="20"/>
              </w:rPr>
            </w:pPr>
          </w:p>
        </w:tc>
        <w:tc>
          <w:tcPr>
            <w:tcW w:w="1843" w:type="dxa"/>
            <w:shd w:val="clear" w:color="auto" w:fill="auto"/>
            <w:vAlign w:val="bottom"/>
          </w:tcPr>
          <w:p w:rsidR="00CB62FE" w:rsidRPr="00CB62FE" w:rsidRDefault="00CB62FE" w:rsidP="002E68B4">
            <w:pPr>
              <w:jc w:val="center"/>
              <w:rPr>
                <w:color w:val="auto"/>
                <w:sz w:val="20"/>
              </w:rPr>
            </w:pPr>
            <w:r w:rsidRPr="00CB62FE">
              <w:rPr>
                <w:color w:val="auto"/>
                <w:sz w:val="20"/>
              </w:rPr>
              <w:t>Нематеріальні активи</w:t>
            </w:r>
          </w:p>
        </w:tc>
        <w:tc>
          <w:tcPr>
            <w:tcW w:w="1559" w:type="dxa"/>
            <w:vAlign w:val="bottom"/>
          </w:tcPr>
          <w:p w:rsidR="00CB62FE" w:rsidRPr="00CB62FE" w:rsidRDefault="00CB62FE" w:rsidP="002E68B4">
            <w:pPr>
              <w:jc w:val="center"/>
              <w:rPr>
                <w:color w:val="auto"/>
                <w:sz w:val="20"/>
              </w:rPr>
            </w:pPr>
          </w:p>
          <w:p w:rsidR="00CB62FE" w:rsidRPr="00CB62FE" w:rsidRDefault="00CB62FE" w:rsidP="002E68B4">
            <w:pPr>
              <w:jc w:val="center"/>
              <w:rPr>
                <w:color w:val="auto"/>
                <w:sz w:val="20"/>
              </w:rPr>
            </w:pPr>
            <w:r w:rsidRPr="00CB62FE">
              <w:rPr>
                <w:color w:val="auto"/>
                <w:sz w:val="20"/>
              </w:rPr>
              <w:t>Комп’ютерне обладнання</w:t>
            </w:r>
          </w:p>
        </w:tc>
        <w:tc>
          <w:tcPr>
            <w:tcW w:w="1701" w:type="dxa"/>
            <w:shd w:val="clear" w:color="auto" w:fill="auto"/>
            <w:vAlign w:val="bottom"/>
          </w:tcPr>
          <w:p w:rsidR="00CB62FE" w:rsidRPr="00CB62FE" w:rsidRDefault="00CB62FE" w:rsidP="002E68B4">
            <w:pPr>
              <w:jc w:val="center"/>
              <w:rPr>
                <w:color w:val="auto"/>
                <w:sz w:val="20"/>
              </w:rPr>
            </w:pPr>
            <w:r w:rsidRPr="00CB62FE">
              <w:rPr>
                <w:color w:val="auto"/>
                <w:sz w:val="20"/>
              </w:rPr>
              <w:t>Офі</w:t>
            </w:r>
            <w:proofErr w:type="gramStart"/>
            <w:r w:rsidRPr="00CB62FE">
              <w:rPr>
                <w:color w:val="auto"/>
                <w:sz w:val="20"/>
              </w:rPr>
              <w:t>сне</w:t>
            </w:r>
            <w:proofErr w:type="gramEnd"/>
            <w:r w:rsidRPr="00CB62FE">
              <w:rPr>
                <w:color w:val="auto"/>
                <w:sz w:val="20"/>
              </w:rPr>
              <w:t xml:space="preserve"> обладнання, інвентар</w:t>
            </w:r>
          </w:p>
        </w:tc>
        <w:tc>
          <w:tcPr>
            <w:tcW w:w="1134" w:type="dxa"/>
            <w:vAlign w:val="bottom"/>
          </w:tcPr>
          <w:p w:rsidR="00CB62FE" w:rsidRPr="00CB62FE" w:rsidRDefault="00CB62FE" w:rsidP="002E68B4">
            <w:pPr>
              <w:jc w:val="center"/>
              <w:rPr>
                <w:color w:val="auto"/>
                <w:sz w:val="20"/>
              </w:rPr>
            </w:pPr>
            <w:r w:rsidRPr="00CB62FE">
              <w:rPr>
                <w:color w:val="auto"/>
                <w:sz w:val="20"/>
              </w:rPr>
              <w:t>Меблі</w:t>
            </w:r>
          </w:p>
        </w:tc>
        <w:tc>
          <w:tcPr>
            <w:tcW w:w="1355" w:type="dxa"/>
            <w:vAlign w:val="bottom"/>
          </w:tcPr>
          <w:p w:rsidR="00CB62FE" w:rsidRPr="00CB62FE" w:rsidRDefault="00CB62FE" w:rsidP="002E68B4">
            <w:pPr>
              <w:jc w:val="center"/>
              <w:rPr>
                <w:color w:val="auto"/>
                <w:sz w:val="20"/>
              </w:rPr>
            </w:pPr>
            <w:r w:rsidRPr="00CB62FE">
              <w:rPr>
                <w:color w:val="auto"/>
                <w:sz w:val="20"/>
              </w:rPr>
              <w:t>Разом</w:t>
            </w:r>
          </w:p>
        </w:tc>
      </w:tr>
      <w:tr w:rsidR="00CB62FE" w:rsidRPr="00C76044" w:rsidTr="002E68B4">
        <w:trPr>
          <w:trHeight w:val="255"/>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t>Первісна вартість</w:t>
            </w:r>
          </w:p>
        </w:tc>
        <w:tc>
          <w:tcPr>
            <w:tcW w:w="1843" w:type="dxa"/>
            <w:shd w:val="clear" w:color="auto" w:fill="auto"/>
            <w:noWrap/>
            <w:vAlign w:val="bottom"/>
          </w:tcPr>
          <w:p w:rsidR="00CB62FE" w:rsidRPr="00CB62FE" w:rsidRDefault="00CB62FE" w:rsidP="00CB62FE">
            <w:pPr>
              <w:jc w:val="center"/>
              <w:rPr>
                <w:color w:val="auto"/>
                <w:sz w:val="20"/>
              </w:rPr>
            </w:pPr>
          </w:p>
        </w:tc>
        <w:tc>
          <w:tcPr>
            <w:tcW w:w="1559" w:type="dxa"/>
          </w:tcPr>
          <w:p w:rsidR="00CB62FE" w:rsidRPr="00CB62FE" w:rsidRDefault="00CB62FE" w:rsidP="00CB62FE">
            <w:pPr>
              <w:jc w:val="center"/>
              <w:rPr>
                <w:color w:val="auto"/>
                <w:sz w:val="20"/>
              </w:rPr>
            </w:pPr>
          </w:p>
        </w:tc>
        <w:tc>
          <w:tcPr>
            <w:tcW w:w="1701" w:type="dxa"/>
            <w:shd w:val="clear" w:color="auto" w:fill="auto"/>
            <w:noWrap/>
            <w:vAlign w:val="bottom"/>
          </w:tcPr>
          <w:p w:rsidR="00CB62FE" w:rsidRPr="00CB62FE" w:rsidRDefault="00CB62FE" w:rsidP="00CB62FE">
            <w:pPr>
              <w:jc w:val="center"/>
              <w:rPr>
                <w:color w:val="auto"/>
                <w:sz w:val="20"/>
              </w:rPr>
            </w:pPr>
          </w:p>
        </w:tc>
        <w:tc>
          <w:tcPr>
            <w:tcW w:w="1134" w:type="dxa"/>
          </w:tcPr>
          <w:p w:rsidR="00CB62FE" w:rsidRPr="00CB62FE" w:rsidRDefault="00CB62FE" w:rsidP="00CB62FE">
            <w:pPr>
              <w:jc w:val="center"/>
              <w:rPr>
                <w:color w:val="auto"/>
                <w:sz w:val="20"/>
              </w:rPr>
            </w:pPr>
          </w:p>
        </w:tc>
        <w:tc>
          <w:tcPr>
            <w:tcW w:w="1355" w:type="dxa"/>
          </w:tcPr>
          <w:p w:rsidR="00CB62FE" w:rsidRPr="00CB62FE" w:rsidRDefault="00CB62FE" w:rsidP="00CB62FE">
            <w:pPr>
              <w:jc w:val="center"/>
              <w:rPr>
                <w:color w:val="auto"/>
                <w:sz w:val="20"/>
              </w:rPr>
            </w:pPr>
          </w:p>
        </w:tc>
      </w:tr>
      <w:tr w:rsidR="00CB62FE" w:rsidRPr="00811DD0" w:rsidTr="002E68B4">
        <w:trPr>
          <w:trHeight w:val="546"/>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t>на 01 січня 2017р.</w:t>
            </w:r>
          </w:p>
        </w:tc>
        <w:tc>
          <w:tcPr>
            <w:tcW w:w="1843" w:type="dxa"/>
            <w:shd w:val="clear" w:color="auto" w:fill="auto"/>
            <w:noWrap/>
            <w:vAlign w:val="center"/>
          </w:tcPr>
          <w:p w:rsidR="00CB62FE" w:rsidRPr="00CB62FE" w:rsidRDefault="00CB62FE" w:rsidP="00CB62FE">
            <w:pPr>
              <w:jc w:val="center"/>
              <w:rPr>
                <w:color w:val="auto"/>
                <w:sz w:val="20"/>
              </w:rPr>
            </w:pPr>
            <w:r w:rsidRPr="00CB62FE">
              <w:rPr>
                <w:color w:val="auto"/>
                <w:sz w:val="20"/>
              </w:rPr>
              <w:t>138</w:t>
            </w:r>
          </w:p>
        </w:tc>
        <w:tc>
          <w:tcPr>
            <w:tcW w:w="1559" w:type="dxa"/>
          </w:tcPr>
          <w:p w:rsidR="00CB62FE" w:rsidRPr="00CB62FE" w:rsidRDefault="00CB62FE" w:rsidP="00CB62FE">
            <w:pPr>
              <w:jc w:val="center"/>
              <w:rPr>
                <w:color w:val="auto"/>
                <w:sz w:val="20"/>
              </w:rPr>
            </w:pPr>
            <w:r w:rsidRPr="00CB62FE">
              <w:rPr>
                <w:color w:val="auto"/>
                <w:sz w:val="20"/>
              </w:rPr>
              <w:t>889</w:t>
            </w:r>
          </w:p>
        </w:tc>
        <w:tc>
          <w:tcPr>
            <w:tcW w:w="1701" w:type="dxa"/>
            <w:shd w:val="clear" w:color="auto" w:fill="auto"/>
            <w:noWrap/>
            <w:vAlign w:val="center"/>
          </w:tcPr>
          <w:p w:rsidR="00CB62FE" w:rsidRPr="00CB62FE" w:rsidRDefault="00CB62FE" w:rsidP="00CB62FE">
            <w:pPr>
              <w:jc w:val="center"/>
              <w:rPr>
                <w:color w:val="auto"/>
                <w:sz w:val="20"/>
              </w:rPr>
            </w:pPr>
            <w:r w:rsidRPr="00CB62FE">
              <w:rPr>
                <w:color w:val="auto"/>
                <w:sz w:val="20"/>
              </w:rPr>
              <w:t>134</w:t>
            </w:r>
          </w:p>
        </w:tc>
        <w:tc>
          <w:tcPr>
            <w:tcW w:w="1134" w:type="dxa"/>
          </w:tcPr>
          <w:p w:rsidR="00CB62FE" w:rsidRPr="00CB62FE" w:rsidRDefault="00CB62FE" w:rsidP="00CB62FE">
            <w:pPr>
              <w:jc w:val="center"/>
              <w:rPr>
                <w:color w:val="auto"/>
                <w:sz w:val="20"/>
              </w:rPr>
            </w:pPr>
            <w:r w:rsidRPr="00CB62FE">
              <w:rPr>
                <w:color w:val="auto"/>
                <w:sz w:val="20"/>
              </w:rPr>
              <w:t>43</w:t>
            </w:r>
          </w:p>
        </w:tc>
        <w:tc>
          <w:tcPr>
            <w:tcW w:w="1355" w:type="dxa"/>
            <w:vAlign w:val="center"/>
          </w:tcPr>
          <w:p w:rsidR="00CB62FE" w:rsidRPr="00CB62FE" w:rsidRDefault="00CB62FE" w:rsidP="00CB62FE">
            <w:pPr>
              <w:jc w:val="center"/>
              <w:rPr>
                <w:color w:val="auto"/>
                <w:sz w:val="20"/>
              </w:rPr>
            </w:pPr>
            <w:r w:rsidRPr="00CB62FE">
              <w:rPr>
                <w:color w:val="auto"/>
                <w:sz w:val="20"/>
              </w:rPr>
              <w:t>1066</w:t>
            </w:r>
          </w:p>
        </w:tc>
      </w:tr>
      <w:tr w:rsidR="00CB62FE" w:rsidRPr="00811DD0" w:rsidTr="002E68B4">
        <w:trPr>
          <w:trHeight w:val="153"/>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lastRenderedPageBreak/>
              <w:t>на 31 грудня 2017р.</w:t>
            </w:r>
          </w:p>
        </w:tc>
        <w:tc>
          <w:tcPr>
            <w:tcW w:w="1843" w:type="dxa"/>
            <w:shd w:val="clear" w:color="auto" w:fill="auto"/>
            <w:noWrap/>
            <w:vAlign w:val="center"/>
          </w:tcPr>
          <w:p w:rsidR="00CB62FE" w:rsidRPr="00CB62FE" w:rsidRDefault="00CB62FE" w:rsidP="00CB62FE">
            <w:pPr>
              <w:jc w:val="center"/>
              <w:rPr>
                <w:color w:val="auto"/>
                <w:sz w:val="20"/>
              </w:rPr>
            </w:pPr>
            <w:r w:rsidRPr="00CB62FE">
              <w:rPr>
                <w:color w:val="auto"/>
                <w:sz w:val="20"/>
              </w:rPr>
              <w:t>140</w:t>
            </w:r>
          </w:p>
        </w:tc>
        <w:tc>
          <w:tcPr>
            <w:tcW w:w="1559" w:type="dxa"/>
          </w:tcPr>
          <w:p w:rsidR="00CB62FE" w:rsidRPr="00CB62FE" w:rsidRDefault="00CB62FE" w:rsidP="00CB62FE">
            <w:pPr>
              <w:jc w:val="center"/>
              <w:rPr>
                <w:color w:val="auto"/>
                <w:sz w:val="20"/>
              </w:rPr>
            </w:pPr>
            <w:r w:rsidRPr="00CB62FE">
              <w:rPr>
                <w:color w:val="auto"/>
                <w:sz w:val="20"/>
              </w:rPr>
              <w:t>915</w:t>
            </w:r>
          </w:p>
        </w:tc>
        <w:tc>
          <w:tcPr>
            <w:tcW w:w="1701" w:type="dxa"/>
            <w:shd w:val="clear" w:color="auto" w:fill="auto"/>
            <w:noWrap/>
            <w:vAlign w:val="center"/>
          </w:tcPr>
          <w:p w:rsidR="00CB62FE" w:rsidRPr="00CB62FE" w:rsidRDefault="00CB62FE" w:rsidP="00CB62FE">
            <w:pPr>
              <w:jc w:val="center"/>
              <w:rPr>
                <w:color w:val="auto"/>
                <w:sz w:val="20"/>
              </w:rPr>
            </w:pPr>
            <w:r w:rsidRPr="00CB62FE">
              <w:rPr>
                <w:color w:val="auto"/>
                <w:sz w:val="20"/>
              </w:rPr>
              <w:t>133</w:t>
            </w:r>
          </w:p>
        </w:tc>
        <w:tc>
          <w:tcPr>
            <w:tcW w:w="1134" w:type="dxa"/>
          </w:tcPr>
          <w:p w:rsidR="00CB62FE" w:rsidRPr="00CB62FE" w:rsidRDefault="00CB62FE" w:rsidP="00CB62FE">
            <w:pPr>
              <w:jc w:val="center"/>
              <w:rPr>
                <w:color w:val="auto"/>
                <w:sz w:val="20"/>
              </w:rPr>
            </w:pPr>
            <w:r w:rsidRPr="00CB62FE">
              <w:rPr>
                <w:color w:val="auto"/>
                <w:sz w:val="20"/>
              </w:rPr>
              <w:t>43</w:t>
            </w:r>
          </w:p>
        </w:tc>
        <w:tc>
          <w:tcPr>
            <w:tcW w:w="1355" w:type="dxa"/>
            <w:vAlign w:val="center"/>
          </w:tcPr>
          <w:p w:rsidR="00CB62FE" w:rsidRPr="00CB62FE" w:rsidRDefault="00CB62FE" w:rsidP="00CB62FE">
            <w:pPr>
              <w:jc w:val="center"/>
              <w:rPr>
                <w:color w:val="auto"/>
                <w:sz w:val="20"/>
              </w:rPr>
            </w:pPr>
            <w:r w:rsidRPr="00CB62FE">
              <w:rPr>
                <w:color w:val="auto"/>
                <w:sz w:val="20"/>
              </w:rPr>
              <w:t>1091</w:t>
            </w:r>
          </w:p>
        </w:tc>
      </w:tr>
      <w:tr w:rsidR="00CB62FE" w:rsidRPr="00811DD0" w:rsidTr="002E68B4">
        <w:trPr>
          <w:trHeight w:val="255"/>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t>Амортизація</w:t>
            </w:r>
          </w:p>
        </w:tc>
        <w:tc>
          <w:tcPr>
            <w:tcW w:w="1843" w:type="dxa"/>
            <w:shd w:val="clear" w:color="auto" w:fill="auto"/>
            <w:noWrap/>
            <w:vAlign w:val="center"/>
          </w:tcPr>
          <w:p w:rsidR="00CB62FE" w:rsidRPr="00CB62FE" w:rsidRDefault="00CB62FE" w:rsidP="00CB62FE">
            <w:pPr>
              <w:jc w:val="center"/>
              <w:rPr>
                <w:color w:val="auto"/>
                <w:sz w:val="20"/>
              </w:rPr>
            </w:pPr>
          </w:p>
        </w:tc>
        <w:tc>
          <w:tcPr>
            <w:tcW w:w="1559" w:type="dxa"/>
          </w:tcPr>
          <w:p w:rsidR="00CB62FE" w:rsidRPr="00CB62FE" w:rsidRDefault="00CB62FE" w:rsidP="00CB62FE">
            <w:pPr>
              <w:jc w:val="center"/>
              <w:rPr>
                <w:color w:val="auto"/>
                <w:sz w:val="20"/>
              </w:rPr>
            </w:pPr>
          </w:p>
        </w:tc>
        <w:tc>
          <w:tcPr>
            <w:tcW w:w="1701" w:type="dxa"/>
            <w:shd w:val="clear" w:color="auto" w:fill="auto"/>
            <w:noWrap/>
            <w:vAlign w:val="center"/>
          </w:tcPr>
          <w:p w:rsidR="00CB62FE" w:rsidRPr="00CB62FE" w:rsidRDefault="00CB62FE" w:rsidP="00CB62FE">
            <w:pPr>
              <w:jc w:val="center"/>
              <w:rPr>
                <w:color w:val="auto"/>
                <w:sz w:val="20"/>
              </w:rPr>
            </w:pPr>
          </w:p>
        </w:tc>
        <w:tc>
          <w:tcPr>
            <w:tcW w:w="1134" w:type="dxa"/>
          </w:tcPr>
          <w:p w:rsidR="00CB62FE" w:rsidRPr="00CB62FE" w:rsidRDefault="00CB62FE" w:rsidP="00CB62FE">
            <w:pPr>
              <w:jc w:val="center"/>
              <w:rPr>
                <w:color w:val="auto"/>
                <w:sz w:val="20"/>
              </w:rPr>
            </w:pPr>
          </w:p>
        </w:tc>
        <w:tc>
          <w:tcPr>
            <w:tcW w:w="1355" w:type="dxa"/>
            <w:vAlign w:val="center"/>
          </w:tcPr>
          <w:p w:rsidR="00CB62FE" w:rsidRPr="00CB62FE" w:rsidRDefault="00CB62FE" w:rsidP="00CB62FE">
            <w:pPr>
              <w:jc w:val="center"/>
              <w:rPr>
                <w:color w:val="auto"/>
                <w:sz w:val="20"/>
              </w:rPr>
            </w:pPr>
          </w:p>
        </w:tc>
      </w:tr>
      <w:tr w:rsidR="00CB62FE" w:rsidRPr="00811DD0" w:rsidTr="002E68B4">
        <w:trPr>
          <w:trHeight w:val="255"/>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t>на 01 січня 2017р.</w:t>
            </w:r>
          </w:p>
        </w:tc>
        <w:tc>
          <w:tcPr>
            <w:tcW w:w="1843" w:type="dxa"/>
            <w:shd w:val="clear" w:color="auto" w:fill="auto"/>
            <w:vAlign w:val="center"/>
          </w:tcPr>
          <w:p w:rsidR="00CB62FE" w:rsidRPr="00CB62FE" w:rsidRDefault="00CB62FE" w:rsidP="00CB62FE">
            <w:pPr>
              <w:jc w:val="center"/>
              <w:rPr>
                <w:color w:val="auto"/>
                <w:sz w:val="20"/>
              </w:rPr>
            </w:pPr>
            <w:r w:rsidRPr="00CB62FE">
              <w:rPr>
                <w:color w:val="auto"/>
                <w:sz w:val="20"/>
              </w:rPr>
              <w:t>0</w:t>
            </w:r>
          </w:p>
        </w:tc>
        <w:tc>
          <w:tcPr>
            <w:tcW w:w="1559" w:type="dxa"/>
          </w:tcPr>
          <w:p w:rsidR="00CB62FE" w:rsidRPr="00CB62FE" w:rsidRDefault="00CB62FE" w:rsidP="00CB62FE">
            <w:pPr>
              <w:jc w:val="center"/>
              <w:rPr>
                <w:color w:val="auto"/>
                <w:sz w:val="20"/>
              </w:rPr>
            </w:pPr>
            <w:r w:rsidRPr="00CB62FE">
              <w:rPr>
                <w:color w:val="auto"/>
                <w:sz w:val="20"/>
              </w:rPr>
              <w:t>590</w:t>
            </w:r>
          </w:p>
        </w:tc>
        <w:tc>
          <w:tcPr>
            <w:tcW w:w="1701" w:type="dxa"/>
            <w:shd w:val="clear" w:color="auto" w:fill="auto"/>
            <w:vAlign w:val="center"/>
          </w:tcPr>
          <w:p w:rsidR="00CB62FE" w:rsidRPr="00CB62FE" w:rsidRDefault="00CB62FE" w:rsidP="00CB62FE">
            <w:pPr>
              <w:jc w:val="center"/>
              <w:rPr>
                <w:color w:val="auto"/>
                <w:sz w:val="20"/>
              </w:rPr>
            </w:pPr>
            <w:r w:rsidRPr="00CB62FE">
              <w:rPr>
                <w:color w:val="auto"/>
                <w:sz w:val="20"/>
              </w:rPr>
              <w:t>93</w:t>
            </w:r>
          </w:p>
        </w:tc>
        <w:tc>
          <w:tcPr>
            <w:tcW w:w="1134" w:type="dxa"/>
          </w:tcPr>
          <w:p w:rsidR="00CB62FE" w:rsidRPr="00CB62FE" w:rsidRDefault="00CB62FE" w:rsidP="00CB62FE">
            <w:pPr>
              <w:jc w:val="center"/>
              <w:rPr>
                <w:color w:val="auto"/>
                <w:sz w:val="20"/>
              </w:rPr>
            </w:pPr>
            <w:r w:rsidRPr="00CB62FE">
              <w:rPr>
                <w:color w:val="auto"/>
                <w:sz w:val="20"/>
              </w:rPr>
              <w:t>39</w:t>
            </w:r>
          </w:p>
        </w:tc>
        <w:tc>
          <w:tcPr>
            <w:tcW w:w="1355" w:type="dxa"/>
            <w:vAlign w:val="center"/>
          </w:tcPr>
          <w:p w:rsidR="00CB62FE" w:rsidRPr="00CB62FE" w:rsidRDefault="00CB62FE" w:rsidP="00CB62FE">
            <w:pPr>
              <w:jc w:val="center"/>
              <w:rPr>
                <w:color w:val="auto"/>
                <w:sz w:val="20"/>
              </w:rPr>
            </w:pPr>
            <w:r w:rsidRPr="00CB62FE">
              <w:rPr>
                <w:color w:val="auto"/>
                <w:sz w:val="20"/>
              </w:rPr>
              <w:t>722</w:t>
            </w:r>
          </w:p>
        </w:tc>
      </w:tr>
      <w:tr w:rsidR="00CB62FE" w:rsidRPr="00811DD0" w:rsidTr="002E68B4">
        <w:trPr>
          <w:trHeight w:val="255"/>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t>на 31 грудня 2017 р.</w:t>
            </w:r>
          </w:p>
        </w:tc>
        <w:tc>
          <w:tcPr>
            <w:tcW w:w="1843" w:type="dxa"/>
            <w:shd w:val="clear" w:color="auto" w:fill="auto"/>
            <w:vAlign w:val="center"/>
          </w:tcPr>
          <w:p w:rsidR="00CB62FE" w:rsidRPr="00CB62FE" w:rsidRDefault="00CB62FE" w:rsidP="00CB62FE">
            <w:pPr>
              <w:jc w:val="center"/>
              <w:rPr>
                <w:color w:val="auto"/>
                <w:sz w:val="20"/>
              </w:rPr>
            </w:pPr>
            <w:r w:rsidRPr="00CB62FE">
              <w:rPr>
                <w:color w:val="auto"/>
                <w:sz w:val="20"/>
              </w:rPr>
              <w:t>0</w:t>
            </w:r>
          </w:p>
        </w:tc>
        <w:tc>
          <w:tcPr>
            <w:tcW w:w="1559" w:type="dxa"/>
          </w:tcPr>
          <w:p w:rsidR="00CB62FE" w:rsidRPr="00CB62FE" w:rsidRDefault="00CB62FE" w:rsidP="00CB62FE">
            <w:pPr>
              <w:jc w:val="center"/>
              <w:rPr>
                <w:color w:val="auto"/>
                <w:sz w:val="20"/>
              </w:rPr>
            </w:pPr>
            <w:r w:rsidRPr="00CB62FE">
              <w:rPr>
                <w:color w:val="auto"/>
                <w:sz w:val="20"/>
              </w:rPr>
              <w:t>717</w:t>
            </w:r>
          </w:p>
        </w:tc>
        <w:tc>
          <w:tcPr>
            <w:tcW w:w="1701" w:type="dxa"/>
            <w:shd w:val="clear" w:color="auto" w:fill="auto"/>
            <w:vAlign w:val="center"/>
          </w:tcPr>
          <w:p w:rsidR="00CB62FE" w:rsidRPr="00CB62FE" w:rsidRDefault="00CB62FE" w:rsidP="00CB62FE">
            <w:pPr>
              <w:jc w:val="center"/>
              <w:rPr>
                <w:color w:val="auto"/>
                <w:sz w:val="20"/>
              </w:rPr>
            </w:pPr>
            <w:r w:rsidRPr="00CB62FE">
              <w:rPr>
                <w:color w:val="auto"/>
                <w:sz w:val="20"/>
              </w:rPr>
              <w:t>100</w:t>
            </w:r>
          </w:p>
        </w:tc>
        <w:tc>
          <w:tcPr>
            <w:tcW w:w="1134" w:type="dxa"/>
          </w:tcPr>
          <w:p w:rsidR="00CB62FE" w:rsidRPr="00CB62FE" w:rsidRDefault="00CB62FE" w:rsidP="00CB62FE">
            <w:pPr>
              <w:jc w:val="center"/>
              <w:rPr>
                <w:color w:val="auto"/>
                <w:sz w:val="20"/>
              </w:rPr>
            </w:pPr>
            <w:r w:rsidRPr="00CB62FE">
              <w:rPr>
                <w:color w:val="auto"/>
                <w:sz w:val="20"/>
              </w:rPr>
              <w:t>43</w:t>
            </w:r>
          </w:p>
        </w:tc>
        <w:tc>
          <w:tcPr>
            <w:tcW w:w="1355" w:type="dxa"/>
            <w:vAlign w:val="center"/>
          </w:tcPr>
          <w:p w:rsidR="00CB62FE" w:rsidRPr="00CB62FE" w:rsidRDefault="00CB62FE" w:rsidP="00CB62FE">
            <w:pPr>
              <w:jc w:val="center"/>
              <w:rPr>
                <w:color w:val="auto"/>
                <w:sz w:val="20"/>
              </w:rPr>
            </w:pPr>
            <w:r w:rsidRPr="00CB62FE">
              <w:rPr>
                <w:color w:val="auto"/>
                <w:sz w:val="20"/>
              </w:rPr>
              <w:t>860</w:t>
            </w:r>
          </w:p>
        </w:tc>
      </w:tr>
      <w:tr w:rsidR="00CB62FE" w:rsidRPr="00811DD0" w:rsidTr="002E68B4">
        <w:trPr>
          <w:trHeight w:val="255"/>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t>Чиста вартість</w:t>
            </w:r>
          </w:p>
        </w:tc>
        <w:tc>
          <w:tcPr>
            <w:tcW w:w="1843" w:type="dxa"/>
            <w:shd w:val="clear" w:color="auto" w:fill="auto"/>
            <w:noWrap/>
            <w:vAlign w:val="center"/>
          </w:tcPr>
          <w:p w:rsidR="00CB62FE" w:rsidRPr="00CB62FE" w:rsidRDefault="00CB62FE" w:rsidP="00CB62FE">
            <w:pPr>
              <w:jc w:val="center"/>
              <w:rPr>
                <w:color w:val="auto"/>
                <w:sz w:val="20"/>
              </w:rPr>
            </w:pPr>
          </w:p>
        </w:tc>
        <w:tc>
          <w:tcPr>
            <w:tcW w:w="1559" w:type="dxa"/>
          </w:tcPr>
          <w:p w:rsidR="00CB62FE" w:rsidRPr="00CB62FE" w:rsidRDefault="00CB62FE" w:rsidP="00CB62FE">
            <w:pPr>
              <w:jc w:val="center"/>
              <w:rPr>
                <w:color w:val="auto"/>
                <w:sz w:val="20"/>
              </w:rPr>
            </w:pPr>
          </w:p>
        </w:tc>
        <w:tc>
          <w:tcPr>
            <w:tcW w:w="1701" w:type="dxa"/>
            <w:shd w:val="clear" w:color="auto" w:fill="auto"/>
            <w:noWrap/>
            <w:vAlign w:val="center"/>
          </w:tcPr>
          <w:p w:rsidR="00CB62FE" w:rsidRPr="00CB62FE" w:rsidRDefault="00CB62FE" w:rsidP="00CB62FE">
            <w:pPr>
              <w:jc w:val="center"/>
              <w:rPr>
                <w:color w:val="auto"/>
                <w:sz w:val="20"/>
              </w:rPr>
            </w:pPr>
          </w:p>
        </w:tc>
        <w:tc>
          <w:tcPr>
            <w:tcW w:w="1134" w:type="dxa"/>
          </w:tcPr>
          <w:p w:rsidR="00CB62FE" w:rsidRPr="00CB62FE" w:rsidRDefault="00CB62FE" w:rsidP="00CB62FE">
            <w:pPr>
              <w:jc w:val="center"/>
              <w:rPr>
                <w:color w:val="auto"/>
                <w:sz w:val="20"/>
              </w:rPr>
            </w:pPr>
          </w:p>
        </w:tc>
        <w:tc>
          <w:tcPr>
            <w:tcW w:w="1355" w:type="dxa"/>
            <w:vAlign w:val="center"/>
          </w:tcPr>
          <w:p w:rsidR="00CB62FE" w:rsidRPr="00CB62FE" w:rsidRDefault="00CB62FE" w:rsidP="00CB62FE">
            <w:pPr>
              <w:jc w:val="center"/>
              <w:rPr>
                <w:color w:val="auto"/>
                <w:sz w:val="20"/>
              </w:rPr>
            </w:pPr>
          </w:p>
        </w:tc>
      </w:tr>
      <w:tr w:rsidR="00CB62FE" w:rsidRPr="00811DD0" w:rsidTr="002E68B4">
        <w:trPr>
          <w:trHeight w:val="255"/>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t>на 01 січня 2017р</w:t>
            </w:r>
          </w:p>
        </w:tc>
        <w:tc>
          <w:tcPr>
            <w:tcW w:w="1843" w:type="dxa"/>
            <w:shd w:val="clear" w:color="auto" w:fill="auto"/>
            <w:noWrap/>
            <w:vAlign w:val="center"/>
          </w:tcPr>
          <w:p w:rsidR="00CB62FE" w:rsidRPr="00CB62FE" w:rsidRDefault="00CB62FE" w:rsidP="00CB62FE">
            <w:pPr>
              <w:jc w:val="center"/>
              <w:rPr>
                <w:color w:val="auto"/>
                <w:sz w:val="20"/>
              </w:rPr>
            </w:pPr>
            <w:r w:rsidRPr="00CB62FE">
              <w:rPr>
                <w:color w:val="auto"/>
                <w:sz w:val="20"/>
              </w:rPr>
              <w:t>138</w:t>
            </w:r>
          </w:p>
        </w:tc>
        <w:tc>
          <w:tcPr>
            <w:tcW w:w="1559" w:type="dxa"/>
          </w:tcPr>
          <w:p w:rsidR="00CB62FE" w:rsidRPr="00CB62FE" w:rsidRDefault="00CB62FE" w:rsidP="00CB62FE">
            <w:pPr>
              <w:jc w:val="center"/>
              <w:rPr>
                <w:color w:val="auto"/>
                <w:sz w:val="20"/>
              </w:rPr>
            </w:pPr>
            <w:r w:rsidRPr="00CB62FE">
              <w:rPr>
                <w:color w:val="auto"/>
                <w:sz w:val="20"/>
              </w:rPr>
              <w:t>299</w:t>
            </w:r>
          </w:p>
        </w:tc>
        <w:tc>
          <w:tcPr>
            <w:tcW w:w="1701" w:type="dxa"/>
            <w:shd w:val="clear" w:color="auto" w:fill="auto"/>
            <w:noWrap/>
            <w:vAlign w:val="center"/>
          </w:tcPr>
          <w:p w:rsidR="00CB62FE" w:rsidRPr="00CB62FE" w:rsidRDefault="00CB62FE" w:rsidP="00CB62FE">
            <w:pPr>
              <w:jc w:val="center"/>
              <w:rPr>
                <w:color w:val="auto"/>
                <w:sz w:val="20"/>
              </w:rPr>
            </w:pPr>
            <w:r w:rsidRPr="00CB62FE">
              <w:rPr>
                <w:color w:val="auto"/>
                <w:sz w:val="20"/>
              </w:rPr>
              <w:t>41</w:t>
            </w:r>
          </w:p>
        </w:tc>
        <w:tc>
          <w:tcPr>
            <w:tcW w:w="1134" w:type="dxa"/>
          </w:tcPr>
          <w:p w:rsidR="00CB62FE" w:rsidRPr="00CB62FE" w:rsidRDefault="00CB62FE" w:rsidP="00CB62FE">
            <w:pPr>
              <w:jc w:val="center"/>
              <w:rPr>
                <w:color w:val="auto"/>
                <w:sz w:val="20"/>
              </w:rPr>
            </w:pPr>
            <w:r w:rsidRPr="00CB62FE">
              <w:rPr>
                <w:color w:val="auto"/>
                <w:sz w:val="20"/>
              </w:rPr>
              <w:t>4</w:t>
            </w:r>
          </w:p>
        </w:tc>
        <w:tc>
          <w:tcPr>
            <w:tcW w:w="1355" w:type="dxa"/>
            <w:vAlign w:val="center"/>
          </w:tcPr>
          <w:p w:rsidR="00CB62FE" w:rsidRPr="00CB62FE" w:rsidRDefault="00CB62FE" w:rsidP="00CB62FE">
            <w:pPr>
              <w:jc w:val="center"/>
              <w:rPr>
                <w:color w:val="auto"/>
                <w:sz w:val="20"/>
              </w:rPr>
            </w:pPr>
            <w:r w:rsidRPr="00CB62FE">
              <w:rPr>
                <w:color w:val="auto"/>
                <w:sz w:val="20"/>
              </w:rPr>
              <w:t>344</w:t>
            </w:r>
          </w:p>
        </w:tc>
      </w:tr>
      <w:tr w:rsidR="00CB62FE" w:rsidRPr="00C76044" w:rsidTr="002E68B4">
        <w:trPr>
          <w:trHeight w:val="255"/>
          <w:jc w:val="center"/>
        </w:trPr>
        <w:tc>
          <w:tcPr>
            <w:tcW w:w="2490" w:type="dxa"/>
            <w:shd w:val="clear" w:color="auto" w:fill="auto"/>
            <w:vAlign w:val="center"/>
          </w:tcPr>
          <w:p w:rsidR="00CB62FE" w:rsidRPr="00CB62FE" w:rsidRDefault="00CB62FE" w:rsidP="00CB62FE">
            <w:pPr>
              <w:ind w:firstLine="0"/>
              <w:rPr>
                <w:color w:val="auto"/>
                <w:sz w:val="20"/>
              </w:rPr>
            </w:pPr>
            <w:r w:rsidRPr="00CB62FE">
              <w:rPr>
                <w:color w:val="auto"/>
                <w:sz w:val="20"/>
              </w:rPr>
              <w:t>на 31 грудня 2017р.</w:t>
            </w:r>
          </w:p>
        </w:tc>
        <w:tc>
          <w:tcPr>
            <w:tcW w:w="1843" w:type="dxa"/>
            <w:shd w:val="clear" w:color="auto" w:fill="auto"/>
            <w:noWrap/>
            <w:vAlign w:val="center"/>
          </w:tcPr>
          <w:p w:rsidR="00CB62FE" w:rsidRPr="00CB62FE" w:rsidRDefault="00CB62FE" w:rsidP="00CB62FE">
            <w:pPr>
              <w:jc w:val="center"/>
              <w:rPr>
                <w:color w:val="auto"/>
                <w:sz w:val="20"/>
              </w:rPr>
            </w:pPr>
            <w:r w:rsidRPr="00CB62FE">
              <w:rPr>
                <w:color w:val="auto"/>
                <w:sz w:val="20"/>
              </w:rPr>
              <w:t>140</w:t>
            </w:r>
          </w:p>
        </w:tc>
        <w:tc>
          <w:tcPr>
            <w:tcW w:w="1559" w:type="dxa"/>
          </w:tcPr>
          <w:p w:rsidR="00CB62FE" w:rsidRPr="00CB62FE" w:rsidRDefault="00CB62FE" w:rsidP="00CB62FE">
            <w:pPr>
              <w:jc w:val="center"/>
              <w:rPr>
                <w:color w:val="auto"/>
                <w:sz w:val="20"/>
              </w:rPr>
            </w:pPr>
            <w:r w:rsidRPr="00CB62FE">
              <w:rPr>
                <w:color w:val="auto"/>
                <w:sz w:val="20"/>
              </w:rPr>
              <w:t>198</w:t>
            </w:r>
          </w:p>
        </w:tc>
        <w:tc>
          <w:tcPr>
            <w:tcW w:w="1701" w:type="dxa"/>
            <w:shd w:val="clear" w:color="auto" w:fill="auto"/>
            <w:noWrap/>
            <w:vAlign w:val="center"/>
          </w:tcPr>
          <w:p w:rsidR="00CB62FE" w:rsidRPr="00CB62FE" w:rsidRDefault="00CB62FE" w:rsidP="00CB62FE">
            <w:pPr>
              <w:jc w:val="center"/>
              <w:rPr>
                <w:color w:val="auto"/>
                <w:sz w:val="20"/>
              </w:rPr>
            </w:pPr>
            <w:r w:rsidRPr="00CB62FE">
              <w:rPr>
                <w:color w:val="auto"/>
                <w:sz w:val="20"/>
              </w:rPr>
              <w:t>33</w:t>
            </w:r>
          </w:p>
        </w:tc>
        <w:tc>
          <w:tcPr>
            <w:tcW w:w="1134" w:type="dxa"/>
          </w:tcPr>
          <w:p w:rsidR="00CB62FE" w:rsidRPr="00CB62FE" w:rsidRDefault="00CB62FE" w:rsidP="00CB62FE">
            <w:pPr>
              <w:jc w:val="center"/>
              <w:rPr>
                <w:color w:val="auto"/>
                <w:sz w:val="20"/>
              </w:rPr>
            </w:pPr>
            <w:r w:rsidRPr="00CB62FE">
              <w:rPr>
                <w:color w:val="auto"/>
                <w:sz w:val="20"/>
              </w:rPr>
              <w:t>0</w:t>
            </w:r>
          </w:p>
        </w:tc>
        <w:tc>
          <w:tcPr>
            <w:tcW w:w="1355" w:type="dxa"/>
            <w:vAlign w:val="center"/>
          </w:tcPr>
          <w:p w:rsidR="00CB62FE" w:rsidRPr="00CB62FE" w:rsidRDefault="00CB62FE" w:rsidP="00CB62FE">
            <w:pPr>
              <w:jc w:val="center"/>
              <w:rPr>
                <w:color w:val="auto"/>
                <w:sz w:val="20"/>
              </w:rPr>
            </w:pPr>
            <w:r w:rsidRPr="00CB62FE">
              <w:rPr>
                <w:color w:val="auto"/>
                <w:sz w:val="20"/>
              </w:rPr>
              <w:t>231</w:t>
            </w:r>
          </w:p>
        </w:tc>
      </w:tr>
    </w:tbl>
    <w:p w:rsidR="00CB62FE" w:rsidRDefault="00CB62FE" w:rsidP="00AE5051">
      <w:pPr>
        <w:spacing w:before="0" w:after="120" w:line="240" w:lineRule="auto"/>
        <w:ind w:firstLine="0"/>
        <w:rPr>
          <w:color w:val="auto"/>
          <w:sz w:val="20"/>
          <w:lang w:val="uk-UA"/>
        </w:rPr>
      </w:pPr>
    </w:p>
    <w:p w:rsidR="00CB62FE" w:rsidRDefault="00361440" w:rsidP="00AE5051">
      <w:pPr>
        <w:spacing w:before="0" w:after="120" w:line="240" w:lineRule="auto"/>
        <w:ind w:firstLine="0"/>
        <w:rPr>
          <w:color w:val="auto"/>
          <w:sz w:val="20"/>
          <w:lang w:val="uk-UA"/>
        </w:rPr>
      </w:pPr>
      <w:r w:rsidRPr="0018493C">
        <w:rPr>
          <w:color w:val="auto"/>
          <w:sz w:val="20"/>
          <w:lang w:val="uk-UA"/>
        </w:rPr>
        <w:t>Станом на 31.12.201</w:t>
      </w:r>
      <w:r w:rsidR="00CB62FE">
        <w:rPr>
          <w:color w:val="auto"/>
          <w:sz w:val="20"/>
          <w:lang w:val="uk-UA"/>
        </w:rPr>
        <w:t>6</w:t>
      </w:r>
      <w:r w:rsidRPr="0018493C">
        <w:rPr>
          <w:color w:val="auto"/>
          <w:sz w:val="20"/>
          <w:lang w:val="uk-UA"/>
        </w:rPr>
        <w:t xml:space="preserve"> року основні засоби</w:t>
      </w:r>
      <w:r w:rsidR="00CB62FE">
        <w:rPr>
          <w:color w:val="auto"/>
          <w:sz w:val="20"/>
          <w:lang w:val="uk-UA"/>
        </w:rPr>
        <w:t>:</w:t>
      </w:r>
    </w:p>
    <w:tbl>
      <w:tblPr>
        <w:tblW w:w="10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1843"/>
        <w:gridCol w:w="1559"/>
        <w:gridCol w:w="1701"/>
        <w:gridCol w:w="1134"/>
        <w:gridCol w:w="1355"/>
      </w:tblGrid>
      <w:tr w:rsidR="00CB62FE" w:rsidRPr="0018493C" w:rsidTr="002E68B4">
        <w:trPr>
          <w:cantSplit/>
          <w:trHeight w:val="985"/>
          <w:jc w:val="center"/>
        </w:trPr>
        <w:tc>
          <w:tcPr>
            <w:tcW w:w="2490" w:type="dxa"/>
            <w:shd w:val="clear" w:color="auto" w:fill="auto"/>
            <w:noWrap/>
            <w:vAlign w:val="center"/>
          </w:tcPr>
          <w:p w:rsidR="00CB62FE" w:rsidRPr="0018493C" w:rsidRDefault="00CB62FE" w:rsidP="002E68B4">
            <w:pPr>
              <w:jc w:val="center"/>
              <w:rPr>
                <w:color w:val="auto"/>
                <w:sz w:val="20"/>
              </w:rPr>
            </w:pPr>
          </w:p>
        </w:tc>
        <w:tc>
          <w:tcPr>
            <w:tcW w:w="1843" w:type="dxa"/>
            <w:shd w:val="clear" w:color="auto" w:fill="auto"/>
            <w:vAlign w:val="bottom"/>
          </w:tcPr>
          <w:p w:rsidR="00CB62FE" w:rsidRPr="0018493C" w:rsidRDefault="00CB62FE" w:rsidP="002E68B4">
            <w:pPr>
              <w:ind w:firstLine="0"/>
              <w:rPr>
                <w:b/>
                <w:bCs/>
                <w:color w:val="auto"/>
                <w:sz w:val="20"/>
              </w:rPr>
            </w:pPr>
            <w:r w:rsidRPr="0018493C">
              <w:rPr>
                <w:b/>
                <w:bCs/>
                <w:color w:val="auto"/>
                <w:sz w:val="20"/>
              </w:rPr>
              <w:t>Нематеріальні активи</w:t>
            </w:r>
          </w:p>
        </w:tc>
        <w:tc>
          <w:tcPr>
            <w:tcW w:w="1559" w:type="dxa"/>
            <w:vAlign w:val="bottom"/>
          </w:tcPr>
          <w:p w:rsidR="00CB62FE" w:rsidRPr="0018493C" w:rsidRDefault="00CB62FE" w:rsidP="002E68B4">
            <w:pPr>
              <w:jc w:val="center"/>
              <w:rPr>
                <w:b/>
                <w:bCs/>
                <w:color w:val="auto"/>
                <w:sz w:val="20"/>
              </w:rPr>
            </w:pPr>
          </w:p>
          <w:p w:rsidR="00CB62FE" w:rsidRPr="0018493C" w:rsidRDefault="00CB62FE" w:rsidP="002E68B4">
            <w:pPr>
              <w:ind w:firstLine="0"/>
              <w:rPr>
                <w:b/>
                <w:bCs/>
                <w:color w:val="auto"/>
                <w:sz w:val="20"/>
              </w:rPr>
            </w:pPr>
            <w:r w:rsidRPr="0018493C">
              <w:rPr>
                <w:b/>
                <w:bCs/>
                <w:color w:val="auto"/>
                <w:sz w:val="20"/>
              </w:rPr>
              <w:t>Комп’ютерне обладнання</w:t>
            </w:r>
          </w:p>
        </w:tc>
        <w:tc>
          <w:tcPr>
            <w:tcW w:w="1701" w:type="dxa"/>
            <w:shd w:val="clear" w:color="auto" w:fill="auto"/>
            <w:vAlign w:val="bottom"/>
          </w:tcPr>
          <w:p w:rsidR="00CB62FE" w:rsidRPr="0018493C" w:rsidRDefault="00CB62FE" w:rsidP="002E68B4">
            <w:pPr>
              <w:ind w:firstLine="0"/>
              <w:rPr>
                <w:b/>
                <w:bCs/>
                <w:color w:val="auto"/>
                <w:sz w:val="20"/>
              </w:rPr>
            </w:pPr>
            <w:r w:rsidRPr="0018493C">
              <w:rPr>
                <w:b/>
                <w:bCs/>
                <w:color w:val="auto"/>
                <w:sz w:val="20"/>
              </w:rPr>
              <w:t>Офі</w:t>
            </w:r>
            <w:proofErr w:type="gramStart"/>
            <w:r w:rsidRPr="0018493C">
              <w:rPr>
                <w:b/>
                <w:bCs/>
                <w:color w:val="auto"/>
                <w:sz w:val="20"/>
              </w:rPr>
              <w:t>сне</w:t>
            </w:r>
            <w:proofErr w:type="gramEnd"/>
            <w:r w:rsidRPr="0018493C">
              <w:rPr>
                <w:b/>
                <w:bCs/>
                <w:color w:val="auto"/>
                <w:sz w:val="20"/>
              </w:rPr>
              <w:t xml:space="preserve"> обладнання, інвентар</w:t>
            </w:r>
          </w:p>
        </w:tc>
        <w:tc>
          <w:tcPr>
            <w:tcW w:w="1134" w:type="dxa"/>
            <w:vAlign w:val="bottom"/>
          </w:tcPr>
          <w:p w:rsidR="00CB62FE" w:rsidRPr="0018493C" w:rsidRDefault="00CB62FE" w:rsidP="002E68B4">
            <w:pPr>
              <w:ind w:firstLine="0"/>
              <w:rPr>
                <w:b/>
                <w:bCs/>
                <w:color w:val="auto"/>
                <w:sz w:val="20"/>
              </w:rPr>
            </w:pPr>
            <w:r w:rsidRPr="0018493C">
              <w:rPr>
                <w:b/>
                <w:bCs/>
                <w:color w:val="auto"/>
                <w:sz w:val="20"/>
              </w:rPr>
              <w:t>Меблі</w:t>
            </w:r>
          </w:p>
        </w:tc>
        <w:tc>
          <w:tcPr>
            <w:tcW w:w="1355" w:type="dxa"/>
            <w:vAlign w:val="bottom"/>
          </w:tcPr>
          <w:p w:rsidR="00CB62FE" w:rsidRPr="0018493C" w:rsidRDefault="00CB62FE" w:rsidP="002E68B4">
            <w:pPr>
              <w:ind w:firstLine="0"/>
              <w:rPr>
                <w:b/>
                <w:bCs/>
                <w:color w:val="auto"/>
                <w:sz w:val="20"/>
              </w:rPr>
            </w:pPr>
            <w:r w:rsidRPr="0018493C">
              <w:rPr>
                <w:b/>
                <w:bCs/>
                <w:color w:val="auto"/>
                <w:sz w:val="20"/>
              </w:rPr>
              <w:t>Разом</w:t>
            </w:r>
          </w:p>
        </w:tc>
      </w:tr>
      <w:tr w:rsidR="00CB62FE" w:rsidRPr="0018493C" w:rsidTr="002E68B4">
        <w:trPr>
          <w:trHeight w:val="255"/>
          <w:jc w:val="center"/>
        </w:trPr>
        <w:tc>
          <w:tcPr>
            <w:tcW w:w="2490" w:type="dxa"/>
            <w:shd w:val="clear" w:color="auto" w:fill="auto"/>
            <w:vAlign w:val="center"/>
          </w:tcPr>
          <w:p w:rsidR="00CB62FE" w:rsidRPr="0018493C" w:rsidRDefault="00CB62FE" w:rsidP="002E68B4">
            <w:pPr>
              <w:ind w:firstLine="0"/>
              <w:rPr>
                <w:b/>
                <w:bCs/>
                <w:color w:val="auto"/>
                <w:sz w:val="20"/>
              </w:rPr>
            </w:pPr>
            <w:r w:rsidRPr="0018493C">
              <w:rPr>
                <w:b/>
                <w:bCs/>
                <w:color w:val="auto"/>
                <w:sz w:val="20"/>
              </w:rPr>
              <w:t>Первісна вартість</w:t>
            </w:r>
          </w:p>
        </w:tc>
        <w:tc>
          <w:tcPr>
            <w:tcW w:w="1843" w:type="dxa"/>
            <w:shd w:val="clear" w:color="auto" w:fill="auto"/>
            <w:noWrap/>
            <w:vAlign w:val="bottom"/>
          </w:tcPr>
          <w:p w:rsidR="00CB62FE" w:rsidRPr="0018493C" w:rsidRDefault="00CB62FE" w:rsidP="002E68B4">
            <w:pPr>
              <w:jc w:val="center"/>
              <w:rPr>
                <w:color w:val="auto"/>
                <w:sz w:val="20"/>
              </w:rPr>
            </w:pPr>
          </w:p>
        </w:tc>
        <w:tc>
          <w:tcPr>
            <w:tcW w:w="1559" w:type="dxa"/>
          </w:tcPr>
          <w:p w:rsidR="00CB62FE" w:rsidRPr="0018493C" w:rsidRDefault="00CB62FE" w:rsidP="002E68B4">
            <w:pPr>
              <w:jc w:val="center"/>
              <w:rPr>
                <w:color w:val="auto"/>
                <w:sz w:val="20"/>
              </w:rPr>
            </w:pPr>
          </w:p>
        </w:tc>
        <w:tc>
          <w:tcPr>
            <w:tcW w:w="1701" w:type="dxa"/>
            <w:shd w:val="clear" w:color="auto" w:fill="auto"/>
            <w:noWrap/>
            <w:vAlign w:val="bottom"/>
          </w:tcPr>
          <w:p w:rsidR="00CB62FE" w:rsidRPr="0018493C" w:rsidRDefault="00CB62FE" w:rsidP="002E68B4">
            <w:pPr>
              <w:jc w:val="center"/>
              <w:rPr>
                <w:color w:val="auto"/>
                <w:sz w:val="20"/>
              </w:rPr>
            </w:pPr>
          </w:p>
        </w:tc>
        <w:tc>
          <w:tcPr>
            <w:tcW w:w="1134" w:type="dxa"/>
          </w:tcPr>
          <w:p w:rsidR="00CB62FE" w:rsidRPr="0018493C" w:rsidRDefault="00CB62FE" w:rsidP="002E68B4">
            <w:pPr>
              <w:jc w:val="center"/>
              <w:rPr>
                <w:color w:val="auto"/>
                <w:sz w:val="20"/>
              </w:rPr>
            </w:pPr>
          </w:p>
        </w:tc>
        <w:tc>
          <w:tcPr>
            <w:tcW w:w="1355" w:type="dxa"/>
          </w:tcPr>
          <w:p w:rsidR="00CB62FE" w:rsidRPr="0018493C" w:rsidRDefault="00CB62FE" w:rsidP="002E68B4">
            <w:pPr>
              <w:jc w:val="center"/>
              <w:rPr>
                <w:color w:val="auto"/>
                <w:sz w:val="20"/>
              </w:rPr>
            </w:pPr>
          </w:p>
        </w:tc>
      </w:tr>
      <w:tr w:rsidR="00CB62FE" w:rsidRPr="0018493C" w:rsidTr="002E68B4">
        <w:trPr>
          <w:trHeight w:val="546"/>
          <w:jc w:val="center"/>
        </w:trPr>
        <w:tc>
          <w:tcPr>
            <w:tcW w:w="2490" w:type="dxa"/>
            <w:shd w:val="clear" w:color="auto" w:fill="auto"/>
            <w:vAlign w:val="center"/>
          </w:tcPr>
          <w:p w:rsidR="00CB62FE" w:rsidRPr="0018493C" w:rsidRDefault="00CB62FE" w:rsidP="002E68B4">
            <w:pPr>
              <w:ind w:right="-312" w:firstLine="0"/>
              <w:rPr>
                <w:bCs/>
                <w:color w:val="auto"/>
                <w:sz w:val="20"/>
              </w:rPr>
            </w:pPr>
            <w:r w:rsidRPr="0018493C">
              <w:rPr>
                <w:bCs/>
                <w:color w:val="auto"/>
                <w:sz w:val="20"/>
              </w:rPr>
              <w:t>на 01 січня 2016р.</w:t>
            </w:r>
          </w:p>
        </w:tc>
        <w:tc>
          <w:tcPr>
            <w:tcW w:w="1843" w:type="dxa"/>
            <w:shd w:val="clear" w:color="auto" w:fill="auto"/>
            <w:noWrap/>
            <w:vAlign w:val="center"/>
          </w:tcPr>
          <w:p w:rsidR="00CB62FE" w:rsidRPr="0018493C" w:rsidRDefault="00CB62FE" w:rsidP="002E68B4">
            <w:pPr>
              <w:jc w:val="center"/>
              <w:rPr>
                <w:color w:val="auto"/>
                <w:sz w:val="20"/>
              </w:rPr>
            </w:pPr>
            <w:r w:rsidRPr="0018493C">
              <w:rPr>
                <w:color w:val="auto"/>
                <w:sz w:val="20"/>
              </w:rPr>
              <w:t>138</w:t>
            </w:r>
          </w:p>
        </w:tc>
        <w:tc>
          <w:tcPr>
            <w:tcW w:w="1559" w:type="dxa"/>
          </w:tcPr>
          <w:p w:rsidR="00CB62FE" w:rsidRPr="0018493C" w:rsidRDefault="00CB62FE" w:rsidP="002E68B4">
            <w:pPr>
              <w:jc w:val="center"/>
              <w:rPr>
                <w:color w:val="auto"/>
                <w:sz w:val="20"/>
              </w:rPr>
            </w:pPr>
            <w:r w:rsidRPr="0018493C">
              <w:rPr>
                <w:color w:val="auto"/>
                <w:sz w:val="20"/>
              </w:rPr>
              <w:t>600</w:t>
            </w:r>
          </w:p>
        </w:tc>
        <w:tc>
          <w:tcPr>
            <w:tcW w:w="1701" w:type="dxa"/>
            <w:shd w:val="clear" w:color="auto" w:fill="auto"/>
            <w:noWrap/>
            <w:vAlign w:val="center"/>
          </w:tcPr>
          <w:p w:rsidR="00CB62FE" w:rsidRPr="0018493C" w:rsidRDefault="00CB62FE" w:rsidP="002E68B4">
            <w:pPr>
              <w:jc w:val="center"/>
              <w:rPr>
                <w:color w:val="auto"/>
                <w:sz w:val="20"/>
              </w:rPr>
            </w:pPr>
            <w:r w:rsidRPr="0018493C">
              <w:rPr>
                <w:color w:val="auto"/>
                <w:sz w:val="20"/>
              </w:rPr>
              <w:t>114</w:t>
            </w:r>
          </w:p>
        </w:tc>
        <w:tc>
          <w:tcPr>
            <w:tcW w:w="1134" w:type="dxa"/>
          </w:tcPr>
          <w:p w:rsidR="00CB62FE" w:rsidRPr="0018493C" w:rsidRDefault="00CB62FE" w:rsidP="002E68B4">
            <w:pPr>
              <w:jc w:val="center"/>
              <w:rPr>
                <w:color w:val="auto"/>
                <w:sz w:val="20"/>
              </w:rPr>
            </w:pPr>
            <w:r w:rsidRPr="0018493C">
              <w:rPr>
                <w:color w:val="auto"/>
                <w:sz w:val="20"/>
              </w:rPr>
              <w:t>38</w:t>
            </w:r>
          </w:p>
        </w:tc>
        <w:tc>
          <w:tcPr>
            <w:tcW w:w="1355" w:type="dxa"/>
            <w:vAlign w:val="center"/>
          </w:tcPr>
          <w:p w:rsidR="00CB62FE" w:rsidRPr="0018493C" w:rsidRDefault="00CB62FE" w:rsidP="002E68B4">
            <w:pPr>
              <w:jc w:val="center"/>
              <w:rPr>
                <w:color w:val="auto"/>
                <w:sz w:val="20"/>
              </w:rPr>
            </w:pPr>
            <w:r w:rsidRPr="0018493C">
              <w:rPr>
                <w:color w:val="auto"/>
                <w:sz w:val="20"/>
              </w:rPr>
              <w:t>752</w:t>
            </w:r>
          </w:p>
        </w:tc>
      </w:tr>
      <w:tr w:rsidR="00CB62FE" w:rsidRPr="0018493C" w:rsidTr="002E68B4">
        <w:trPr>
          <w:trHeight w:val="153"/>
          <w:jc w:val="center"/>
        </w:trPr>
        <w:tc>
          <w:tcPr>
            <w:tcW w:w="2490" w:type="dxa"/>
            <w:shd w:val="clear" w:color="auto" w:fill="auto"/>
            <w:vAlign w:val="center"/>
          </w:tcPr>
          <w:p w:rsidR="00CB62FE" w:rsidRPr="0018493C" w:rsidRDefault="00CB62FE" w:rsidP="002E68B4">
            <w:pPr>
              <w:ind w:firstLine="0"/>
              <w:rPr>
                <w:bCs/>
                <w:color w:val="auto"/>
                <w:sz w:val="20"/>
              </w:rPr>
            </w:pPr>
            <w:r w:rsidRPr="0018493C">
              <w:rPr>
                <w:bCs/>
                <w:color w:val="auto"/>
                <w:sz w:val="20"/>
              </w:rPr>
              <w:t>на 31 грудня 2016р.</w:t>
            </w:r>
          </w:p>
        </w:tc>
        <w:tc>
          <w:tcPr>
            <w:tcW w:w="1843" w:type="dxa"/>
            <w:shd w:val="clear" w:color="auto" w:fill="auto"/>
            <w:noWrap/>
            <w:vAlign w:val="center"/>
          </w:tcPr>
          <w:p w:rsidR="00CB62FE" w:rsidRPr="0018493C" w:rsidRDefault="00CB62FE" w:rsidP="002E68B4">
            <w:pPr>
              <w:jc w:val="center"/>
              <w:rPr>
                <w:color w:val="auto"/>
                <w:sz w:val="20"/>
              </w:rPr>
            </w:pPr>
            <w:r w:rsidRPr="0018493C">
              <w:rPr>
                <w:color w:val="auto"/>
                <w:sz w:val="20"/>
              </w:rPr>
              <w:t>138</w:t>
            </w:r>
          </w:p>
        </w:tc>
        <w:tc>
          <w:tcPr>
            <w:tcW w:w="1559" w:type="dxa"/>
          </w:tcPr>
          <w:p w:rsidR="00CB62FE" w:rsidRPr="0018493C" w:rsidRDefault="00CB62FE" w:rsidP="002E68B4">
            <w:pPr>
              <w:jc w:val="center"/>
              <w:rPr>
                <w:color w:val="auto"/>
                <w:sz w:val="20"/>
              </w:rPr>
            </w:pPr>
            <w:r w:rsidRPr="0018493C">
              <w:rPr>
                <w:color w:val="auto"/>
                <w:sz w:val="20"/>
              </w:rPr>
              <w:t>889</w:t>
            </w:r>
          </w:p>
        </w:tc>
        <w:tc>
          <w:tcPr>
            <w:tcW w:w="1701" w:type="dxa"/>
            <w:shd w:val="clear" w:color="auto" w:fill="auto"/>
            <w:noWrap/>
            <w:vAlign w:val="center"/>
          </w:tcPr>
          <w:p w:rsidR="00CB62FE" w:rsidRPr="0018493C" w:rsidRDefault="00CB62FE" w:rsidP="002E68B4">
            <w:pPr>
              <w:jc w:val="center"/>
              <w:rPr>
                <w:color w:val="auto"/>
                <w:sz w:val="20"/>
              </w:rPr>
            </w:pPr>
            <w:r w:rsidRPr="0018493C">
              <w:rPr>
                <w:color w:val="auto"/>
                <w:sz w:val="20"/>
              </w:rPr>
              <w:t>134</w:t>
            </w:r>
          </w:p>
        </w:tc>
        <w:tc>
          <w:tcPr>
            <w:tcW w:w="1134" w:type="dxa"/>
          </w:tcPr>
          <w:p w:rsidR="00CB62FE" w:rsidRPr="0018493C" w:rsidRDefault="00CB62FE" w:rsidP="002E68B4">
            <w:pPr>
              <w:jc w:val="center"/>
              <w:rPr>
                <w:color w:val="auto"/>
                <w:sz w:val="20"/>
              </w:rPr>
            </w:pPr>
            <w:r w:rsidRPr="0018493C">
              <w:rPr>
                <w:color w:val="auto"/>
                <w:sz w:val="20"/>
              </w:rPr>
              <w:t>43</w:t>
            </w:r>
          </w:p>
        </w:tc>
        <w:tc>
          <w:tcPr>
            <w:tcW w:w="1355" w:type="dxa"/>
            <w:vAlign w:val="center"/>
          </w:tcPr>
          <w:p w:rsidR="00CB62FE" w:rsidRPr="0018493C" w:rsidRDefault="00CB62FE" w:rsidP="002E68B4">
            <w:pPr>
              <w:jc w:val="center"/>
              <w:rPr>
                <w:color w:val="auto"/>
                <w:sz w:val="20"/>
              </w:rPr>
            </w:pPr>
            <w:r w:rsidRPr="0018493C">
              <w:rPr>
                <w:color w:val="auto"/>
                <w:sz w:val="20"/>
              </w:rPr>
              <w:t>1066</w:t>
            </w:r>
          </w:p>
        </w:tc>
      </w:tr>
      <w:tr w:rsidR="00CB62FE" w:rsidRPr="0018493C" w:rsidTr="002E68B4">
        <w:trPr>
          <w:trHeight w:val="255"/>
          <w:jc w:val="center"/>
        </w:trPr>
        <w:tc>
          <w:tcPr>
            <w:tcW w:w="2490" w:type="dxa"/>
            <w:shd w:val="clear" w:color="auto" w:fill="auto"/>
            <w:vAlign w:val="center"/>
          </w:tcPr>
          <w:p w:rsidR="00CB62FE" w:rsidRPr="0018493C" w:rsidRDefault="00CB62FE" w:rsidP="002E68B4">
            <w:pPr>
              <w:ind w:firstLine="0"/>
              <w:rPr>
                <w:b/>
                <w:bCs/>
                <w:color w:val="auto"/>
                <w:sz w:val="20"/>
              </w:rPr>
            </w:pPr>
            <w:r w:rsidRPr="0018493C">
              <w:rPr>
                <w:b/>
                <w:bCs/>
                <w:color w:val="auto"/>
                <w:sz w:val="20"/>
              </w:rPr>
              <w:t>Амортизація</w:t>
            </w:r>
          </w:p>
        </w:tc>
        <w:tc>
          <w:tcPr>
            <w:tcW w:w="1843" w:type="dxa"/>
            <w:shd w:val="clear" w:color="auto" w:fill="auto"/>
            <w:noWrap/>
            <w:vAlign w:val="center"/>
          </w:tcPr>
          <w:p w:rsidR="00CB62FE" w:rsidRPr="0018493C" w:rsidRDefault="00CB62FE" w:rsidP="002E68B4">
            <w:pPr>
              <w:jc w:val="center"/>
              <w:rPr>
                <w:color w:val="auto"/>
                <w:sz w:val="20"/>
              </w:rPr>
            </w:pPr>
          </w:p>
        </w:tc>
        <w:tc>
          <w:tcPr>
            <w:tcW w:w="1559" w:type="dxa"/>
          </w:tcPr>
          <w:p w:rsidR="00CB62FE" w:rsidRPr="0018493C" w:rsidRDefault="00CB62FE" w:rsidP="002E68B4">
            <w:pPr>
              <w:jc w:val="center"/>
              <w:rPr>
                <w:color w:val="auto"/>
                <w:sz w:val="20"/>
              </w:rPr>
            </w:pPr>
          </w:p>
        </w:tc>
        <w:tc>
          <w:tcPr>
            <w:tcW w:w="1701" w:type="dxa"/>
            <w:shd w:val="clear" w:color="auto" w:fill="auto"/>
            <w:noWrap/>
            <w:vAlign w:val="center"/>
          </w:tcPr>
          <w:p w:rsidR="00CB62FE" w:rsidRPr="0018493C" w:rsidRDefault="00CB62FE" w:rsidP="002E68B4">
            <w:pPr>
              <w:jc w:val="center"/>
              <w:rPr>
                <w:color w:val="auto"/>
                <w:sz w:val="20"/>
              </w:rPr>
            </w:pPr>
          </w:p>
        </w:tc>
        <w:tc>
          <w:tcPr>
            <w:tcW w:w="1134" w:type="dxa"/>
          </w:tcPr>
          <w:p w:rsidR="00CB62FE" w:rsidRPr="0018493C" w:rsidRDefault="00CB62FE" w:rsidP="002E68B4">
            <w:pPr>
              <w:jc w:val="center"/>
              <w:rPr>
                <w:color w:val="auto"/>
                <w:sz w:val="20"/>
              </w:rPr>
            </w:pPr>
          </w:p>
        </w:tc>
        <w:tc>
          <w:tcPr>
            <w:tcW w:w="1355" w:type="dxa"/>
            <w:vAlign w:val="center"/>
          </w:tcPr>
          <w:p w:rsidR="00CB62FE" w:rsidRPr="0018493C" w:rsidRDefault="00CB62FE" w:rsidP="002E68B4">
            <w:pPr>
              <w:jc w:val="center"/>
              <w:rPr>
                <w:color w:val="auto"/>
                <w:sz w:val="20"/>
              </w:rPr>
            </w:pPr>
          </w:p>
        </w:tc>
      </w:tr>
      <w:tr w:rsidR="00CB62FE" w:rsidRPr="0018493C" w:rsidTr="002E68B4">
        <w:trPr>
          <w:trHeight w:val="255"/>
          <w:jc w:val="center"/>
        </w:trPr>
        <w:tc>
          <w:tcPr>
            <w:tcW w:w="2490" w:type="dxa"/>
            <w:shd w:val="clear" w:color="auto" w:fill="auto"/>
            <w:vAlign w:val="center"/>
          </w:tcPr>
          <w:p w:rsidR="00CB62FE" w:rsidRPr="0018493C" w:rsidRDefault="00CB62FE" w:rsidP="002E68B4">
            <w:pPr>
              <w:ind w:right="-312" w:firstLine="0"/>
              <w:rPr>
                <w:bCs/>
                <w:color w:val="auto"/>
                <w:sz w:val="20"/>
              </w:rPr>
            </w:pPr>
            <w:r w:rsidRPr="0018493C">
              <w:rPr>
                <w:bCs/>
                <w:color w:val="auto"/>
                <w:sz w:val="20"/>
              </w:rPr>
              <w:t>на 01 січня 2016р.</w:t>
            </w:r>
          </w:p>
        </w:tc>
        <w:tc>
          <w:tcPr>
            <w:tcW w:w="1843" w:type="dxa"/>
            <w:shd w:val="clear" w:color="auto" w:fill="auto"/>
            <w:vAlign w:val="center"/>
          </w:tcPr>
          <w:p w:rsidR="00CB62FE" w:rsidRPr="0018493C" w:rsidRDefault="00CB62FE" w:rsidP="002E68B4">
            <w:pPr>
              <w:jc w:val="center"/>
              <w:rPr>
                <w:color w:val="auto"/>
                <w:sz w:val="20"/>
              </w:rPr>
            </w:pPr>
            <w:r w:rsidRPr="0018493C">
              <w:rPr>
                <w:color w:val="auto"/>
                <w:sz w:val="20"/>
              </w:rPr>
              <w:t>0</w:t>
            </w:r>
          </w:p>
        </w:tc>
        <w:tc>
          <w:tcPr>
            <w:tcW w:w="1559" w:type="dxa"/>
          </w:tcPr>
          <w:p w:rsidR="00CB62FE" w:rsidRPr="0018493C" w:rsidRDefault="00CB62FE" w:rsidP="002E68B4">
            <w:pPr>
              <w:jc w:val="center"/>
              <w:rPr>
                <w:color w:val="auto"/>
                <w:sz w:val="20"/>
              </w:rPr>
            </w:pPr>
            <w:r w:rsidRPr="0018493C">
              <w:rPr>
                <w:color w:val="auto"/>
                <w:sz w:val="20"/>
              </w:rPr>
              <w:t>512</w:t>
            </w:r>
          </w:p>
        </w:tc>
        <w:tc>
          <w:tcPr>
            <w:tcW w:w="1701" w:type="dxa"/>
            <w:shd w:val="clear" w:color="auto" w:fill="auto"/>
            <w:vAlign w:val="center"/>
          </w:tcPr>
          <w:p w:rsidR="00CB62FE" w:rsidRPr="0018493C" w:rsidRDefault="00CB62FE" w:rsidP="002E68B4">
            <w:pPr>
              <w:jc w:val="center"/>
              <w:rPr>
                <w:color w:val="auto"/>
                <w:sz w:val="20"/>
              </w:rPr>
            </w:pPr>
            <w:r w:rsidRPr="0018493C">
              <w:rPr>
                <w:color w:val="auto"/>
                <w:sz w:val="20"/>
              </w:rPr>
              <w:t>85</w:t>
            </w:r>
          </w:p>
        </w:tc>
        <w:tc>
          <w:tcPr>
            <w:tcW w:w="1134" w:type="dxa"/>
          </w:tcPr>
          <w:p w:rsidR="00CB62FE" w:rsidRPr="0018493C" w:rsidRDefault="00CB62FE" w:rsidP="002E68B4">
            <w:pPr>
              <w:jc w:val="center"/>
              <w:rPr>
                <w:color w:val="auto"/>
                <w:sz w:val="20"/>
              </w:rPr>
            </w:pPr>
            <w:r w:rsidRPr="0018493C">
              <w:rPr>
                <w:color w:val="auto"/>
                <w:sz w:val="20"/>
              </w:rPr>
              <w:t>34</w:t>
            </w:r>
          </w:p>
        </w:tc>
        <w:tc>
          <w:tcPr>
            <w:tcW w:w="1355" w:type="dxa"/>
            <w:vAlign w:val="center"/>
          </w:tcPr>
          <w:p w:rsidR="00CB62FE" w:rsidRPr="0018493C" w:rsidRDefault="00CB62FE" w:rsidP="002E68B4">
            <w:pPr>
              <w:jc w:val="center"/>
              <w:rPr>
                <w:color w:val="auto"/>
                <w:sz w:val="20"/>
              </w:rPr>
            </w:pPr>
            <w:r w:rsidRPr="0018493C">
              <w:rPr>
                <w:color w:val="auto"/>
                <w:sz w:val="20"/>
              </w:rPr>
              <w:t>631</w:t>
            </w:r>
          </w:p>
        </w:tc>
      </w:tr>
      <w:tr w:rsidR="00CB62FE" w:rsidRPr="0018493C" w:rsidTr="002E68B4">
        <w:trPr>
          <w:trHeight w:val="255"/>
          <w:jc w:val="center"/>
        </w:trPr>
        <w:tc>
          <w:tcPr>
            <w:tcW w:w="2490" w:type="dxa"/>
            <w:shd w:val="clear" w:color="auto" w:fill="auto"/>
            <w:vAlign w:val="center"/>
          </w:tcPr>
          <w:p w:rsidR="00CB62FE" w:rsidRPr="0018493C" w:rsidRDefault="00CB62FE" w:rsidP="002E68B4">
            <w:pPr>
              <w:ind w:firstLine="0"/>
              <w:rPr>
                <w:bCs/>
                <w:color w:val="auto"/>
                <w:sz w:val="20"/>
              </w:rPr>
            </w:pPr>
            <w:r w:rsidRPr="0018493C">
              <w:rPr>
                <w:bCs/>
                <w:color w:val="auto"/>
                <w:sz w:val="20"/>
              </w:rPr>
              <w:t>на 31 грудня 2016 р.</w:t>
            </w:r>
          </w:p>
        </w:tc>
        <w:tc>
          <w:tcPr>
            <w:tcW w:w="1843" w:type="dxa"/>
            <w:shd w:val="clear" w:color="auto" w:fill="auto"/>
            <w:vAlign w:val="center"/>
          </w:tcPr>
          <w:p w:rsidR="00CB62FE" w:rsidRPr="0018493C" w:rsidRDefault="00CB62FE" w:rsidP="002E68B4">
            <w:pPr>
              <w:jc w:val="center"/>
              <w:rPr>
                <w:color w:val="auto"/>
                <w:sz w:val="20"/>
              </w:rPr>
            </w:pPr>
            <w:r w:rsidRPr="0018493C">
              <w:rPr>
                <w:color w:val="auto"/>
                <w:sz w:val="20"/>
              </w:rPr>
              <w:t>0</w:t>
            </w:r>
          </w:p>
        </w:tc>
        <w:tc>
          <w:tcPr>
            <w:tcW w:w="1559" w:type="dxa"/>
          </w:tcPr>
          <w:p w:rsidR="00CB62FE" w:rsidRPr="0018493C" w:rsidRDefault="00CB62FE" w:rsidP="002E68B4">
            <w:pPr>
              <w:jc w:val="center"/>
              <w:rPr>
                <w:color w:val="auto"/>
                <w:sz w:val="20"/>
              </w:rPr>
            </w:pPr>
            <w:r w:rsidRPr="0018493C">
              <w:rPr>
                <w:color w:val="auto"/>
                <w:sz w:val="20"/>
              </w:rPr>
              <w:t>590</w:t>
            </w:r>
          </w:p>
        </w:tc>
        <w:tc>
          <w:tcPr>
            <w:tcW w:w="1701" w:type="dxa"/>
            <w:shd w:val="clear" w:color="auto" w:fill="auto"/>
            <w:vAlign w:val="center"/>
          </w:tcPr>
          <w:p w:rsidR="00CB62FE" w:rsidRPr="0018493C" w:rsidRDefault="00CB62FE" w:rsidP="002E68B4">
            <w:pPr>
              <w:jc w:val="center"/>
              <w:rPr>
                <w:color w:val="auto"/>
                <w:sz w:val="20"/>
              </w:rPr>
            </w:pPr>
            <w:r w:rsidRPr="0018493C">
              <w:rPr>
                <w:color w:val="auto"/>
                <w:sz w:val="20"/>
              </w:rPr>
              <w:t>93</w:t>
            </w:r>
          </w:p>
        </w:tc>
        <w:tc>
          <w:tcPr>
            <w:tcW w:w="1134" w:type="dxa"/>
          </w:tcPr>
          <w:p w:rsidR="00CB62FE" w:rsidRPr="0018493C" w:rsidRDefault="00CB62FE" w:rsidP="002E68B4">
            <w:pPr>
              <w:jc w:val="center"/>
              <w:rPr>
                <w:color w:val="auto"/>
                <w:sz w:val="20"/>
              </w:rPr>
            </w:pPr>
            <w:r w:rsidRPr="0018493C">
              <w:rPr>
                <w:color w:val="auto"/>
                <w:sz w:val="20"/>
              </w:rPr>
              <w:t>39</w:t>
            </w:r>
          </w:p>
        </w:tc>
        <w:tc>
          <w:tcPr>
            <w:tcW w:w="1355" w:type="dxa"/>
            <w:vAlign w:val="center"/>
          </w:tcPr>
          <w:p w:rsidR="00CB62FE" w:rsidRPr="0018493C" w:rsidRDefault="00CB62FE" w:rsidP="002E68B4">
            <w:pPr>
              <w:jc w:val="center"/>
              <w:rPr>
                <w:color w:val="auto"/>
                <w:sz w:val="20"/>
              </w:rPr>
            </w:pPr>
            <w:r w:rsidRPr="0018493C">
              <w:rPr>
                <w:color w:val="auto"/>
                <w:sz w:val="20"/>
              </w:rPr>
              <w:t>722</w:t>
            </w:r>
          </w:p>
        </w:tc>
      </w:tr>
      <w:tr w:rsidR="00CB62FE" w:rsidRPr="0018493C" w:rsidTr="002E68B4">
        <w:trPr>
          <w:trHeight w:val="255"/>
          <w:jc w:val="center"/>
        </w:trPr>
        <w:tc>
          <w:tcPr>
            <w:tcW w:w="2490" w:type="dxa"/>
            <w:shd w:val="clear" w:color="auto" w:fill="auto"/>
            <w:vAlign w:val="center"/>
          </w:tcPr>
          <w:p w:rsidR="00CB62FE" w:rsidRPr="0018493C" w:rsidRDefault="00CB62FE" w:rsidP="002E68B4">
            <w:pPr>
              <w:ind w:firstLine="0"/>
              <w:rPr>
                <w:b/>
                <w:bCs/>
                <w:color w:val="auto"/>
                <w:sz w:val="20"/>
              </w:rPr>
            </w:pPr>
            <w:r w:rsidRPr="0018493C">
              <w:rPr>
                <w:b/>
                <w:bCs/>
                <w:color w:val="auto"/>
                <w:sz w:val="20"/>
              </w:rPr>
              <w:t>Чиста вартість</w:t>
            </w:r>
          </w:p>
        </w:tc>
        <w:tc>
          <w:tcPr>
            <w:tcW w:w="1843" w:type="dxa"/>
            <w:shd w:val="clear" w:color="auto" w:fill="auto"/>
            <w:noWrap/>
            <w:vAlign w:val="center"/>
          </w:tcPr>
          <w:p w:rsidR="00CB62FE" w:rsidRPr="0018493C" w:rsidRDefault="00CB62FE" w:rsidP="002E68B4">
            <w:pPr>
              <w:jc w:val="center"/>
              <w:rPr>
                <w:color w:val="auto"/>
                <w:sz w:val="20"/>
              </w:rPr>
            </w:pPr>
          </w:p>
        </w:tc>
        <w:tc>
          <w:tcPr>
            <w:tcW w:w="1559" w:type="dxa"/>
          </w:tcPr>
          <w:p w:rsidR="00CB62FE" w:rsidRPr="0018493C" w:rsidRDefault="00CB62FE" w:rsidP="002E68B4">
            <w:pPr>
              <w:jc w:val="center"/>
              <w:rPr>
                <w:color w:val="auto"/>
                <w:sz w:val="20"/>
              </w:rPr>
            </w:pPr>
          </w:p>
        </w:tc>
        <w:tc>
          <w:tcPr>
            <w:tcW w:w="1701" w:type="dxa"/>
            <w:shd w:val="clear" w:color="auto" w:fill="auto"/>
            <w:noWrap/>
            <w:vAlign w:val="center"/>
          </w:tcPr>
          <w:p w:rsidR="00CB62FE" w:rsidRPr="0018493C" w:rsidRDefault="00CB62FE" w:rsidP="002E68B4">
            <w:pPr>
              <w:jc w:val="center"/>
              <w:rPr>
                <w:color w:val="auto"/>
                <w:sz w:val="20"/>
              </w:rPr>
            </w:pPr>
          </w:p>
        </w:tc>
        <w:tc>
          <w:tcPr>
            <w:tcW w:w="1134" w:type="dxa"/>
          </w:tcPr>
          <w:p w:rsidR="00CB62FE" w:rsidRPr="0018493C" w:rsidRDefault="00CB62FE" w:rsidP="002E68B4">
            <w:pPr>
              <w:jc w:val="center"/>
              <w:rPr>
                <w:color w:val="auto"/>
                <w:sz w:val="20"/>
              </w:rPr>
            </w:pPr>
          </w:p>
        </w:tc>
        <w:tc>
          <w:tcPr>
            <w:tcW w:w="1355" w:type="dxa"/>
            <w:vAlign w:val="center"/>
          </w:tcPr>
          <w:p w:rsidR="00CB62FE" w:rsidRPr="0018493C" w:rsidRDefault="00CB62FE" w:rsidP="002E68B4">
            <w:pPr>
              <w:jc w:val="center"/>
              <w:rPr>
                <w:color w:val="auto"/>
                <w:sz w:val="20"/>
              </w:rPr>
            </w:pPr>
          </w:p>
        </w:tc>
      </w:tr>
      <w:tr w:rsidR="00CB62FE" w:rsidRPr="0018493C" w:rsidTr="002E68B4">
        <w:trPr>
          <w:trHeight w:val="255"/>
          <w:jc w:val="center"/>
        </w:trPr>
        <w:tc>
          <w:tcPr>
            <w:tcW w:w="2490" w:type="dxa"/>
            <w:shd w:val="clear" w:color="auto" w:fill="auto"/>
            <w:vAlign w:val="center"/>
          </w:tcPr>
          <w:p w:rsidR="00CB62FE" w:rsidRPr="0018493C" w:rsidRDefault="00CB62FE" w:rsidP="002E68B4">
            <w:pPr>
              <w:ind w:firstLine="0"/>
              <w:rPr>
                <w:b/>
                <w:bCs/>
                <w:color w:val="auto"/>
                <w:sz w:val="20"/>
              </w:rPr>
            </w:pPr>
            <w:r w:rsidRPr="0018493C">
              <w:rPr>
                <w:bCs/>
                <w:color w:val="auto"/>
                <w:sz w:val="20"/>
              </w:rPr>
              <w:t>на 01 січня 2016р</w:t>
            </w:r>
          </w:p>
        </w:tc>
        <w:tc>
          <w:tcPr>
            <w:tcW w:w="1843" w:type="dxa"/>
            <w:shd w:val="clear" w:color="auto" w:fill="auto"/>
            <w:noWrap/>
            <w:vAlign w:val="center"/>
          </w:tcPr>
          <w:p w:rsidR="00CB62FE" w:rsidRPr="0018493C" w:rsidRDefault="00CB62FE" w:rsidP="002E68B4">
            <w:pPr>
              <w:jc w:val="center"/>
              <w:rPr>
                <w:color w:val="auto"/>
                <w:sz w:val="20"/>
              </w:rPr>
            </w:pPr>
            <w:r w:rsidRPr="0018493C">
              <w:rPr>
                <w:color w:val="auto"/>
                <w:sz w:val="20"/>
              </w:rPr>
              <w:t>138</w:t>
            </w:r>
          </w:p>
        </w:tc>
        <w:tc>
          <w:tcPr>
            <w:tcW w:w="1559" w:type="dxa"/>
          </w:tcPr>
          <w:p w:rsidR="00CB62FE" w:rsidRPr="0018493C" w:rsidRDefault="00CB62FE" w:rsidP="002E68B4">
            <w:pPr>
              <w:jc w:val="center"/>
              <w:rPr>
                <w:color w:val="auto"/>
                <w:sz w:val="20"/>
              </w:rPr>
            </w:pPr>
            <w:r w:rsidRPr="0018493C">
              <w:rPr>
                <w:color w:val="auto"/>
                <w:sz w:val="20"/>
              </w:rPr>
              <w:t>88</w:t>
            </w:r>
          </w:p>
        </w:tc>
        <w:tc>
          <w:tcPr>
            <w:tcW w:w="1701" w:type="dxa"/>
            <w:shd w:val="clear" w:color="auto" w:fill="auto"/>
            <w:noWrap/>
            <w:vAlign w:val="center"/>
          </w:tcPr>
          <w:p w:rsidR="00CB62FE" w:rsidRPr="0018493C" w:rsidRDefault="00CB62FE" w:rsidP="002E68B4">
            <w:pPr>
              <w:jc w:val="center"/>
              <w:rPr>
                <w:color w:val="auto"/>
                <w:sz w:val="20"/>
              </w:rPr>
            </w:pPr>
            <w:r w:rsidRPr="0018493C">
              <w:rPr>
                <w:color w:val="auto"/>
                <w:sz w:val="20"/>
              </w:rPr>
              <w:t>29</w:t>
            </w:r>
          </w:p>
        </w:tc>
        <w:tc>
          <w:tcPr>
            <w:tcW w:w="1134" w:type="dxa"/>
          </w:tcPr>
          <w:p w:rsidR="00CB62FE" w:rsidRPr="0018493C" w:rsidRDefault="00CB62FE" w:rsidP="002E68B4">
            <w:pPr>
              <w:jc w:val="center"/>
              <w:rPr>
                <w:color w:val="auto"/>
                <w:sz w:val="20"/>
              </w:rPr>
            </w:pPr>
            <w:r w:rsidRPr="0018493C">
              <w:rPr>
                <w:color w:val="auto"/>
                <w:sz w:val="20"/>
              </w:rPr>
              <w:t>4</w:t>
            </w:r>
          </w:p>
        </w:tc>
        <w:tc>
          <w:tcPr>
            <w:tcW w:w="1355" w:type="dxa"/>
            <w:vAlign w:val="center"/>
          </w:tcPr>
          <w:p w:rsidR="00CB62FE" w:rsidRPr="0018493C" w:rsidRDefault="00CB62FE" w:rsidP="002E68B4">
            <w:pPr>
              <w:jc w:val="center"/>
              <w:rPr>
                <w:color w:val="auto"/>
                <w:sz w:val="20"/>
              </w:rPr>
            </w:pPr>
            <w:r w:rsidRPr="0018493C">
              <w:rPr>
                <w:color w:val="auto"/>
                <w:sz w:val="20"/>
              </w:rPr>
              <w:t>121</w:t>
            </w:r>
          </w:p>
        </w:tc>
      </w:tr>
      <w:tr w:rsidR="00CB62FE" w:rsidRPr="0018493C" w:rsidTr="002E68B4">
        <w:trPr>
          <w:trHeight w:val="255"/>
          <w:jc w:val="center"/>
        </w:trPr>
        <w:tc>
          <w:tcPr>
            <w:tcW w:w="2490" w:type="dxa"/>
            <w:shd w:val="clear" w:color="auto" w:fill="auto"/>
            <w:vAlign w:val="center"/>
          </w:tcPr>
          <w:p w:rsidR="00CB62FE" w:rsidRPr="0018493C" w:rsidRDefault="00CB62FE" w:rsidP="002E68B4">
            <w:pPr>
              <w:ind w:firstLine="0"/>
              <w:rPr>
                <w:bCs/>
                <w:color w:val="auto"/>
                <w:sz w:val="20"/>
              </w:rPr>
            </w:pPr>
            <w:r w:rsidRPr="0018493C">
              <w:rPr>
                <w:bCs/>
                <w:color w:val="auto"/>
                <w:sz w:val="20"/>
              </w:rPr>
              <w:lastRenderedPageBreak/>
              <w:t>на 31 грудня 2016р.</w:t>
            </w:r>
          </w:p>
        </w:tc>
        <w:tc>
          <w:tcPr>
            <w:tcW w:w="1843" w:type="dxa"/>
            <w:shd w:val="clear" w:color="auto" w:fill="auto"/>
            <w:noWrap/>
            <w:vAlign w:val="center"/>
          </w:tcPr>
          <w:p w:rsidR="00CB62FE" w:rsidRPr="0018493C" w:rsidRDefault="00CB62FE" w:rsidP="002E68B4">
            <w:pPr>
              <w:jc w:val="center"/>
              <w:rPr>
                <w:color w:val="auto"/>
                <w:sz w:val="20"/>
              </w:rPr>
            </w:pPr>
            <w:r w:rsidRPr="0018493C">
              <w:rPr>
                <w:color w:val="auto"/>
                <w:sz w:val="20"/>
              </w:rPr>
              <w:t>138</w:t>
            </w:r>
          </w:p>
        </w:tc>
        <w:tc>
          <w:tcPr>
            <w:tcW w:w="1559" w:type="dxa"/>
          </w:tcPr>
          <w:p w:rsidR="00CB62FE" w:rsidRPr="0018493C" w:rsidRDefault="00CB62FE" w:rsidP="002E68B4">
            <w:pPr>
              <w:jc w:val="center"/>
              <w:rPr>
                <w:color w:val="auto"/>
                <w:sz w:val="20"/>
              </w:rPr>
            </w:pPr>
            <w:r w:rsidRPr="0018493C">
              <w:rPr>
                <w:color w:val="auto"/>
                <w:sz w:val="20"/>
              </w:rPr>
              <w:t>299</w:t>
            </w:r>
          </w:p>
        </w:tc>
        <w:tc>
          <w:tcPr>
            <w:tcW w:w="1701" w:type="dxa"/>
            <w:shd w:val="clear" w:color="auto" w:fill="auto"/>
            <w:noWrap/>
            <w:vAlign w:val="center"/>
          </w:tcPr>
          <w:p w:rsidR="00CB62FE" w:rsidRPr="0018493C" w:rsidRDefault="00CB62FE" w:rsidP="002E68B4">
            <w:pPr>
              <w:jc w:val="center"/>
              <w:rPr>
                <w:color w:val="auto"/>
                <w:sz w:val="20"/>
              </w:rPr>
            </w:pPr>
            <w:r w:rsidRPr="0018493C">
              <w:rPr>
                <w:color w:val="auto"/>
                <w:sz w:val="20"/>
              </w:rPr>
              <w:t>41</w:t>
            </w:r>
          </w:p>
        </w:tc>
        <w:tc>
          <w:tcPr>
            <w:tcW w:w="1134" w:type="dxa"/>
          </w:tcPr>
          <w:p w:rsidR="00CB62FE" w:rsidRPr="0018493C" w:rsidRDefault="00CB62FE" w:rsidP="002E68B4">
            <w:pPr>
              <w:jc w:val="center"/>
              <w:rPr>
                <w:color w:val="auto"/>
                <w:sz w:val="20"/>
              </w:rPr>
            </w:pPr>
            <w:r w:rsidRPr="0018493C">
              <w:rPr>
                <w:color w:val="auto"/>
                <w:sz w:val="20"/>
              </w:rPr>
              <w:t>4</w:t>
            </w:r>
          </w:p>
        </w:tc>
        <w:tc>
          <w:tcPr>
            <w:tcW w:w="1355" w:type="dxa"/>
            <w:vAlign w:val="center"/>
          </w:tcPr>
          <w:p w:rsidR="00CB62FE" w:rsidRPr="0018493C" w:rsidRDefault="00CB62FE" w:rsidP="002E68B4">
            <w:pPr>
              <w:jc w:val="center"/>
              <w:rPr>
                <w:color w:val="auto"/>
                <w:sz w:val="20"/>
              </w:rPr>
            </w:pPr>
            <w:r w:rsidRPr="0018493C">
              <w:rPr>
                <w:color w:val="auto"/>
                <w:sz w:val="20"/>
              </w:rPr>
              <w:t>344</w:t>
            </w:r>
          </w:p>
        </w:tc>
      </w:tr>
    </w:tbl>
    <w:p w:rsidR="00CB62FE" w:rsidRDefault="00CB62FE" w:rsidP="00AE5051">
      <w:pPr>
        <w:spacing w:before="0" w:after="120" w:line="240" w:lineRule="auto"/>
        <w:ind w:firstLine="0"/>
        <w:rPr>
          <w:color w:val="auto"/>
          <w:sz w:val="20"/>
          <w:lang w:val="uk-UA"/>
        </w:rPr>
      </w:pPr>
    </w:p>
    <w:p w:rsidR="00361440" w:rsidRPr="0018493C" w:rsidRDefault="00361440" w:rsidP="00AE5051">
      <w:pPr>
        <w:spacing w:before="0" w:after="120" w:line="240" w:lineRule="auto"/>
        <w:ind w:firstLine="0"/>
        <w:rPr>
          <w:color w:val="auto"/>
          <w:sz w:val="20"/>
          <w:lang w:val="uk-UA"/>
        </w:rPr>
      </w:pPr>
      <w:r w:rsidRPr="0018493C">
        <w:rPr>
          <w:color w:val="auto"/>
          <w:sz w:val="20"/>
          <w:lang w:val="uk-UA"/>
        </w:rPr>
        <w:t>.</w:t>
      </w:r>
    </w:p>
    <w:p w:rsidR="00361440" w:rsidRPr="0018493C" w:rsidRDefault="00110618" w:rsidP="00E417A5">
      <w:pPr>
        <w:pStyle w:val="2"/>
        <w:ind w:left="567" w:hanging="567"/>
      </w:pPr>
      <w:bookmarkStart w:id="25" w:name="_Toc511835063"/>
      <w:r w:rsidRPr="0018493C">
        <w:t>Дебіторська заборгованість</w:t>
      </w:r>
      <w:bookmarkEnd w:id="25"/>
    </w:p>
    <w:p w:rsidR="00110618" w:rsidRPr="0018493C" w:rsidRDefault="00110618" w:rsidP="0018493C">
      <w:pPr>
        <w:shd w:val="clear" w:color="auto" w:fill="FFFFFF"/>
        <w:autoSpaceDE w:val="0"/>
        <w:autoSpaceDN w:val="0"/>
        <w:adjustRightInd w:val="0"/>
        <w:spacing w:before="120" w:after="120" w:line="300" w:lineRule="exact"/>
        <w:ind w:firstLine="0"/>
        <w:rPr>
          <w:color w:val="auto"/>
          <w:sz w:val="20"/>
          <w:lang w:val="uk-UA"/>
        </w:rPr>
      </w:pPr>
      <w:r w:rsidRPr="0018493C">
        <w:rPr>
          <w:color w:val="auto"/>
          <w:sz w:val="20"/>
          <w:lang w:val="uk-UA"/>
        </w:rPr>
        <w:t>Дебіторська заборгованість включає:</w:t>
      </w:r>
    </w:p>
    <w:tbl>
      <w:tblPr>
        <w:tblStyle w:val="ac"/>
        <w:tblW w:w="9746" w:type="dxa"/>
        <w:tblLook w:val="04A0" w:firstRow="1" w:lastRow="0" w:firstColumn="1" w:lastColumn="0" w:noHBand="0" w:noVBand="1"/>
      </w:tblPr>
      <w:tblGrid>
        <w:gridCol w:w="6628"/>
        <w:gridCol w:w="1559"/>
        <w:gridCol w:w="1559"/>
      </w:tblGrid>
      <w:tr w:rsidR="00F55423" w:rsidRPr="0018493C" w:rsidTr="00F55423">
        <w:tc>
          <w:tcPr>
            <w:tcW w:w="6628" w:type="dxa"/>
          </w:tcPr>
          <w:p w:rsidR="00F55423" w:rsidRPr="0018493C" w:rsidRDefault="00F55423" w:rsidP="00C470BA">
            <w:pPr>
              <w:contextualSpacing/>
              <w:rPr>
                <w:color w:val="auto"/>
                <w:sz w:val="20"/>
              </w:rPr>
            </w:pPr>
            <w:r w:rsidRPr="0018493C">
              <w:rPr>
                <w:color w:val="auto"/>
                <w:sz w:val="20"/>
              </w:rPr>
              <w:tab/>
            </w:r>
          </w:p>
        </w:tc>
        <w:tc>
          <w:tcPr>
            <w:tcW w:w="1559" w:type="dxa"/>
          </w:tcPr>
          <w:p w:rsidR="00F55423" w:rsidRPr="0018493C" w:rsidRDefault="00F55423" w:rsidP="002E68B4">
            <w:pPr>
              <w:ind w:firstLine="0"/>
              <w:contextualSpacing/>
              <w:rPr>
                <w:b/>
                <w:color w:val="auto"/>
                <w:sz w:val="20"/>
              </w:rPr>
            </w:pPr>
            <w:r w:rsidRPr="0018493C">
              <w:rPr>
                <w:b/>
                <w:color w:val="auto"/>
                <w:sz w:val="20"/>
              </w:rPr>
              <w:t>31.12.2016</w:t>
            </w:r>
          </w:p>
        </w:tc>
        <w:tc>
          <w:tcPr>
            <w:tcW w:w="1559" w:type="dxa"/>
          </w:tcPr>
          <w:p w:rsidR="00F55423" w:rsidRPr="00F55423" w:rsidRDefault="00F55423" w:rsidP="00F55423">
            <w:pPr>
              <w:ind w:firstLine="0"/>
              <w:contextualSpacing/>
              <w:rPr>
                <w:b/>
                <w:color w:val="auto"/>
                <w:sz w:val="20"/>
                <w:lang w:val="uk-UA"/>
              </w:rPr>
            </w:pPr>
            <w:r w:rsidRPr="0018493C">
              <w:rPr>
                <w:b/>
                <w:color w:val="auto"/>
                <w:sz w:val="20"/>
              </w:rPr>
              <w:t>31.12.201</w:t>
            </w:r>
            <w:r>
              <w:rPr>
                <w:b/>
                <w:color w:val="auto"/>
                <w:sz w:val="20"/>
                <w:lang w:val="uk-UA"/>
              </w:rPr>
              <w:t>7</w:t>
            </w:r>
          </w:p>
        </w:tc>
      </w:tr>
      <w:tr w:rsidR="00C71D23" w:rsidRPr="0018493C" w:rsidTr="00F55423">
        <w:tc>
          <w:tcPr>
            <w:tcW w:w="6628" w:type="dxa"/>
          </w:tcPr>
          <w:p w:rsidR="00C71D23" w:rsidRPr="0018493C" w:rsidRDefault="00C71D23" w:rsidP="001C22D3">
            <w:pPr>
              <w:ind w:firstLine="0"/>
              <w:contextualSpacing/>
              <w:rPr>
                <w:color w:val="auto"/>
                <w:sz w:val="20"/>
              </w:rPr>
            </w:pPr>
            <w:r w:rsidRPr="0018493C">
              <w:rPr>
                <w:color w:val="auto"/>
                <w:sz w:val="20"/>
              </w:rPr>
              <w:t xml:space="preserve">Дебіторська заборгованість </w:t>
            </w:r>
            <w:proofErr w:type="gramStart"/>
            <w:r w:rsidRPr="0018493C">
              <w:rPr>
                <w:color w:val="auto"/>
                <w:sz w:val="20"/>
              </w:rPr>
              <w:t>за</w:t>
            </w:r>
            <w:proofErr w:type="gramEnd"/>
            <w:r w:rsidRPr="0018493C">
              <w:rPr>
                <w:color w:val="auto"/>
                <w:sz w:val="20"/>
              </w:rPr>
              <w:t xml:space="preserve"> страхові послуги</w:t>
            </w:r>
          </w:p>
        </w:tc>
        <w:tc>
          <w:tcPr>
            <w:tcW w:w="1559" w:type="dxa"/>
          </w:tcPr>
          <w:p w:rsidR="00C71D23" w:rsidRPr="0018493C" w:rsidRDefault="00C71D23" w:rsidP="00F55423">
            <w:pPr>
              <w:contextualSpacing/>
              <w:rPr>
                <w:color w:val="auto"/>
                <w:sz w:val="20"/>
              </w:rPr>
            </w:pPr>
            <w:r w:rsidRPr="0018493C">
              <w:rPr>
                <w:color w:val="auto"/>
                <w:sz w:val="20"/>
              </w:rPr>
              <w:t>269</w:t>
            </w:r>
          </w:p>
        </w:tc>
        <w:tc>
          <w:tcPr>
            <w:tcW w:w="1559" w:type="dxa"/>
          </w:tcPr>
          <w:p w:rsidR="00C71D23" w:rsidRPr="00C71D23" w:rsidRDefault="00C71D23" w:rsidP="00C71D23">
            <w:pPr>
              <w:contextualSpacing/>
              <w:rPr>
                <w:color w:val="auto"/>
                <w:sz w:val="20"/>
              </w:rPr>
            </w:pPr>
            <w:r w:rsidRPr="00C71D23">
              <w:rPr>
                <w:color w:val="auto"/>
                <w:sz w:val="20"/>
              </w:rPr>
              <w:t>665</w:t>
            </w:r>
          </w:p>
        </w:tc>
      </w:tr>
      <w:tr w:rsidR="00C71D23" w:rsidRPr="0018493C" w:rsidTr="00F55423">
        <w:tc>
          <w:tcPr>
            <w:tcW w:w="6628" w:type="dxa"/>
          </w:tcPr>
          <w:p w:rsidR="00C71D23" w:rsidRPr="0018493C" w:rsidRDefault="00C71D23" w:rsidP="001C22D3">
            <w:pPr>
              <w:ind w:firstLine="0"/>
              <w:contextualSpacing/>
              <w:rPr>
                <w:color w:val="auto"/>
                <w:sz w:val="20"/>
              </w:rPr>
            </w:pPr>
            <w:r w:rsidRPr="0018493C">
              <w:rPr>
                <w:color w:val="auto"/>
                <w:sz w:val="20"/>
              </w:rPr>
              <w:t>Дебіторська заборгованість за розрахунками з бюджетом</w:t>
            </w:r>
          </w:p>
        </w:tc>
        <w:tc>
          <w:tcPr>
            <w:tcW w:w="1559" w:type="dxa"/>
          </w:tcPr>
          <w:p w:rsidR="00C71D23" w:rsidRPr="0018493C" w:rsidRDefault="00C71D23" w:rsidP="00F55423">
            <w:pPr>
              <w:contextualSpacing/>
              <w:rPr>
                <w:color w:val="auto"/>
                <w:sz w:val="20"/>
              </w:rPr>
            </w:pPr>
            <w:r w:rsidRPr="0018493C">
              <w:rPr>
                <w:color w:val="auto"/>
                <w:sz w:val="20"/>
              </w:rPr>
              <w:t>181</w:t>
            </w:r>
          </w:p>
        </w:tc>
        <w:tc>
          <w:tcPr>
            <w:tcW w:w="1559" w:type="dxa"/>
          </w:tcPr>
          <w:p w:rsidR="00C71D23" w:rsidRPr="00C71D23" w:rsidRDefault="00C71D23" w:rsidP="00C71D23">
            <w:pPr>
              <w:contextualSpacing/>
              <w:rPr>
                <w:color w:val="auto"/>
                <w:sz w:val="20"/>
              </w:rPr>
            </w:pPr>
            <w:r w:rsidRPr="00C71D23">
              <w:rPr>
                <w:color w:val="auto"/>
                <w:sz w:val="20"/>
              </w:rPr>
              <w:t>224</w:t>
            </w:r>
          </w:p>
        </w:tc>
      </w:tr>
      <w:tr w:rsidR="00C71D23" w:rsidRPr="0018493C" w:rsidTr="00F55423">
        <w:tc>
          <w:tcPr>
            <w:tcW w:w="6628" w:type="dxa"/>
          </w:tcPr>
          <w:p w:rsidR="00C71D23" w:rsidRPr="0018493C" w:rsidRDefault="00C71D23" w:rsidP="001C22D3">
            <w:pPr>
              <w:ind w:firstLine="0"/>
              <w:contextualSpacing/>
              <w:rPr>
                <w:color w:val="auto"/>
                <w:sz w:val="20"/>
              </w:rPr>
            </w:pPr>
            <w:r w:rsidRPr="0018493C">
              <w:rPr>
                <w:color w:val="auto"/>
                <w:sz w:val="20"/>
              </w:rPr>
              <w:t>Дебіторська заборгованість з нарахованих доході</w:t>
            </w:r>
            <w:proofErr w:type="gramStart"/>
            <w:r w:rsidRPr="0018493C">
              <w:rPr>
                <w:color w:val="auto"/>
                <w:sz w:val="20"/>
              </w:rPr>
              <w:t>в</w:t>
            </w:r>
            <w:proofErr w:type="gramEnd"/>
          </w:p>
        </w:tc>
        <w:tc>
          <w:tcPr>
            <w:tcW w:w="1559" w:type="dxa"/>
          </w:tcPr>
          <w:p w:rsidR="00C71D23" w:rsidRPr="0018493C" w:rsidRDefault="00C71D23" w:rsidP="00F55423">
            <w:pPr>
              <w:contextualSpacing/>
              <w:rPr>
                <w:color w:val="auto"/>
                <w:sz w:val="20"/>
              </w:rPr>
            </w:pPr>
            <w:r w:rsidRPr="0018493C">
              <w:rPr>
                <w:color w:val="auto"/>
                <w:sz w:val="20"/>
              </w:rPr>
              <w:t>1 250</w:t>
            </w:r>
          </w:p>
        </w:tc>
        <w:tc>
          <w:tcPr>
            <w:tcW w:w="1559" w:type="dxa"/>
          </w:tcPr>
          <w:p w:rsidR="00C71D23" w:rsidRPr="00C71D23" w:rsidRDefault="00C71D23" w:rsidP="00C71D23">
            <w:pPr>
              <w:contextualSpacing/>
              <w:rPr>
                <w:color w:val="auto"/>
                <w:sz w:val="20"/>
              </w:rPr>
            </w:pPr>
            <w:r w:rsidRPr="00C71D23">
              <w:rPr>
                <w:color w:val="auto"/>
                <w:sz w:val="20"/>
              </w:rPr>
              <w:t>257</w:t>
            </w:r>
          </w:p>
        </w:tc>
      </w:tr>
      <w:tr w:rsidR="00C71D23" w:rsidRPr="0018493C" w:rsidTr="00F55423">
        <w:tc>
          <w:tcPr>
            <w:tcW w:w="6628" w:type="dxa"/>
          </w:tcPr>
          <w:p w:rsidR="00C71D23" w:rsidRPr="0018493C" w:rsidRDefault="00C71D23" w:rsidP="001C22D3">
            <w:pPr>
              <w:ind w:firstLine="0"/>
              <w:contextualSpacing/>
              <w:rPr>
                <w:color w:val="auto"/>
                <w:sz w:val="20"/>
              </w:rPr>
            </w:pPr>
            <w:r w:rsidRPr="0018493C">
              <w:rPr>
                <w:color w:val="auto"/>
                <w:sz w:val="20"/>
              </w:rPr>
              <w:t>Інша поточна дебіторська заборгованість</w:t>
            </w:r>
          </w:p>
        </w:tc>
        <w:tc>
          <w:tcPr>
            <w:tcW w:w="1559" w:type="dxa"/>
          </w:tcPr>
          <w:p w:rsidR="00C71D23" w:rsidRPr="0018493C" w:rsidRDefault="00C71D23" w:rsidP="00F55423">
            <w:pPr>
              <w:contextualSpacing/>
              <w:rPr>
                <w:color w:val="auto"/>
                <w:sz w:val="20"/>
              </w:rPr>
            </w:pPr>
            <w:r w:rsidRPr="0018493C">
              <w:rPr>
                <w:color w:val="auto"/>
                <w:sz w:val="20"/>
              </w:rPr>
              <w:t>-</w:t>
            </w:r>
          </w:p>
        </w:tc>
        <w:tc>
          <w:tcPr>
            <w:tcW w:w="1559" w:type="dxa"/>
          </w:tcPr>
          <w:p w:rsidR="00C71D23" w:rsidRPr="00C71D23" w:rsidRDefault="00C71D23" w:rsidP="00C71D23">
            <w:pPr>
              <w:contextualSpacing/>
              <w:rPr>
                <w:color w:val="auto"/>
                <w:sz w:val="20"/>
              </w:rPr>
            </w:pPr>
            <w:r w:rsidRPr="00C71D23">
              <w:rPr>
                <w:color w:val="auto"/>
                <w:sz w:val="20"/>
              </w:rPr>
              <w:t>0</w:t>
            </w:r>
          </w:p>
        </w:tc>
      </w:tr>
      <w:tr w:rsidR="00C71D23" w:rsidRPr="0018493C" w:rsidTr="00F55423">
        <w:tc>
          <w:tcPr>
            <w:tcW w:w="6628" w:type="dxa"/>
          </w:tcPr>
          <w:p w:rsidR="00C71D23" w:rsidRPr="0018493C" w:rsidRDefault="00C71D23" w:rsidP="001C22D3">
            <w:pPr>
              <w:ind w:firstLine="0"/>
              <w:contextualSpacing/>
              <w:rPr>
                <w:color w:val="auto"/>
                <w:sz w:val="20"/>
              </w:rPr>
            </w:pPr>
            <w:r w:rsidRPr="0018493C">
              <w:rPr>
                <w:color w:val="auto"/>
                <w:sz w:val="20"/>
              </w:rPr>
              <w:t>Дебіторська заборгованість за виданими авансами</w:t>
            </w:r>
          </w:p>
        </w:tc>
        <w:tc>
          <w:tcPr>
            <w:tcW w:w="1559" w:type="dxa"/>
          </w:tcPr>
          <w:p w:rsidR="00C71D23" w:rsidRPr="0018493C" w:rsidRDefault="00C71D23" w:rsidP="00F55423">
            <w:pPr>
              <w:contextualSpacing/>
              <w:rPr>
                <w:color w:val="auto"/>
                <w:sz w:val="20"/>
              </w:rPr>
            </w:pPr>
            <w:r w:rsidRPr="0018493C">
              <w:rPr>
                <w:color w:val="auto"/>
                <w:sz w:val="20"/>
              </w:rPr>
              <w:t>154</w:t>
            </w:r>
          </w:p>
        </w:tc>
        <w:tc>
          <w:tcPr>
            <w:tcW w:w="1559" w:type="dxa"/>
          </w:tcPr>
          <w:p w:rsidR="00C71D23" w:rsidRPr="00C71D23" w:rsidRDefault="00C71D23" w:rsidP="00C71D23">
            <w:pPr>
              <w:contextualSpacing/>
              <w:rPr>
                <w:color w:val="auto"/>
                <w:sz w:val="20"/>
              </w:rPr>
            </w:pPr>
            <w:r w:rsidRPr="00C71D23">
              <w:rPr>
                <w:color w:val="auto"/>
                <w:sz w:val="20"/>
              </w:rPr>
              <w:t>337</w:t>
            </w:r>
          </w:p>
        </w:tc>
      </w:tr>
    </w:tbl>
    <w:p w:rsidR="00D22CE3" w:rsidRPr="0018493C" w:rsidRDefault="00D22CE3" w:rsidP="00D22CE3">
      <w:pPr>
        <w:shd w:val="clear" w:color="auto" w:fill="FFFFFF"/>
        <w:spacing w:before="120" w:after="120" w:line="300" w:lineRule="exact"/>
        <w:ind w:left="426" w:firstLine="142"/>
        <w:rPr>
          <w:b/>
          <w:bCs/>
          <w:color w:val="auto"/>
          <w:spacing w:val="-2"/>
          <w:sz w:val="20"/>
          <w:u w:val="single"/>
          <w:lang w:val="uk-UA"/>
        </w:rPr>
      </w:pPr>
    </w:p>
    <w:p w:rsidR="00D22CE3" w:rsidRPr="0018493C" w:rsidRDefault="00D22CE3" w:rsidP="00D22CE3">
      <w:pPr>
        <w:pStyle w:val="2"/>
        <w:ind w:left="567" w:hanging="567"/>
      </w:pPr>
      <w:bookmarkStart w:id="26" w:name="_Toc511835064"/>
      <w:r w:rsidRPr="0018493C">
        <w:t>Розкриття інформації щодо використання справедливої вартості</w:t>
      </w:r>
      <w:bookmarkEnd w:id="26"/>
      <w:r w:rsidRPr="0018493C">
        <w:t xml:space="preserve"> </w:t>
      </w:r>
    </w:p>
    <w:p w:rsidR="00D22CE3" w:rsidRPr="0018493C" w:rsidRDefault="00D22CE3" w:rsidP="00D22CE3">
      <w:pPr>
        <w:shd w:val="clear" w:color="auto" w:fill="FFFFFF"/>
        <w:autoSpaceDE w:val="0"/>
        <w:autoSpaceDN w:val="0"/>
        <w:adjustRightInd w:val="0"/>
        <w:spacing w:before="120" w:after="120" w:line="300" w:lineRule="exact"/>
        <w:ind w:firstLine="0"/>
        <w:rPr>
          <w:color w:val="auto"/>
          <w:sz w:val="20"/>
          <w:lang w:val="uk-UA"/>
        </w:rPr>
      </w:pPr>
      <w:r w:rsidRPr="0018493C">
        <w:rPr>
          <w:color w:val="auto"/>
          <w:sz w:val="20"/>
          <w:lang w:val="uk-UA"/>
        </w:rPr>
        <w:t>Товариство здійснює виключно безперервні оцінки справедливої вартості активів та зобов’язань, тобто такі оцінки, які вимагаються МСФЗ у звіті про фінансовий стан на кінець кожного звітного періоду.</w:t>
      </w:r>
    </w:p>
    <w:p w:rsidR="00C02A15" w:rsidRPr="0018493C" w:rsidRDefault="00C02A15" w:rsidP="00D22CE3">
      <w:pPr>
        <w:shd w:val="clear" w:color="auto" w:fill="FFFFFF"/>
        <w:autoSpaceDE w:val="0"/>
        <w:autoSpaceDN w:val="0"/>
        <w:adjustRightInd w:val="0"/>
        <w:spacing w:before="120" w:after="120" w:line="300" w:lineRule="exact"/>
        <w:ind w:firstLine="0"/>
        <w:rPr>
          <w:color w:val="auto"/>
          <w:sz w:val="20"/>
          <w:lang w:val="uk-UA"/>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3604"/>
        <w:gridCol w:w="1499"/>
        <w:gridCol w:w="2551"/>
      </w:tblGrid>
      <w:tr w:rsidR="0018493C" w:rsidRPr="0018493C" w:rsidTr="00D22CE3">
        <w:tc>
          <w:tcPr>
            <w:tcW w:w="2093" w:type="dxa"/>
          </w:tcPr>
          <w:p w:rsidR="00D22CE3" w:rsidRPr="0018493C" w:rsidRDefault="00D22CE3" w:rsidP="00D22CE3">
            <w:pPr>
              <w:autoSpaceDE w:val="0"/>
              <w:autoSpaceDN w:val="0"/>
              <w:adjustRightInd w:val="0"/>
              <w:ind w:firstLine="0"/>
              <w:rPr>
                <w:b/>
                <w:i/>
                <w:color w:val="auto"/>
                <w:sz w:val="20"/>
                <w:lang w:val="uk-UA"/>
              </w:rPr>
            </w:pPr>
            <w:r w:rsidRPr="0018493C">
              <w:rPr>
                <w:b/>
                <w:bCs/>
                <w:i/>
                <w:color w:val="auto"/>
                <w:sz w:val="20"/>
                <w:lang w:val="uk-UA" w:eastAsia="uk-UA"/>
              </w:rPr>
              <w:t>Класи активів та зобов’язань, оцінених за справедливою вартістю</w:t>
            </w:r>
          </w:p>
        </w:tc>
        <w:tc>
          <w:tcPr>
            <w:tcW w:w="3604" w:type="dxa"/>
          </w:tcPr>
          <w:p w:rsidR="00D22CE3" w:rsidRPr="0018493C" w:rsidRDefault="00D22CE3" w:rsidP="00BC538B">
            <w:pPr>
              <w:autoSpaceDE w:val="0"/>
              <w:autoSpaceDN w:val="0"/>
              <w:adjustRightInd w:val="0"/>
              <w:jc w:val="center"/>
              <w:rPr>
                <w:b/>
                <w:bCs/>
                <w:i/>
                <w:color w:val="auto"/>
                <w:sz w:val="20"/>
                <w:lang w:val="uk-UA" w:eastAsia="uk-UA"/>
              </w:rPr>
            </w:pPr>
          </w:p>
          <w:p w:rsidR="00D22CE3" w:rsidRPr="0018493C" w:rsidRDefault="00D22CE3" w:rsidP="00D22CE3">
            <w:pPr>
              <w:autoSpaceDE w:val="0"/>
              <w:autoSpaceDN w:val="0"/>
              <w:adjustRightInd w:val="0"/>
              <w:ind w:firstLine="0"/>
              <w:rPr>
                <w:b/>
                <w:bCs/>
                <w:i/>
                <w:color w:val="auto"/>
                <w:sz w:val="20"/>
                <w:lang w:val="uk-UA" w:eastAsia="uk-UA"/>
              </w:rPr>
            </w:pPr>
            <w:r w:rsidRPr="0018493C">
              <w:rPr>
                <w:b/>
                <w:bCs/>
                <w:i/>
                <w:color w:val="auto"/>
                <w:sz w:val="20"/>
                <w:lang w:val="uk-UA" w:eastAsia="uk-UA"/>
              </w:rPr>
              <w:t>Методики оцінювання</w:t>
            </w:r>
          </w:p>
        </w:tc>
        <w:tc>
          <w:tcPr>
            <w:tcW w:w="1499" w:type="dxa"/>
          </w:tcPr>
          <w:p w:rsidR="00D22CE3" w:rsidRPr="0018493C" w:rsidRDefault="00D22CE3" w:rsidP="00D22CE3">
            <w:pPr>
              <w:autoSpaceDE w:val="0"/>
              <w:autoSpaceDN w:val="0"/>
              <w:adjustRightInd w:val="0"/>
              <w:ind w:firstLine="0"/>
              <w:rPr>
                <w:b/>
                <w:bCs/>
                <w:i/>
                <w:color w:val="auto"/>
                <w:sz w:val="20"/>
                <w:lang w:val="uk-UA" w:eastAsia="uk-UA"/>
              </w:rPr>
            </w:pPr>
            <w:r w:rsidRPr="0018493C">
              <w:rPr>
                <w:b/>
                <w:bCs/>
                <w:i/>
                <w:color w:val="auto"/>
                <w:sz w:val="20"/>
                <w:lang w:val="uk-UA" w:eastAsia="uk-UA"/>
              </w:rPr>
              <w:t>Метод оцінки (ринковий, дохідний, витратний)</w:t>
            </w:r>
          </w:p>
        </w:tc>
        <w:tc>
          <w:tcPr>
            <w:tcW w:w="2551" w:type="dxa"/>
          </w:tcPr>
          <w:p w:rsidR="00D22CE3" w:rsidRPr="0018493C" w:rsidRDefault="00D22CE3" w:rsidP="00BC538B">
            <w:pPr>
              <w:autoSpaceDE w:val="0"/>
              <w:autoSpaceDN w:val="0"/>
              <w:adjustRightInd w:val="0"/>
              <w:jc w:val="center"/>
              <w:rPr>
                <w:b/>
                <w:bCs/>
                <w:i/>
                <w:color w:val="auto"/>
                <w:sz w:val="20"/>
                <w:lang w:val="uk-UA" w:eastAsia="uk-UA"/>
              </w:rPr>
            </w:pPr>
          </w:p>
          <w:p w:rsidR="00D22CE3" w:rsidRPr="0018493C" w:rsidRDefault="00D22CE3" w:rsidP="00D22CE3">
            <w:pPr>
              <w:autoSpaceDE w:val="0"/>
              <w:autoSpaceDN w:val="0"/>
              <w:adjustRightInd w:val="0"/>
              <w:ind w:firstLine="0"/>
              <w:rPr>
                <w:b/>
                <w:bCs/>
                <w:i/>
                <w:color w:val="auto"/>
                <w:sz w:val="20"/>
                <w:lang w:val="uk-UA" w:eastAsia="uk-UA"/>
              </w:rPr>
            </w:pPr>
            <w:r w:rsidRPr="0018493C">
              <w:rPr>
                <w:b/>
                <w:bCs/>
                <w:i/>
                <w:color w:val="auto"/>
                <w:sz w:val="20"/>
                <w:lang w:val="uk-UA" w:eastAsia="uk-UA"/>
              </w:rPr>
              <w:t>Вихідні дані</w:t>
            </w:r>
          </w:p>
        </w:tc>
      </w:tr>
      <w:tr w:rsidR="0018493C" w:rsidRPr="0018493C" w:rsidTr="00D22CE3">
        <w:tc>
          <w:tcPr>
            <w:tcW w:w="2093" w:type="dxa"/>
          </w:tcPr>
          <w:p w:rsidR="00D22CE3" w:rsidRPr="0018493C" w:rsidRDefault="00D22CE3" w:rsidP="00D22CE3">
            <w:pPr>
              <w:autoSpaceDE w:val="0"/>
              <w:autoSpaceDN w:val="0"/>
              <w:adjustRightInd w:val="0"/>
              <w:ind w:firstLine="0"/>
              <w:rPr>
                <w:color w:val="auto"/>
                <w:sz w:val="20"/>
                <w:lang w:val="uk-UA"/>
              </w:rPr>
            </w:pPr>
            <w:r w:rsidRPr="0018493C">
              <w:rPr>
                <w:color w:val="auto"/>
                <w:sz w:val="20"/>
                <w:lang w:val="uk-UA" w:eastAsia="uk-UA"/>
              </w:rPr>
              <w:t>Грошові кошти та їх еквіваленти</w:t>
            </w:r>
          </w:p>
        </w:tc>
        <w:tc>
          <w:tcPr>
            <w:tcW w:w="3604" w:type="dxa"/>
          </w:tcPr>
          <w:p w:rsidR="00D22CE3" w:rsidRPr="0018493C" w:rsidRDefault="00D22CE3" w:rsidP="00D22CE3">
            <w:pPr>
              <w:autoSpaceDE w:val="0"/>
              <w:autoSpaceDN w:val="0"/>
              <w:adjustRightInd w:val="0"/>
              <w:ind w:firstLine="0"/>
              <w:rPr>
                <w:color w:val="auto"/>
                <w:sz w:val="20"/>
                <w:lang w:val="uk-UA"/>
              </w:rPr>
            </w:pPr>
            <w:r w:rsidRPr="0018493C">
              <w:rPr>
                <w:color w:val="auto"/>
                <w:sz w:val="20"/>
                <w:lang w:val="uk-UA" w:eastAsia="uk-UA"/>
              </w:rPr>
              <w:t>Первісна та подальша оцінка грошових коштів та їх еквівалентів здійснюється за справедливою вартістю, яка дорівнює їх номінальній вартості</w:t>
            </w:r>
          </w:p>
        </w:tc>
        <w:tc>
          <w:tcPr>
            <w:tcW w:w="1499" w:type="dxa"/>
          </w:tcPr>
          <w:p w:rsidR="00D22CE3" w:rsidRPr="0018493C" w:rsidRDefault="00D22CE3" w:rsidP="00D22CE3">
            <w:pPr>
              <w:autoSpaceDE w:val="0"/>
              <w:autoSpaceDN w:val="0"/>
              <w:adjustRightInd w:val="0"/>
              <w:spacing w:after="60" w:line="300" w:lineRule="exact"/>
              <w:ind w:firstLine="0"/>
              <w:rPr>
                <w:color w:val="auto"/>
                <w:sz w:val="20"/>
                <w:lang w:val="uk-UA"/>
              </w:rPr>
            </w:pPr>
            <w:r w:rsidRPr="0018493C">
              <w:rPr>
                <w:color w:val="auto"/>
                <w:sz w:val="20"/>
                <w:lang w:val="uk-UA" w:eastAsia="uk-UA"/>
              </w:rPr>
              <w:t>Ринковий</w:t>
            </w:r>
          </w:p>
        </w:tc>
        <w:tc>
          <w:tcPr>
            <w:tcW w:w="2551" w:type="dxa"/>
          </w:tcPr>
          <w:p w:rsidR="00D22CE3" w:rsidRPr="0018493C" w:rsidRDefault="00D22CE3" w:rsidP="00D22CE3">
            <w:pPr>
              <w:autoSpaceDE w:val="0"/>
              <w:autoSpaceDN w:val="0"/>
              <w:adjustRightInd w:val="0"/>
              <w:spacing w:after="60" w:line="300" w:lineRule="exact"/>
              <w:ind w:firstLine="0"/>
              <w:rPr>
                <w:color w:val="auto"/>
                <w:sz w:val="20"/>
                <w:lang w:val="uk-UA"/>
              </w:rPr>
            </w:pPr>
            <w:r w:rsidRPr="0018493C">
              <w:rPr>
                <w:color w:val="auto"/>
                <w:sz w:val="20"/>
                <w:lang w:val="uk-UA" w:eastAsia="uk-UA"/>
              </w:rPr>
              <w:t>Офіційні курси НБУ</w:t>
            </w:r>
          </w:p>
        </w:tc>
      </w:tr>
      <w:tr w:rsidR="0018493C" w:rsidRPr="00B76FFE" w:rsidTr="00D22CE3">
        <w:tc>
          <w:tcPr>
            <w:tcW w:w="2093"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Боргові цінні папери</w:t>
            </w:r>
          </w:p>
        </w:tc>
        <w:tc>
          <w:tcPr>
            <w:tcW w:w="3604"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Первісна оцінка боргових цінних паперів як фінансових активів здійснюється за справедливою вартістю, яка зазвичай дорівнює ціні операції, в ході якої був отриманий актив. Подальша оцінка боргових цінних паперів здійснюється за справедливою вартістю.</w:t>
            </w:r>
          </w:p>
        </w:tc>
        <w:tc>
          <w:tcPr>
            <w:tcW w:w="1499"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 xml:space="preserve">Ринковий, дохідний </w:t>
            </w:r>
          </w:p>
        </w:tc>
        <w:tc>
          <w:tcPr>
            <w:tcW w:w="2551"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Офіційні біржові курси організаторів торгів на дату оцінки, котирування аналогічних боргових цінних паперів, дисконтова ні потоки грошових коштів</w:t>
            </w:r>
          </w:p>
        </w:tc>
      </w:tr>
      <w:tr w:rsidR="0018493C" w:rsidRPr="0018493C" w:rsidTr="00D22CE3">
        <w:tc>
          <w:tcPr>
            <w:tcW w:w="2093"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Інструменти капіталу</w:t>
            </w:r>
          </w:p>
        </w:tc>
        <w:tc>
          <w:tcPr>
            <w:tcW w:w="3604"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 xml:space="preserve">Первісна оцінка інструментів капіталу здійснюється за їх справедливою вартістю, яка зазвичай дорівнює ціні операції, в ході якої був отриманий актив. Подальша оцінка інструментів капіталу здійснюється за </w:t>
            </w:r>
            <w:r w:rsidRPr="0018493C">
              <w:rPr>
                <w:color w:val="auto"/>
                <w:sz w:val="20"/>
                <w:lang w:val="uk-UA" w:eastAsia="uk-UA"/>
              </w:rPr>
              <w:lastRenderedPageBreak/>
              <w:t>справедливою вартістю на дату оцінки.</w:t>
            </w:r>
          </w:p>
        </w:tc>
        <w:tc>
          <w:tcPr>
            <w:tcW w:w="1499"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lastRenderedPageBreak/>
              <w:t>Ринковий, витратний</w:t>
            </w:r>
          </w:p>
        </w:tc>
        <w:tc>
          <w:tcPr>
            <w:tcW w:w="2551"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 xml:space="preserve">Офіційні біржові курси організаторів торгів на дату оцінки, за відсутності визначеного біржового курсу на дату оцінки, використовується остання балансова вартість, ціни </w:t>
            </w:r>
            <w:r w:rsidRPr="0018493C">
              <w:rPr>
                <w:color w:val="auto"/>
                <w:sz w:val="20"/>
                <w:lang w:val="uk-UA" w:eastAsia="uk-UA"/>
              </w:rPr>
              <w:lastRenderedPageBreak/>
              <w:t>закриття біржового торгового дня</w:t>
            </w:r>
          </w:p>
        </w:tc>
      </w:tr>
      <w:tr w:rsidR="0018493C" w:rsidRPr="00B76FFE" w:rsidTr="00D22CE3">
        <w:tc>
          <w:tcPr>
            <w:tcW w:w="2093"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lastRenderedPageBreak/>
              <w:t>Дебіторська заборгованість</w:t>
            </w:r>
          </w:p>
        </w:tc>
        <w:tc>
          <w:tcPr>
            <w:tcW w:w="3604"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Первісна та подальша оцінка дебіторської заборгованості здійснюється за справедливою вартістю, яка дорівнює вартості погашення, тобто сумі очікуваних контрактних грошових потоків на дату оцінки.</w:t>
            </w:r>
          </w:p>
        </w:tc>
        <w:tc>
          <w:tcPr>
            <w:tcW w:w="1499" w:type="dxa"/>
          </w:tcPr>
          <w:p w:rsidR="00D22CE3" w:rsidRPr="0018493C" w:rsidRDefault="00D22CE3" w:rsidP="00D22CE3">
            <w:pPr>
              <w:autoSpaceDE w:val="0"/>
              <w:autoSpaceDN w:val="0"/>
              <w:adjustRightInd w:val="0"/>
              <w:spacing w:after="60" w:line="300" w:lineRule="exact"/>
              <w:ind w:firstLine="0"/>
              <w:rPr>
                <w:color w:val="auto"/>
                <w:sz w:val="20"/>
                <w:lang w:val="uk-UA" w:eastAsia="uk-UA"/>
              </w:rPr>
            </w:pPr>
            <w:r w:rsidRPr="0018493C">
              <w:rPr>
                <w:color w:val="auto"/>
                <w:sz w:val="20"/>
                <w:lang w:val="uk-UA" w:eastAsia="uk-UA"/>
              </w:rPr>
              <w:t>Дохідний</w:t>
            </w:r>
          </w:p>
        </w:tc>
        <w:tc>
          <w:tcPr>
            <w:tcW w:w="2551"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Контрактні умови, ймовірність погашення, очікувані вхідні грошові потоки</w:t>
            </w:r>
          </w:p>
        </w:tc>
      </w:tr>
      <w:tr w:rsidR="0018493C" w:rsidRPr="00B76FFE" w:rsidTr="00D22CE3">
        <w:tc>
          <w:tcPr>
            <w:tcW w:w="2093"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Поточні зобов’язання</w:t>
            </w:r>
          </w:p>
        </w:tc>
        <w:tc>
          <w:tcPr>
            <w:tcW w:w="3604" w:type="dxa"/>
          </w:tcPr>
          <w:p w:rsidR="00D22CE3" w:rsidRPr="0018493C" w:rsidRDefault="00D22CE3" w:rsidP="00BC538B">
            <w:pPr>
              <w:autoSpaceDE w:val="0"/>
              <w:autoSpaceDN w:val="0"/>
              <w:adjustRightInd w:val="0"/>
              <w:rPr>
                <w:color w:val="auto"/>
                <w:sz w:val="20"/>
                <w:lang w:val="uk-UA" w:eastAsia="uk-UA"/>
              </w:rPr>
            </w:pPr>
            <w:r w:rsidRPr="0018493C">
              <w:rPr>
                <w:color w:val="auto"/>
                <w:sz w:val="20"/>
                <w:lang w:val="uk-UA" w:eastAsia="uk-UA"/>
              </w:rPr>
              <w:t>Первісна та подальша оцінка поточних зобов’язань здійснюється за вартістю погашення</w:t>
            </w:r>
          </w:p>
        </w:tc>
        <w:tc>
          <w:tcPr>
            <w:tcW w:w="1499" w:type="dxa"/>
          </w:tcPr>
          <w:p w:rsidR="00D22CE3" w:rsidRPr="0018493C" w:rsidRDefault="00D22CE3" w:rsidP="00D22CE3">
            <w:pPr>
              <w:autoSpaceDE w:val="0"/>
              <w:autoSpaceDN w:val="0"/>
              <w:adjustRightInd w:val="0"/>
              <w:spacing w:after="60" w:line="300" w:lineRule="exact"/>
              <w:ind w:firstLine="0"/>
              <w:rPr>
                <w:color w:val="auto"/>
                <w:sz w:val="20"/>
                <w:lang w:val="uk-UA" w:eastAsia="uk-UA"/>
              </w:rPr>
            </w:pPr>
            <w:r w:rsidRPr="0018493C">
              <w:rPr>
                <w:color w:val="auto"/>
                <w:sz w:val="20"/>
                <w:lang w:val="uk-UA" w:eastAsia="uk-UA"/>
              </w:rPr>
              <w:t>Витратний</w:t>
            </w:r>
          </w:p>
        </w:tc>
        <w:tc>
          <w:tcPr>
            <w:tcW w:w="2551" w:type="dxa"/>
          </w:tcPr>
          <w:p w:rsidR="00D22CE3" w:rsidRPr="0018493C" w:rsidRDefault="00D22CE3" w:rsidP="00D22CE3">
            <w:pPr>
              <w:autoSpaceDE w:val="0"/>
              <w:autoSpaceDN w:val="0"/>
              <w:adjustRightInd w:val="0"/>
              <w:ind w:firstLine="0"/>
              <w:rPr>
                <w:color w:val="auto"/>
                <w:sz w:val="20"/>
                <w:lang w:val="uk-UA" w:eastAsia="uk-UA"/>
              </w:rPr>
            </w:pPr>
            <w:r w:rsidRPr="0018493C">
              <w:rPr>
                <w:color w:val="auto"/>
                <w:sz w:val="20"/>
                <w:lang w:val="uk-UA" w:eastAsia="uk-UA"/>
              </w:rPr>
              <w:t>Контрактні умови, ймовірність погашення, очікувані вихідні грошові потоки</w:t>
            </w:r>
          </w:p>
        </w:tc>
      </w:tr>
    </w:tbl>
    <w:p w:rsidR="00C02A15" w:rsidRPr="0018493C" w:rsidRDefault="00C02A15" w:rsidP="00C02A15">
      <w:pPr>
        <w:spacing w:before="120" w:after="120" w:line="300" w:lineRule="atLeast"/>
        <w:ind w:firstLine="0"/>
        <w:rPr>
          <w:color w:val="auto"/>
          <w:sz w:val="20"/>
          <w:lang w:eastAsia="uk-UA"/>
        </w:rPr>
      </w:pPr>
      <w:r w:rsidRPr="0018493C">
        <w:rPr>
          <w:b/>
          <w:bCs/>
          <w:color w:val="auto"/>
          <w:spacing w:val="-2"/>
          <w:sz w:val="20"/>
          <w:lang w:eastAsia="uk-UA"/>
        </w:rPr>
        <w:t xml:space="preserve">Вплив використання закритих вхідних даних (3-го </w:t>
      </w:r>
      <w:proofErr w:type="gramStart"/>
      <w:r w:rsidRPr="0018493C">
        <w:rPr>
          <w:b/>
          <w:bCs/>
          <w:color w:val="auto"/>
          <w:spacing w:val="-2"/>
          <w:sz w:val="20"/>
          <w:lang w:eastAsia="uk-UA"/>
        </w:rPr>
        <w:t>р</w:t>
      </w:r>
      <w:proofErr w:type="gramEnd"/>
      <w:r w:rsidRPr="0018493C">
        <w:rPr>
          <w:b/>
          <w:bCs/>
          <w:color w:val="auto"/>
          <w:spacing w:val="-2"/>
          <w:sz w:val="20"/>
          <w:lang w:eastAsia="uk-UA"/>
        </w:rPr>
        <w:t>івня) для періодичних оцінок справедливої вартості на прибуток або збиток</w:t>
      </w:r>
    </w:p>
    <w:p w:rsidR="00C02A15" w:rsidRPr="0018493C" w:rsidRDefault="00C02A15" w:rsidP="00C02A15">
      <w:pPr>
        <w:spacing w:after="60" w:line="300" w:lineRule="atLeast"/>
        <w:ind w:firstLine="0"/>
        <w:rPr>
          <w:color w:val="auto"/>
          <w:sz w:val="20"/>
          <w:lang w:eastAsia="uk-UA"/>
        </w:rPr>
      </w:pPr>
    </w:p>
    <w:p w:rsidR="00C02A15" w:rsidRPr="0018493C" w:rsidRDefault="00C02A15" w:rsidP="00C02A15">
      <w:pPr>
        <w:spacing w:after="60" w:line="300" w:lineRule="atLeast"/>
        <w:ind w:firstLine="0"/>
        <w:rPr>
          <w:color w:val="auto"/>
          <w:sz w:val="20"/>
          <w:lang w:eastAsia="uk-UA"/>
        </w:rPr>
      </w:pPr>
      <w:r w:rsidRPr="0018493C">
        <w:rPr>
          <w:color w:val="auto"/>
          <w:sz w:val="20"/>
          <w:lang w:eastAsia="uk-UA"/>
        </w:rPr>
        <w:t xml:space="preserve">У результаті змін ймовірності погашення та очікуваних вхідних грошових потоків (дані 3-го </w:t>
      </w:r>
      <w:proofErr w:type="gramStart"/>
      <w:r w:rsidRPr="0018493C">
        <w:rPr>
          <w:color w:val="auto"/>
          <w:sz w:val="20"/>
          <w:lang w:eastAsia="uk-UA"/>
        </w:rPr>
        <w:t>р</w:t>
      </w:r>
      <w:proofErr w:type="gramEnd"/>
      <w:r w:rsidRPr="0018493C">
        <w:rPr>
          <w:color w:val="auto"/>
          <w:sz w:val="20"/>
          <w:lang w:eastAsia="uk-UA"/>
        </w:rPr>
        <w:t xml:space="preserve">івня ієрархії) унаслідок впровадження процедури ліквідації грошові кошти на рахунку КБ «Хрещатик» було перекваліфіковано у дебіторську заборгованість та визнано знецінення дебіторської заборгованості КБ «Хрещатик» на 3596,0 тис. грн, що зменшило прибуток Товариства за звітний 2016 </w:t>
      </w:r>
      <w:proofErr w:type="gramStart"/>
      <w:r w:rsidRPr="0018493C">
        <w:rPr>
          <w:color w:val="auto"/>
          <w:sz w:val="20"/>
          <w:lang w:eastAsia="uk-UA"/>
        </w:rPr>
        <w:t>р</w:t>
      </w:r>
      <w:proofErr w:type="gramEnd"/>
      <w:r w:rsidRPr="0018493C">
        <w:rPr>
          <w:color w:val="auto"/>
          <w:sz w:val="20"/>
          <w:lang w:eastAsia="uk-UA"/>
        </w:rPr>
        <w:t>ік на аналогічну суму.</w:t>
      </w:r>
    </w:p>
    <w:p w:rsidR="00C02A15" w:rsidRPr="0018493C" w:rsidRDefault="00C02A15" w:rsidP="00C02A15">
      <w:pPr>
        <w:spacing w:before="120" w:after="120" w:line="300" w:lineRule="atLeast"/>
        <w:ind w:firstLine="0"/>
        <w:rPr>
          <w:color w:val="auto"/>
          <w:sz w:val="20"/>
          <w:lang w:eastAsia="uk-UA"/>
        </w:rPr>
      </w:pPr>
      <w:proofErr w:type="gramStart"/>
      <w:r w:rsidRPr="0018493C">
        <w:rPr>
          <w:b/>
          <w:bCs/>
          <w:color w:val="auto"/>
          <w:spacing w:val="-2"/>
          <w:sz w:val="20"/>
          <w:lang w:eastAsia="uk-UA"/>
        </w:rPr>
        <w:t>Р</w:t>
      </w:r>
      <w:proofErr w:type="gramEnd"/>
      <w:r w:rsidRPr="0018493C">
        <w:rPr>
          <w:b/>
          <w:bCs/>
          <w:color w:val="auto"/>
          <w:spacing w:val="-2"/>
          <w:sz w:val="20"/>
          <w:lang w:eastAsia="uk-UA"/>
        </w:rPr>
        <w:t>івень ієрархії справедливої вартості, до якого належать оцінки справедливої вартості</w:t>
      </w:r>
    </w:p>
    <w:tbl>
      <w:tblPr>
        <w:tblW w:w="10031" w:type="dxa"/>
        <w:tblLayout w:type="fixed"/>
        <w:tblCellMar>
          <w:left w:w="0" w:type="dxa"/>
          <w:right w:w="0" w:type="dxa"/>
        </w:tblCellMar>
        <w:tblLook w:val="04A0" w:firstRow="1" w:lastRow="0" w:firstColumn="1" w:lastColumn="0" w:noHBand="0" w:noVBand="1"/>
      </w:tblPr>
      <w:tblGrid>
        <w:gridCol w:w="2093"/>
        <w:gridCol w:w="992"/>
        <w:gridCol w:w="992"/>
        <w:gridCol w:w="993"/>
        <w:gridCol w:w="992"/>
        <w:gridCol w:w="992"/>
        <w:gridCol w:w="992"/>
        <w:gridCol w:w="993"/>
        <w:gridCol w:w="992"/>
      </w:tblGrid>
      <w:tr w:rsidR="0018493C" w:rsidRPr="0018493C" w:rsidTr="00F36D40">
        <w:tc>
          <w:tcPr>
            <w:tcW w:w="2093"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02A15" w:rsidRPr="0018493C" w:rsidRDefault="00C02A15" w:rsidP="00F36D40">
            <w:pPr>
              <w:spacing w:after="0" w:line="240" w:lineRule="auto"/>
              <w:ind w:firstLine="0"/>
              <w:rPr>
                <w:color w:val="auto"/>
                <w:sz w:val="20"/>
                <w:lang w:eastAsia="uk-UA"/>
              </w:rPr>
            </w:pPr>
            <w:r w:rsidRPr="0018493C">
              <w:rPr>
                <w:color w:val="auto"/>
                <w:sz w:val="20"/>
                <w:lang w:eastAsia="uk-UA"/>
              </w:rPr>
              <w:t xml:space="preserve">Класи активів та зобов’язань, оцінених за </w:t>
            </w:r>
            <w:proofErr w:type="gramStart"/>
            <w:r w:rsidRPr="0018493C">
              <w:rPr>
                <w:color w:val="auto"/>
                <w:sz w:val="20"/>
                <w:lang w:eastAsia="uk-UA"/>
              </w:rPr>
              <w:t>справедливою</w:t>
            </w:r>
            <w:proofErr w:type="gramEnd"/>
            <w:r w:rsidRPr="0018493C">
              <w:rPr>
                <w:color w:val="auto"/>
                <w:sz w:val="20"/>
                <w:lang w:eastAsia="uk-UA"/>
              </w:rPr>
              <w:t xml:space="preserve"> вартістю</w:t>
            </w:r>
          </w:p>
        </w:tc>
        <w:tc>
          <w:tcPr>
            <w:tcW w:w="198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2A15" w:rsidRPr="0018493C" w:rsidRDefault="00C02A15" w:rsidP="00F36D40">
            <w:pPr>
              <w:spacing w:after="0" w:line="240" w:lineRule="auto"/>
              <w:ind w:firstLine="0"/>
              <w:rPr>
                <w:color w:val="auto"/>
                <w:sz w:val="20"/>
                <w:lang w:eastAsia="uk-UA"/>
              </w:rPr>
            </w:pPr>
            <w:r w:rsidRPr="0018493C">
              <w:rPr>
                <w:b/>
                <w:bCs/>
                <w:color w:val="auto"/>
                <w:sz w:val="20"/>
                <w:lang w:eastAsia="uk-UA"/>
              </w:rPr>
              <w:t xml:space="preserve">1 </w:t>
            </w:r>
            <w:proofErr w:type="gramStart"/>
            <w:r w:rsidRPr="0018493C">
              <w:rPr>
                <w:b/>
                <w:bCs/>
                <w:color w:val="auto"/>
                <w:sz w:val="20"/>
                <w:lang w:eastAsia="uk-UA"/>
              </w:rPr>
              <w:t>р</w:t>
            </w:r>
            <w:proofErr w:type="gramEnd"/>
            <w:r w:rsidRPr="0018493C">
              <w:rPr>
                <w:b/>
                <w:bCs/>
                <w:color w:val="auto"/>
                <w:sz w:val="20"/>
                <w:lang w:eastAsia="uk-UA"/>
              </w:rPr>
              <w:t>івень</w:t>
            </w:r>
          </w:p>
          <w:p w:rsidR="00C02A15" w:rsidRPr="0018493C" w:rsidRDefault="00C02A15" w:rsidP="00F36D40">
            <w:pPr>
              <w:spacing w:after="0" w:line="240" w:lineRule="auto"/>
              <w:ind w:firstLine="0"/>
              <w:rPr>
                <w:color w:val="auto"/>
                <w:sz w:val="20"/>
                <w:lang w:eastAsia="uk-UA"/>
              </w:rPr>
            </w:pPr>
            <w:r w:rsidRPr="0018493C">
              <w:rPr>
                <w:color w:val="auto"/>
                <w:sz w:val="20"/>
                <w:lang w:eastAsia="uk-UA"/>
              </w:rPr>
              <w:t>(ті, що мають котирування, та спостережувані)</w:t>
            </w:r>
          </w:p>
        </w:tc>
        <w:tc>
          <w:tcPr>
            <w:tcW w:w="1985"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2A15" w:rsidRPr="0018493C" w:rsidRDefault="00C02A15" w:rsidP="00F36D40">
            <w:pPr>
              <w:spacing w:after="0" w:line="240" w:lineRule="auto"/>
              <w:ind w:firstLine="0"/>
              <w:rPr>
                <w:color w:val="auto"/>
                <w:sz w:val="20"/>
                <w:lang w:eastAsia="uk-UA"/>
              </w:rPr>
            </w:pPr>
            <w:r w:rsidRPr="0018493C">
              <w:rPr>
                <w:b/>
                <w:bCs/>
                <w:color w:val="auto"/>
                <w:sz w:val="20"/>
                <w:lang w:eastAsia="uk-UA"/>
              </w:rPr>
              <w:t xml:space="preserve">2 </w:t>
            </w:r>
            <w:proofErr w:type="gramStart"/>
            <w:r w:rsidRPr="0018493C">
              <w:rPr>
                <w:b/>
                <w:bCs/>
                <w:color w:val="auto"/>
                <w:sz w:val="20"/>
                <w:lang w:eastAsia="uk-UA"/>
              </w:rPr>
              <w:t>р</w:t>
            </w:r>
            <w:proofErr w:type="gramEnd"/>
            <w:r w:rsidRPr="0018493C">
              <w:rPr>
                <w:b/>
                <w:bCs/>
                <w:color w:val="auto"/>
                <w:sz w:val="20"/>
                <w:lang w:eastAsia="uk-UA"/>
              </w:rPr>
              <w:t>івень</w:t>
            </w:r>
          </w:p>
          <w:p w:rsidR="00C02A15" w:rsidRPr="0018493C" w:rsidRDefault="00C02A15" w:rsidP="00F36D40">
            <w:pPr>
              <w:spacing w:after="0" w:line="240" w:lineRule="auto"/>
              <w:ind w:firstLine="0"/>
              <w:rPr>
                <w:color w:val="auto"/>
                <w:sz w:val="20"/>
                <w:lang w:eastAsia="uk-UA"/>
              </w:rPr>
            </w:pPr>
            <w:r w:rsidRPr="0018493C">
              <w:rPr>
                <w:color w:val="auto"/>
                <w:sz w:val="20"/>
                <w:lang w:eastAsia="uk-UA"/>
              </w:rPr>
              <w:t>(ті, що не мають котирувань, але спостережувані)</w:t>
            </w:r>
          </w:p>
        </w:tc>
        <w:tc>
          <w:tcPr>
            <w:tcW w:w="198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2A15" w:rsidRPr="0018493C" w:rsidRDefault="00C02A15" w:rsidP="00F36D40">
            <w:pPr>
              <w:spacing w:after="0" w:line="240" w:lineRule="auto"/>
              <w:ind w:firstLine="0"/>
              <w:rPr>
                <w:color w:val="auto"/>
                <w:sz w:val="20"/>
                <w:lang w:eastAsia="uk-UA"/>
              </w:rPr>
            </w:pPr>
            <w:r w:rsidRPr="0018493C">
              <w:rPr>
                <w:b/>
                <w:bCs/>
                <w:color w:val="auto"/>
                <w:sz w:val="20"/>
                <w:lang w:eastAsia="uk-UA"/>
              </w:rPr>
              <w:t xml:space="preserve">3 </w:t>
            </w:r>
            <w:proofErr w:type="gramStart"/>
            <w:r w:rsidRPr="0018493C">
              <w:rPr>
                <w:b/>
                <w:bCs/>
                <w:color w:val="auto"/>
                <w:sz w:val="20"/>
                <w:lang w:eastAsia="uk-UA"/>
              </w:rPr>
              <w:t>р</w:t>
            </w:r>
            <w:proofErr w:type="gramEnd"/>
            <w:r w:rsidRPr="0018493C">
              <w:rPr>
                <w:b/>
                <w:bCs/>
                <w:color w:val="auto"/>
                <w:sz w:val="20"/>
                <w:lang w:eastAsia="uk-UA"/>
              </w:rPr>
              <w:t>івень</w:t>
            </w:r>
          </w:p>
          <w:p w:rsidR="00C02A15" w:rsidRPr="0018493C" w:rsidRDefault="00C02A15" w:rsidP="00F36D40">
            <w:pPr>
              <w:spacing w:after="0" w:line="240" w:lineRule="auto"/>
              <w:ind w:firstLine="0"/>
              <w:rPr>
                <w:color w:val="auto"/>
                <w:sz w:val="20"/>
                <w:lang w:eastAsia="uk-UA"/>
              </w:rPr>
            </w:pPr>
            <w:r w:rsidRPr="0018493C">
              <w:rPr>
                <w:color w:val="auto"/>
                <w:sz w:val="20"/>
                <w:lang w:eastAsia="uk-UA"/>
              </w:rPr>
              <w:t>(ті, що не мають котирувань і не є спостережуваними)</w:t>
            </w:r>
          </w:p>
        </w:tc>
        <w:tc>
          <w:tcPr>
            <w:tcW w:w="1985"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02A15" w:rsidRPr="0018493C" w:rsidRDefault="00C02A15" w:rsidP="00BC538B">
            <w:pPr>
              <w:spacing w:after="60" w:line="300" w:lineRule="atLeast"/>
              <w:jc w:val="center"/>
              <w:rPr>
                <w:color w:val="auto"/>
                <w:sz w:val="20"/>
                <w:lang w:eastAsia="uk-UA"/>
              </w:rPr>
            </w:pPr>
            <w:r w:rsidRPr="0018493C">
              <w:rPr>
                <w:b/>
                <w:bCs/>
                <w:color w:val="auto"/>
                <w:sz w:val="20"/>
                <w:lang w:eastAsia="uk-UA"/>
              </w:rPr>
              <w:t> </w:t>
            </w:r>
          </w:p>
          <w:p w:rsidR="00C02A15" w:rsidRPr="0018493C" w:rsidRDefault="00C02A15" w:rsidP="00F36D40">
            <w:pPr>
              <w:spacing w:after="60" w:line="300" w:lineRule="atLeast"/>
              <w:ind w:firstLine="0"/>
              <w:rPr>
                <w:color w:val="auto"/>
                <w:sz w:val="20"/>
                <w:lang w:eastAsia="uk-UA"/>
              </w:rPr>
            </w:pPr>
            <w:r w:rsidRPr="0018493C">
              <w:rPr>
                <w:b/>
                <w:bCs/>
                <w:color w:val="auto"/>
                <w:sz w:val="20"/>
                <w:lang w:eastAsia="uk-UA"/>
              </w:rPr>
              <w:t>Усього</w:t>
            </w:r>
          </w:p>
        </w:tc>
      </w:tr>
      <w:tr w:rsidR="00C71D23" w:rsidRPr="0018493C" w:rsidTr="00F36D40">
        <w:tc>
          <w:tcPr>
            <w:tcW w:w="2093" w:type="dxa"/>
            <w:vMerge/>
            <w:tcBorders>
              <w:top w:val="single" w:sz="8" w:space="0" w:color="auto"/>
              <w:left w:val="single" w:sz="8" w:space="0" w:color="auto"/>
              <w:bottom w:val="single" w:sz="8" w:space="0" w:color="auto"/>
              <w:right w:val="single" w:sz="8" w:space="0" w:color="auto"/>
            </w:tcBorders>
            <w:vAlign w:val="center"/>
            <w:hideMark/>
          </w:tcPr>
          <w:p w:rsidR="00C71D23" w:rsidRPr="0018493C" w:rsidRDefault="00C71D23" w:rsidP="00BC538B">
            <w:pPr>
              <w:spacing w:after="0" w:line="240" w:lineRule="auto"/>
              <w:rPr>
                <w:color w:val="auto"/>
                <w:sz w:val="20"/>
                <w:lang w:eastAsia="uk-UA"/>
              </w:rPr>
            </w:pP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val="uk-UA" w:eastAsia="uk-UA"/>
              </w:rPr>
            </w:pPr>
            <w:r w:rsidRPr="0018493C">
              <w:rPr>
                <w:color w:val="auto"/>
                <w:sz w:val="20"/>
                <w:lang w:eastAsia="uk-UA"/>
              </w:rPr>
              <w:t>201</w:t>
            </w:r>
            <w:r>
              <w:rPr>
                <w:color w:val="auto"/>
                <w:sz w:val="20"/>
                <w:lang w:val="uk-UA" w:eastAsia="uk-UA"/>
              </w:rPr>
              <w:t>7</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val="uk-UA" w:eastAsia="uk-UA"/>
              </w:rPr>
            </w:pPr>
            <w:r w:rsidRPr="0018493C">
              <w:rPr>
                <w:color w:val="auto"/>
                <w:sz w:val="20"/>
                <w:lang w:eastAsia="uk-UA"/>
              </w:rPr>
              <w:t>201</w:t>
            </w:r>
            <w:r>
              <w:rPr>
                <w:color w:val="auto"/>
                <w:sz w:val="20"/>
                <w:lang w:val="uk-UA" w:eastAsia="uk-UA"/>
              </w:rPr>
              <w:t>6</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201</w:t>
            </w:r>
            <w:r>
              <w:rPr>
                <w:color w:val="auto"/>
                <w:sz w:val="20"/>
                <w:lang w:val="uk-UA" w:eastAsia="uk-UA"/>
              </w:rPr>
              <w:t>7</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201</w:t>
            </w:r>
            <w:r>
              <w:rPr>
                <w:color w:val="auto"/>
                <w:sz w:val="20"/>
                <w:lang w:val="uk-UA" w:eastAsia="uk-UA"/>
              </w:rPr>
              <w:t>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201</w:t>
            </w:r>
            <w:r>
              <w:rPr>
                <w:color w:val="auto"/>
                <w:sz w:val="20"/>
                <w:lang w:val="uk-UA" w:eastAsia="uk-UA"/>
              </w:rPr>
              <w:t>7</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201</w:t>
            </w:r>
            <w:r>
              <w:rPr>
                <w:color w:val="auto"/>
                <w:sz w:val="20"/>
                <w:lang w:val="uk-UA" w:eastAsia="uk-UA"/>
              </w:rPr>
              <w:t>6</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201</w:t>
            </w:r>
            <w:r>
              <w:rPr>
                <w:color w:val="auto"/>
                <w:sz w:val="20"/>
                <w:lang w:val="uk-UA" w:eastAsia="uk-UA"/>
              </w:rPr>
              <w:t>7</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201</w:t>
            </w:r>
            <w:r>
              <w:rPr>
                <w:color w:val="auto"/>
                <w:sz w:val="20"/>
                <w:lang w:val="uk-UA" w:eastAsia="uk-UA"/>
              </w:rPr>
              <w:t>6</w:t>
            </w:r>
          </w:p>
        </w:tc>
      </w:tr>
      <w:tr w:rsidR="00C71D23" w:rsidRPr="0018493C" w:rsidTr="00F36D40">
        <w:tc>
          <w:tcPr>
            <w:tcW w:w="2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1D23" w:rsidRPr="0018493C" w:rsidRDefault="00C71D23" w:rsidP="00F36D40">
            <w:pPr>
              <w:spacing w:after="60" w:line="300" w:lineRule="atLeast"/>
              <w:ind w:firstLine="0"/>
              <w:rPr>
                <w:color w:val="auto"/>
                <w:sz w:val="20"/>
                <w:lang w:eastAsia="uk-UA"/>
              </w:rPr>
            </w:pPr>
            <w:r w:rsidRPr="0018493C">
              <w:rPr>
                <w:color w:val="auto"/>
                <w:sz w:val="20"/>
                <w:lang w:eastAsia="uk-UA"/>
              </w:rPr>
              <w:t>Дата оцінки</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val="uk-UA" w:eastAsia="uk-UA"/>
              </w:rPr>
            </w:pPr>
            <w:r w:rsidRPr="0018493C">
              <w:rPr>
                <w:color w:val="auto"/>
                <w:sz w:val="20"/>
                <w:lang w:eastAsia="uk-UA"/>
              </w:rPr>
              <w:t>31.12.1</w:t>
            </w:r>
            <w:r>
              <w:rPr>
                <w:color w:val="auto"/>
                <w:sz w:val="20"/>
                <w:lang w:val="uk-UA" w:eastAsia="uk-UA"/>
              </w:rPr>
              <w:t>7</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val="uk-UA" w:eastAsia="uk-UA"/>
              </w:rPr>
            </w:pPr>
            <w:r w:rsidRPr="0018493C">
              <w:rPr>
                <w:color w:val="auto"/>
                <w:sz w:val="20"/>
                <w:lang w:eastAsia="uk-UA"/>
              </w:rPr>
              <w:t>31.12.1</w:t>
            </w:r>
            <w:r>
              <w:rPr>
                <w:color w:val="auto"/>
                <w:sz w:val="20"/>
                <w:lang w:val="uk-UA" w:eastAsia="uk-UA"/>
              </w:rPr>
              <w:t>6</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31.12.1</w:t>
            </w:r>
            <w:r>
              <w:rPr>
                <w:color w:val="auto"/>
                <w:sz w:val="20"/>
                <w:lang w:val="uk-UA" w:eastAsia="uk-UA"/>
              </w:rPr>
              <w:t>7</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31.12.1</w:t>
            </w:r>
            <w:r>
              <w:rPr>
                <w:color w:val="auto"/>
                <w:sz w:val="20"/>
                <w:lang w:val="uk-UA" w:eastAsia="uk-UA"/>
              </w:rPr>
              <w:t>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31.12.1</w:t>
            </w:r>
            <w:r>
              <w:rPr>
                <w:color w:val="auto"/>
                <w:sz w:val="20"/>
                <w:lang w:val="uk-UA" w:eastAsia="uk-UA"/>
              </w:rPr>
              <w:t>7</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31.12.1</w:t>
            </w:r>
            <w:r>
              <w:rPr>
                <w:color w:val="auto"/>
                <w:sz w:val="20"/>
                <w:lang w:val="uk-UA" w:eastAsia="uk-UA"/>
              </w:rPr>
              <w:t>6</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31.12.1</w:t>
            </w:r>
            <w:r>
              <w:rPr>
                <w:color w:val="auto"/>
                <w:sz w:val="20"/>
                <w:lang w:val="uk-UA" w:eastAsia="uk-UA"/>
              </w:rPr>
              <w:t>7</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2E68B4">
            <w:pPr>
              <w:spacing w:after="60" w:line="300" w:lineRule="atLeast"/>
              <w:ind w:firstLine="0"/>
              <w:rPr>
                <w:color w:val="auto"/>
                <w:sz w:val="20"/>
                <w:lang w:val="uk-UA" w:eastAsia="uk-UA"/>
              </w:rPr>
            </w:pPr>
            <w:r w:rsidRPr="0018493C">
              <w:rPr>
                <w:color w:val="auto"/>
                <w:sz w:val="20"/>
                <w:lang w:eastAsia="uk-UA"/>
              </w:rPr>
              <w:t>31.12.1</w:t>
            </w:r>
            <w:r>
              <w:rPr>
                <w:color w:val="auto"/>
                <w:sz w:val="20"/>
                <w:lang w:val="uk-UA" w:eastAsia="uk-UA"/>
              </w:rPr>
              <w:t>6</w:t>
            </w:r>
          </w:p>
        </w:tc>
      </w:tr>
      <w:tr w:rsidR="00C71D23" w:rsidRPr="0018493C" w:rsidTr="00F36D40">
        <w:tc>
          <w:tcPr>
            <w:tcW w:w="2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1D23" w:rsidRPr="0018493C" w:rsidRDefault="00C71D23" w:rsidP="00F36D40">
            <w:pPr>
              <w:spacing w:after="60" w:line="240" w:lineRule="auto"/>
              <w:ind w:firstLine="0"/>
              <w:rPr>
                <w:color w:val="auto"/>
                <w:sz w:val="20"/>
                <w:lang w:eastAsia="uk-UA"/>
              </w:rPr>
            </w:pPr>
            <w:r w:rsidRPr="0018493C">
              <w:rPr>
                <w:color w:val="auto"/>
                <w:spacing w:val="-2"/>
                <w:sz w:val="20"/>
                <w:lang w:eastAsia="uk-UA"/>
              </w:rPr>
              <w:t xml:space="preserve">Інвестиції доступні </w:t>
            </w:r>
            <w:proofErr w:type="gramStart"/>
            <w:r w:rsidRPr="0018493C">
              <w:rPr>
                <w:color w:val="auto"/>
                <w:sz w:val="20"/>
                <w:lang w:eastAsia="uk-UA"/>
              </w:rPr>
              <w:t>для</w:t>
            </w:r>
            <w:proofErr w:type="gramEnd"/>
            <w:r w:rsidRPr="0018493C">
              <w:rPr>
                <w:color w:val="auto"/>
                <w:sz w:val="20"/>
                <w:lang w:eastAsia="uk-UA"/>
              </w:rPr>
              <w:t xml:space="preserve"> продажу</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18493C" w:rsidRDefault="00C71D23" w:rsidP="00BC538B">
            <w:pPr>
              <w:spacing w:after="0" w:line="240" w:lineRule="auto"/>
              <w:jc w:val="center"/>
              <w:rPr>
                <w:color w:val="auto"/>
                <w:sz w:val="20"/>
                <w:lang w:eastAsia="uk-UA"/>
              </w:rPr>
            </w:pPr>
            <w:r w:rsidRPr="0018493C">
              <w:rPr>
                <w:color w:val="auto"/>
                <w:sz w:val="20"/>
                <w:lang w:eastAsia="uk-UA"/>
              </w:rPr>
              <w:t>–</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18493C" w:rsidRDefault="00C71D23" w:rsidP="00BC538B">
            <w:pPr>
              <w:spacing w:after="0" w:line="240" w:lineRule="auto"/>
              <w:jc w:val="center"/>
              <w:rPr>
                <w:color w:val="auto"/>
                <w:sz w:val="20"/>
                <w:lang w:eastAsia="uk-UA"/>
              </w:rPr>
            </w:pPr>
            <w:r w:rsidRPr="0018493C">
              <w:rPr>
                <w:color w:val="auto"/>
                <w:sz w:val="20"/>
                <w:lang w:eastAsia="uk-UA"/>
              </w:rPr>
              <w:t>–</w:t>
            </w:r>
          </w:p>
        </w:tc>
        <w:tc>
          <w:tcPr>
            <w:tcW w:w="9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18493C" w:rsidRDefault="00C71D23" w:rsidP="00BC538B">
            <w:pPr>
              <w:spacing w:after="0" w:line="240" w:lineRule="auto"/>
              <w:jc w:val="center"/>
              <w:rPr>
                <w:color w:val="auto"/>
                <w:sz w:val="20"/>
                <w:lang w:eastAsia="uk-UA"/>
              </w:rPr>
            </w:pPr>
            <w:r w:rsidRPr="0018493C">
              <w:rPr>
                <w:color w:val="auto"/>
                <w:sz w:val="20"/>
                <w:lang w:eastAsia="uk-UA"/>
              </w:rPr>
              <w:t>–</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18493C" w:rsidRDefault="00C71D23" w:rsidP="00BC538B">
            <w:pPr>
              <w:spacing w:after="60" w:line="300" w:lineRule="atLeast"/>
              <w:jc w:val="center"/>
              <w:rPr>
                <w:color w:val="auto"/>
                <w:sz w:val="20"/>
                <w:lang w:eastAsia="uk-UA"/>
              </w:rPr>
            </w:pPr>
            <w:r w:rsidRPr="0018493C">
              <w:rPr>
                <w:color w:val="auto"/>
                <w:sz w:val="20"/>
                <w:lang w:eastAsia="uk-UA"/>
              </w:rPr>
              <w:t>–</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C71D23" w:rsidRDefault="00C71D23" w:rsidP="00C43611">
            <w:pPr>
              <w:spacing w:after="60" w:line="300" w:lineRule="atLeast"/>
              <w:ind w:firstLine="0"/>
              <w:rPr>
                <w:color w:val="auto"/>
                <w:sz w:val="20"/>
                <w:lang w:val="uk-UA" w:eastAsia="uk-UA"/>
              </w:rPr>
            </w:pPr>
            <w:r>
              <w:rPr>
                <w:color w:val="auto"/>
                <w:sz w:val="20"/>
                <w:lang w:val="uk-UA" w:eastAsia="uk-UA"/>
              </w:rPr>
              <w:t>-</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18493C" w:rsidRDefault="00C71D23" w:rsidP="00F36D40">
            <w:pPr>
              <w:spacing w:after="60" w:line="300" w:lineRule="atLeast"/>
              <w:ind w:firstLine="0"/>
              <w:rPr>
                <w:color w:val="auto"/>
                <w:sz w:val="20"/>
                <w:lang w:val="uk-UA" w:eastAsia="uk-UA"/>
              </w:rPr>
            </w:pPr>
            <w:r>
              <w:rPr>
                <w:color w:val="auto"/>
                <w:sz w:val="20"/>
                <w:lang w:val="uk-UA" w:eastAsia="uk-UA"/>
              </w:rPr>
              <w:t>15 000</w:t>
            </w:r>
          </w:p>
        </w:tc>
        <w:tc>
          <w:tcPr>
            <w:tcW w:w="9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C71D23" w:rsidRDefault="00C71D23" w:rsidP="00C43611">
            <w:pPr>
              <w:spacing w:after="0" w:line="240" w:lineRule="auto"/>
              <w:ind w:firstLine="0"/>
              <w:rPr>
                <w:color w:val="auto"/>
                <w:sz w:val="20"/>
                <w:lang w:val="uk-UA" w:eastAsia="uk-UA"/>
              </w:rPr>
            </w:pPr>
            <w:r>
              <w:rPr>
                <w:color w:val="auto"/>
                <w:sz w:val="20"/>
                <w:lang w:val="uk-UA" w:eastAsia="uk-UA"/>
              </w:rPr>
              <w:t>-</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18493C" w:rsidRDefault="00C71D23" w:rsidP="002E68B4">
            <w:pPr>
              <w:spacing w:after="0" w:line="240" w:lineRule="auto"/>
              <w:ind w:firstLine="0"/>
              <w:rPr>
                <w:color w:val="auto"/>
                <w:sz w:val="20"/>
                <w:lang w:eastAsia="uk-UA"/>
              </w:rPr>
            </w:pPr>
            <w:r w:rsidRPr="0018493C">
              <w:rPr>
                <w:color w:val="auto"/>
                <w:sz w:val="20"/>
                <w:lang w:eastAsia="uk-UA"/>
              </w:rPr>
              <w:t>1</w:t>
            </w:r>
            <w:r>
              <w:rPr>
                <w:color w:val="auto"/>
                <w:sz w:val="20"/>
                <w:lang w:val="uk-UA" w:eastAsia="uk-UA"/>
              </w:rPr>
              <w:t>5</w:t>
            </w:r>
            <w:r w:rsidRPr="0018493C">
              <w:rPr>
                <w:color w:val="auto"/>
                <w:sz w:val="20"/>
                <w:lang w:eastAsia="uk-UA"/>
              </w:rPr>
              <w:t xml:space="preserve"> 000</w:t>
            </w:r>
          </w:p>
        </w:tc>
      </w:tr>
    </w:tbl>
    <w:p w:rsidR="00C02A15" w:rsidRPr="0018493C" w:rsidRDefault="00C02A15" w:rsidP="00C02A15">
      <w:pPr>
        <w:spacing w:before="120" w:after="120" w:line="300" w:lineRule="atLeast"/>
        <w:ind w:firstLine="0"/>
        <w:rPr>
          <w:color w:val="auto"/>
          <w:sz w:val="20"/>
          <w:lang w:eastAsia="uk-UA"/>
        </w:rPr>
      </w:pPr>
      <w:r w:rsidRPr="0018493C">
        <w:rPr>
          <w:b/>
          <w:bCs/>
          <w:color w:val="auto"/>
          <w:spacing w:val="-2"/>
          <w:sz w:val="20"/>
          <w:lang w:eastAsia="uk-UA"/>
        </w:rPr>
        <w:t xml:space="preserve">Переміщення між 1-м та 2-м </w:t>
      </w:r>
      <w:proofErr w:type="gramStart"/>
      <w:r w:rsidRPr="0018493C">
        <w:rPr>
          <w:b/>
          <w:bCs/>
          <w:color w:val="auto"/>
          <w:spacing w:val="-2"/>
          <w:sz w:val="20"/>
          <w:lang w:eastAsia="uk-UA"/>
        </w:rPr>
        <w:t>р</w:t>
      </w:r>
      <w:proofErr w:type="gramEnd"/>
      <w:r w:rsidRPr="0018493C">
        <w:rPr>
          <w:b/>
          <w:bCs/>
          <w:color w:val="auto"/>
          <w:spacing w:val="-2"/>
          <w:sz w:val="20"/>
          <w:lang w:eastAsia="uk-UA"/>
        </w:rPr>
        <w:t>івнями ієрархії справедливої вартості</w:t>
      </w:r>
    </w:p>
    <w:p w:rsidR="00C02A15" w:rsidRPr="0018493C" w:rsidRDefault="00C02A15" w:rsidP="00C02A15">
      <w:pPr>
        <w:spacing w:after="60" w:line="300" w:lineRule="atLeast"/>
        <w:ind w:firstLine="0"/>
        <w:rPr>
          <w:color w:val="auto"/>
          <w:sz w:val="20"/>
          <w:lang w:eastAsia="uk-UA"/>
        </w:rPr>
      </w:pPr>
      <w:r w:rsidRPr="0018493C">
        <w:rPr>
          <w:color w:val="auto"/>
          <w:sz w:val="20"/>
          <w:lang w:eastAsia="uk-UA"/>
        </w:rPr>
        <w:t>У 201</w:t>
      </w:r>
      <w:r w:rsidR="00C71D23">
        <w:rPr>
          <w:color w:val="auto"/>
          <w:sz w:val="20"/>
          <w:lang w:val="uk-UA" w:eastAsia="uk-UA"/>
        </w:rPr>
        <w:t>7</w:t>
      </w:r>
      <w:r w:rsidRPr="0018493C">
        <w:rPr>
          <w:color w:val="auto"/>
          <w:sz w:val="20"/>
          <w:lang w:eastAsia="uk-UA"/>
        </w:rPr>
        <w:t xml:space="preserve"> та 201</w:t>
      </w:r>
      <w:r w:rsidR="00C71D23">
        <w:rPr>
          <w:color w:val="auto"/>
          <w:sz w:val="20"/>
          <w:lang w:val="uk-UA" w:eastAsia="uk-UA"/>
        </w:rPr>
        <w:t>6</w:t>
      </w:r>
      <w:r w:rsidRPr="0018493C">
        <w:rPr>
          <w:color w:val="auto"/>
          <w:sz w:val="20"/>
          <w:lang w:eastAsia="uk-UA"/>
        </w:rPr>
        <w:t xml:space="preserve"> роках переведень між </w:t>
      </w:r>
      <w:proofErr w:type="gramStart"/>
      <w:r w:rsidRPr="0018493C">
        <w:rPr>
          <w:color w:val="auto"/>
          <w:sz w:val="20"/>
          <w:lang w:eastAsia="uk-UA"/>
        </w:rPr>
        <w:t>р</w:t>
      </w:r>
      <w:proofErr w:type="gramEnd"/>
      <w:r w:rsidRPr="0018493C">
        <w:rPr>
          <w:color w:val="auto"/>
          <w:sz w:val="20"/>
          <w:lang w:eastAsia="uk-UA"/>
        </w:rPr>
        <w:t>івнями ієрархії не було.</w:t>
      </w:r>
    </w:p>
    <w:p w:rsidR="00F36D40" w:rsidRDefault="00F36D40" w:rsidP="00C02A15">
      <w:pPr>
        <w:spacing w:before="120" w:after="120" w:line="300" w:lineRule="atLeast"/>
        <w:ind w:firstLine="0"/>
        <w:rPr>
          <w:b/>
          <w:bCs/>
          <w:color w:val="auto"/>
          <w:spacing w:val="-2"/>
          <w:sz w:val="20"/>
          <w:lang w:val="uk-UA" w:eastAsia="uk-UA"/>
        </w:rPr>
      </w:pPr>
    </w:p>
    <w:p w:rsidR="00C71D23" w:rsidRPr="00C71D23" w:rsidRDefault="00C71D23" w:rsidP="00C71D23">
      <w:pPr>
        <w:spacing w:after="60" w:line="300" w:lineRule="atLeast"/>
        <w:ind w:firstLine="0"/>
        <w:rPr>
          <w:b/>
          <w:color w:val="auto"/>
          <w:sz w:val="20"/>
          <w:lang w:eastAsia="uk-UA"/>
        </w:rPr>
      </w:pPr>
      <w:r w:rsidRPr="00C71D23">
        <w:rPr>
          <w:b/>
          <w:color w:val="auto"/>
          <w:sz w:val="20"/>
          <w:lang w:eastAsia="uk-UA"/>
        </w:rPr>
        <w:t xml:space="preserve">Рух активів, що оцінюються за справедливою вартістю з використанням вхідних даних 3-го </w:t>
      </w:r>
      <w:proofErr w:type="gramStart"/>
      <w:r w:rsidRPr="00C71D23">
        <w:rPr>
          <w:b/>
          <w:color w:val="auto"/>
          <w:sz w:val="20"/>
          <w:lang w:eastAsia="uk-UA"/>
        </w:rPr>
        <w:t>р</w:t>
      </w:r>
      <w:proofErr w:type="gramEnd"/>
      <w:r w:rsidRPr="00C71D23">
        <w:rPr>
          <w:b/>
          <w:color w:val="auto"/>
          <w:sz w:val="20"/>
          <w:lang w:eastAsia="uk-UA"/>
        </w:rPr>
        <w:t>івня ієрархії</w:t>
      </w:r>
    </w:p>
    <w:tbl>
      <w:tblPr>
        <w:tblW w:w="0" w:type="auto"/>
        <w:tblCellMar>
          <w:left w:w="0" w:type="dxa"/>
          <w:right w:w="0" w:type="dxa"/>
        </w:tblCellMar>
        <w:tblLook w:val="04A0" w:firstRow="1" w:lastRow="0" w:firstColumn="1" w:lastColumn="0" w:noHBand="0" w:noVBand="1"/>
      </w:tblPr>
      <w:tblGrid>
        <w:gridCol w:w="1781"/>
        <w:gridCol w:w="1698"/>
        <w:gridCol w:w="2425"/>
        <w:gridCol w:w="1190"/>
        <w:gridCol w:w="1366"/>
        <w:gridCol w:w="1394"/>
      </w:tblGrid>
      <w:tr w:rsidR="00C71D23" w:rsidRPr="00C71D23" w:rsidTr="002E68B4">
        <w:tc>
          <w:tcPr>
            <w:tcW w:w="17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lastRenderedPageBreak/>
              <w:t xml:space="preserve">Класи активів, оцінених за справедливою вартістю з використанням 3-го </w:t>
            </w:r>
            <w:proofErr w:type="gramStart"/>
            <w:r w:rsidRPr="00C71D23">
              <w:rPr>
                <w:color w:val="auto"/>
                <w:sz w:val="20"/>
                <w:lang w:eastAsia="uk-UA"/>
              </w:rPr>
              <w:t>р</w:t>
            </w:r>
            <w:proofErr w:type="gramEnd"/>
            <w:r w:rsidRPr="00C71D23">
              <w:rPr>
                <w:color w:val="auto"/>
                <w:sz w:val="20"/>
                <w:lang w:eastAsia="uk-UA"/>
              </w:rPr>
              <w:t>івня ієрархії</w:t>
            </w:r>
          </w:p>
        </w:tc>
        <w:tc>
          <w:tcPr>
            <w:tcW w:w="16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Залишки станом на 31.12.2016 р.</w:t>
            </w:r>
          </w:p>
        </w:tc>
        <w:tc>
          <w:tcPr>
            <w:tcW w:w="2425" w:type="dxa"/>
            <w:tcBorders>
              <w:top w:val="single" w:sz="8" w:space="0" w:color="auto"/>
              <w:left w:val="nil"/>
              <w:bottom w:val="single" w:sz="8" w:space="0" w:color="auto"/>
              <w:right w:val="single" w:sz="4"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Придбання (продаж\погашення)</w:t>
            </w:r>
          </w:p>
        </w:tc>
        <w:tc>
          <w:tcPr>
            <w:tcW w:w="1190" w:type="dxa"/>
            <w:tcBorders>
              <w:top w:val="single" w:sz="4" w:space="0" w:color="auto"/>
              <w:left w:val="single" w:sz="4" w:space="0" w:color="auto"/>
              <w:bottom w:val="single" w:sz="4" w:space="0" w:color="auto"/>
              <w:right w:val="single" w:sz="4" w:space="0" w:color="auto"/>
            </w:tcBorders>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Переоцінка (знецінення)</w:t>
            </w:r>
          </w:p>
        </w:tc>
        <w:tc>
          <w:tcPr>
            <w:tcW w:w="136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Залишки станом на 31.12.2017 р.</w:t>
            </w:r>
          </w:p>
        </w:tc>
        <w:tc>
          <w:tcPr>
            <w:tcW w:w="1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 xml:space="preserve">Стаття (статті) у прибутку або збитку, </w:t>
            </w:r>
            <w:proofErr w:type="gramStart"/>
            <w:r w:rsidRPr="00C71D23">
              <w:rPr>
                <w:color w:val="auto"/>
                <w:sz w:val="20"/>
                <w:lang w:eastAsia="uk-UA"/>
              </w:rPr>
              <w:t>у</w:t>
            </w:r>
            <w:proofErr w:type="gramEnd"/>
            <w:r w:rsidRPr="00C71D23">
              <w:rPr>
                <w:color w:val="auto"/>
                <w:sz w:val="20"/>
                <w:lang w:eastAsia="uk-UA"/>
              </w:rPr>
              <w:t xml:space="preserve"> якій прибутки або збитки визнані</w:t>
            </w:r>
          </w:p>
        </w:tc>
      </w:tr>
      <w:tr w:rsidR="00C71D23" w:rsidRPr="00C71D23" w:rsidTr="002E68B4">
        <w:tc>
          <w:tcPr>
            <w:tcW w:w="17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 xml:space="preserve">Інвестиції доступні </w:t>
            </w:r>
            <w:proofErr w:type="gramStart"/>
            <w:r w:rsidRPr="00C71D23">
              <w:rPr>
                <w:color w:val="auto"/>
                <w:sz w:val="20"/>
                <w:lang w:eastAsia="uk-UA"/>
              </w:rPr>
              <w:t>для</w:t>
            </w:r>
            <w:proofErr w:type="gramEnd"/>
            <w:r w:rsidRPr="00C71D23">
              <w:rPr>
                <w:color w:val="auto"/>
                <w:sz w:val="20"/>
                <w:lang w:eastAsia="uk-UA"/>
              </w:rPr>
              <w:t xml:space="preserve"> продажу</w:t>
            </w:r>
          </w:p>
        </w:tc>
        <w:tc>
          <w:tcPr>
            <w:tcW w:w="16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15 000</w:t>
            </w:r>
          </w:p>
        </w:tc>
        <w:tc>
          <w:tcPr>
            <w:tcW w:w="2425" w:type="dxa"/>
            <w:tcBorders>
              <w:top w:val="nil"/>
              <w:left w:val="nil"/>
              <w:bottom w:val="single" w:sz="8" w:space="0" w:color="auto"/>
              <w:right w:val="single" w:sz="4" w:space="0" w:color="auto"/>
            </w:tcBorders>
            <w:tcMar>
              <w:top w:w="0" w:type="dxa"/>
              <w:left w:w="108" w:type="dxa"/>
              <w:bottom w:w="0" w:type="dxa"/>
              <w:right w:w="108"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(0)</w:t>
            </w:r>
          </w:p>
        </w:tc>
        <w:tc>
          <w:tcPr>
            <w:tcW w:w="1190"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(15 000)</w:t>
            </w:r>
          </w:p>
        </w:tc>
        <w:tc>
          <w:tcPr>
            <w:tcW w:w="1366"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0</w:t>
            </w:r>
          </w:p>
        </w:tc>
        <w:tc>
          <w:tcPr>
            <w:tcW w:w="13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Резерв знецінення фінансових інвестицій</w:t>
            </w:r>
          </w:p>
        </w:tc>
      </w:tr>
    </w:tbl>
    <w:p w:rsidR="00C71D23" w:rsidRPr="00C71D23" w:rsidRDefault="00C71D23" w:rsidP="00C71D23">
      <w:pPr>
        <w:spacing w:after="60" w:line="300" w:lineRule="atLeast"/>
        <w:ind w:firstLine="0"/>
        <w:rPr>
          <w:b/>
          <w:color w:val="auto"/>
          <w:sz w:val="20"/>
          <w:lang w:eastAsia="uk-UA"/>
        </w:rPr>
      </w:pPr>
      <w:r w:rsidRPr="00C71D23">
        <w:rPr>
          <w:b/>
          <w:color w:val="auto"/>
          <w:sz w:val="20"/>
          <w:lang w:eastAsia="uk-UA"/>
        </w:rPr>
        <w:t> Інші розкриття, що вимагаються МСФЗ 13 «Оцінка справедливої вартості»</w:t>
      </w:r>
    </w:p>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 xml:space="preserve">Справедлива вартість фінансових інструментів </w:t>
      </w:r>
      <w:proofErr w:type="gramStart"/>
      <w:r w:rsidRPr="00C71D23">
        <w:rPr>
          <w:color w:val="auto"/>
          <w:sz w:val="20"/>
          <w:lang w:eastAsia="uk-UA"/>
        </w:rPr>
        <w:t>в</w:t>
      </w:r>
      <w:proofErr w:type="gramEnd"/>
      <w:r w:rsidRPr="00C71D23">
        <w:rPr>
          <w:color w:val="auto"/>
          <w:sz w:val="20"/>
          <w:lang w:eastAsia="uk-UA"/>
        </w:rPr>
        <w:t xml:space="preserve"> порівнянні з їх балансовою вартістю</w:t>
      </w:r>
    </w:p>
    <w:tbl>
      <w:tblPr>
        <w:tblW w:w="11864" w:type="dxa"/>
        <w:tblInd w:w="120" w:type="dxa"/>
        <w:tblLayout w:type="fixed"/>
        <w:tblCellMar>
          <w:left w:w="0" w:type="dxa"/>
          <w:right w:w="0" w:type="dxa"/>
        </w:tblCellMar>
        <w:tblLook w:val="04A0" w:firstRow="1" w:lastRow="0" w:firstColumn="1" w:lastColumn="0" w:noHBand="0" w:noVBand="1"/>
      </w:tblPr>
      <w:tblGrid>
        <w:gridCol w:w="4315"/>
        <w:gridCol w:w="1134"/>
        <w:gridCol w:w="1275"/>
        <w:gridCol w:w="1276"/>
        <w:gridCol w:w="1276"/>
        <w:gridCol w:w="2588"/>
      </w:tblGrid>
      <w:tr w:rsidR="00C71D23" w:rsidRPr="00C71D23" w:rsidTr="002E68B4">
        <w:trPr>
          <w:trHeight w:val="336"/>
        </w:trPr>
        <w:tc>
          <w:tcPr>
            <w:tcW w:w="4315" w:type="dxa"/>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  </w:t>
            </w:r>
          </w:p>
        </w:tc>
        <w:tc>
          <w:tcPr>
            <w:tcW w:w="2409" w:type="dxa"/>
            <w:gridSpan w:val="2"/>
            <w:tcBorders>
              <w:top w:val="single" w:sz="8" w:space="0" w:color="auto"/>
              <w:left w:val="nil"/>
              <w:bottom w:val="single" w:sz="8" w:space="0" w:color="auto"/>
              <w:right w:val="single" w:sz="4"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Балансова вартість</w:t>
            </w:r>
          </w:p>
        </w:tc>
        <w:tc>
          <w:tcPr>
            <w:tcW w:w="2552" w:type="dxa"/>
            <w:gridSpan w:val="2"/>
            <w:tcBorders>
              <w:top w:val="single" w:sz="8" w:space="0" w:color="auto"/>
              <w:left w:val="single" w:sz="4" w:space="0" w:color="auto"/>
              <w:bottom w:val="single" w:sz="8" w:space="0" w:color="auto"/>
              <w:right w:val="single" w:sz="4"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Справедлива вартість</w:t>
            </w:r>
          </w:p>
        </w:tc>
        <w:tc>
          <w:tcPr>
            <w:tcW w:w="1717" w:type="dxa"/>
            <w:tcBorders>
              <w:top w:val="nil"/>
              <w:left w:val="single" w:sz="4" w:space="0" w:color="auto"/>
              <w:bottom w:val="nil"/>
              <w:right w:val="nil"/>
            </w:tcBorders>
            <w:vAlign w:val="center"/>
            <w:hideMark/>
          </w:tcPr>
          <w:p w:rsidR="00C71D23" w:rsidRPr="00C71D23" w:rsidRDefault="00C71D23" w:rsidP="00C71D23">
            <w:pPr>
              <w:spacing w:after="60" w:line="300" w:lineRule="atLeast"/>
              <w:ind w:firstLine="0"/>
              <w:rPr>
                <w:color w:val="auto"/>
                <w:sz w:val="20"/>
                <w:lang w:eastAsia="uk-UA"/>
              </w:rPr>
            </w:pPr>
          </w:p>
        </w:tc>
      </w:tr>
      <w:tr w:rsidR="00C71D23" w:rsidRPr="00C71D23" w:rsidTr="002E68B4">
        <w:trPr>
          <w:trHeight w:val="317"/>
        </w:trPr>
        <w:tc>
          <w:tcPr>
            <w:tcW w:w="4315" w:type="dxa"/>
            <w:vMerge/>
            <w:tcBorders>
              <w:top w:val="single" w:sz="8" w:space="0" w:color="auto"/>
              <w:left w:val="single" w:sz="8" w:space="0" w:color="auto"/>
              <w:bottom w:val="single" w:sz="8" w:space="0" w:color="auto"/>
              <w:right w:val="single" w:sz="8" w:space="0" w:color="auto"/>
            </w:tcBorders>
            <w:vAlign w:val="center"/>
            <w:hideMark/>
          </w:tcPr>
          <w:p w:rsidR="00C71D23" w:rsidRPr="00C71D23" w:rsidRDefault="00C71D23" w:rsidP="00C71D23">
            <w:pPr>
              <w:spacing w:after="60" w:line="300" w:lineRule="atLeast"/>
              <w:ind w:firstLine="0"/>
              <w:rPr>
                <w:color w:val="auto"/>
                <w:sz w:val="20"/>
                <w:lang w:eastAsia="uk-UA"/>
              </w:rPr>
            </w:pPr>
          </w:p>
        </w:tc>
        <w:tc>
          <w:tcPr>
            <w:tcW w:w="1134" w:type="dxa"/>
            <w:tcBorders>
              <w:top w:val="nil"/>
              <w:left w:val="nil"/>
              <w:bottom w:val="single" w:sz="8" w:space="0" w:color="auto"/>
              <w:right w:val="single" w:sz="4" w:space="0" w:color="auto"/>
            </w:tcBorders>
            <w:tcMar>
              <w:top w:w="0" w:type="dxa"/>
              <w:left w:w="40" w:type="dxa"/>
              <w:bottom w:w="0" w:type="dxa"/>
              <w:right w:w="40"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2016</w:t>
            </w:r>
          </w:p>
        </w:tc>
        <w:tc>
          <w:tcPr>
            <w:tcW w:w="1275" w:type="dxa"/>
            <w:tcBorders>
              <w:top w:val="single" w:sz="4" w:space="0" w:color="auto"/>
              <w:left w:val="single" w:sz="4" w:space="0" w:color="auto"/>
              <w:bottom w:val="single" w:sz="4" w:space="0" w:color="auto"/>
              <w:right w:val="single" w:sz="4" w:space="0" w:color="auto"/>
            </w:tcBorders>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2017</w:t>
            </w:r>
          </w:p>
        </w:tc>
        <w:tc>
          <w:tcPr>
            <w:tcW w:w="1276" w:type="dxa"/>
            <w:tcBorders>
              <w:top w:val="nil"/>
              <w:left w:val="single" w:sz="4" w:space="0" w:color="auto"/>
              <w:bottom w:val="single" w:sz="8" w:space="0" w:color="auto"/>
              <w:right w:val="single" w:sz="4" w:space="0" w:color="auto"/>
            </w:tcBorders>
            <w:tcMar>
              <w:top w:w="0" w:type="dxa"/>
              <w:left w:w="40" w:type="dxa"/>
              <w:bottom w:w="0" w:type="dxa"/>
              <w:right w:w="40" w:type="dxa"/>
            </w:tcMa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2016</w:t>
            </w:r>
          </w:p>
        </w:tc>
        <w:tc>
          <w:tcPr>
            <w:tcW w:w="1276" w:type="dxa"/>
            <w:tcBorders>
              <w:top w:val="single" w:sz="4" w:space="0" w:color="auto"/>
              <w:left w:val="single" w:sz="4" w:space="0" w:color="auto"/>
              <w:bottom w:val="single" w:sz="4" w:space="0" w:color="auto"/>
              <w:right w:val="single" w:sz="4" w:space="0" w:color="auto"/>
            </w:tcBorders>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2017</w:t>
            </w:r>
          </w:p>
        </w:tc>
        <w:tc>
          <w:tcPr>
            <w:tcW w:w="1717" w:type="dxa"/>
            <w:tcBorders>
              <w:top w:val="nil"/>
              <w:left w:val="single" w:sz="4" w:space="0" w:color="auto"/>
              <w:bottom w:val="nil"/>
              <w:right w:val="nil"/>
            </w:tcBorders>
            <w:vAlign w:val="center"/>
            <w:hideMark/>
          </w:tcPr>
          <w:p w:rsidR="00C71D23" w:rsidRPr="00C71D23" w:rsidRDefault="00C71D23" w:rsidP="00C71D23">
            <w:pPr>
              <w:spacing w:after="60" w:line="300" w:lineRule="atLeast"/>
              <w:ind w:firstLine="0"/>
              <w:rPr>
                <w:color w:val="auto"/>
                <w:sz w:val="20"/>
                <w:lang w:eastAsia="uk-UA"/>
              </w:rPr>
            </w:pPr>
          </w:p>
        </w:tc>
      </w:tr>
      <w:tr w:rsidR="00C71D23" w:rsidRPr="00C71D23" w:rsidTr="002E68B4">
        <w:trPr>
          <w:gridAfter w:val="1"/>
          <w:wAfter w:w="2588" w:type="dxa"/>
          <w:trHeight w:val="305"/>
        </w:trPr>
        <w:tc>
          <w:tcPr>
            <w:tcW w:w="4315" w:type="dxa"/>
            <w:tcBorders>
              <w:top w:val="nil"/>
              <w:left w:val="single" w:sz="8" w:space="0" w:color="auto"/>
              <w:bottom w:val="single" w:sz="8" w:space="0" w:color="auto"/>
              <w:right w:val="single" w:sz="8"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Інвестиції доступні </w:t>
            </w:r>
            <w:proofErr w:type="gramStart"/>
            <w:r w:rsidRPr="00C71D23">
              <w:rPr>
                <w:color w:val="auto"/>
                <w:sz w:val="20"/>
                <w:lang w:eastAsia="uk-UA"/>
              </w:rPr>
              <w:t>для</w:t>
            </w:r>
            <w:proofErr w:type="gramEnd"/>
            <w:r w:rsidRPr="00C71D23">
              <w:rPr>
                <w:color w:val="auto"/>
                <w:sz w:val="20"/>
                <w:lang w:eastAsia="uk-UA"/>
              </w:rPr>
              <w:t xml:space="preserve"> продажу</w:t>
            </w:r>
          </w:p>
        </w:tc>
        <w:tc>
          <w:tcPr>
            <w:tcW w:w="1134" w:type="dxa"/>
            <w:tcBorders>
              <w:top w:val="nil"/>
              <w:left w:val="nil"/>
              <w:bottom w:val="single" w:sz="8" w:space="0" w:color="auto"/>
              <w:right w:val="single" w:sz="4"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15 000</w:t>
            </w:r>
          </w:p>
        </w:tc>
        <w:tc>
          <w:tcPr>
            <w:tcW w:w="1275"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0</w:t>
            </w:r>
          </w:p>
        </w:tc>
        <w:tc>
          <w:tcPr>
            <w:tcW w:w="1276" w:type="dxa"/>
            <w:tcBorders>
              <w:top w:val="nil"/>
              <w:left w:val="single" w:sz="4" w:space="0" w:color="auto"/>
              <w:bottom w:val="single" w:sz="8" w:space="0" w:color="auto"/>
              <w:right w:val="single" w:sz="4"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15 000</w:t>
            </w:r>
          </w:p>
        </w:tc>
        <w:tc>
          <w:tcPr>
            <w:tcW w:w="1276"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0</w:t>
            </w:r>
          </w:p>
        </w:tc>
      </w:tr>
      <w:tr w:rsidR="00C71D23" w:rsidRPr="00C71D23" w:rsidTr="002E68B4">
        <w:trPr>
          <w:gridAfter w:val="1"/>
          <w:wAfter w:w="2588" w:type="dxa"/>
          <w:trHeight w:val="639"/>
        </w:trPr>
        <w:tc>
          <w:tcPr>
            <w:tcW w:w="4315" w:type="dxa"/>
            <w:tcBorders>
              <w:top w:val="nil"/>
              <w:left w:val="single" w:sz="8" w:space="0" w:color="auto"/>
              <w:bottom w:val="single" w:sz="8" w:space="0" w:color="auto"/>
              <w:right w:val="single" w:sz="8" w:space="0" w:color="auto"/>
            </w:tcBorders>
            <w:tcMar>
              <w:top w:w="0" w:type="dxa"/>
              <w:left w:w="40" w:type="dxa"/>
              <w:bottom w:w="0" w:type="dxa"/>
              <w:right w:w="40" w:type="dxa"/>
            </w:tcMar>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Торговельна дебіторська заборгованість</w:t>
            </w:r>
          </w:p>
        </w:tc>
        <w:tc>
          <w:tcPr>
            <w:tcW w:w="1134" w:type="dxa"/>
            <w:tcBorders>
              <w:top w:val="nil"/>
              <w:left w:val="nil"/>
              <w:bottom w:val="single" w:sz="8" w:space="0" w:color="auto"/>
              <w:right w:val="single" w:sz="4" w:space="0" w:color="auto"/>
            </w:tcBorders>
            <w:tcMar>
              <w:top w:w="0" w:type="dxa"/>
              <w:left w:w="40" w:type="dxa"/>
              <w:bottom w:w="0" w:type="dxa"/>
              <w:right w:w="40" w:type="dxa"/>
            </w:tcMar>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269</w:t>
            </w:r>
          </w:p>
        </w:tc>
        <w:tc>
          <w:tcPr>
            <w:tcW w:w="1275"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665</w:t>
            </w:r>
          </w:p>
        </w:tc>
        <w:tc>
          <w:tcPr>
            <w:tcW w:w="1276" w:type="dxa"/>
            <w:tcBorders>
              <w:top w:val="nil"/>
              <w:left w:val="single" w:sz="4" w:space="0" w:color="auto"/>
              <w:bottom w:val="single" w:sz="8" w:space="0" w:color="auto"/>
              <w:right w:val="single" w:sz="4" w:space="0" w:color="auto"/>
            </w:tcBorders>
            <w:tcMar>
              <w:top w:w="0" w:type="dxa"/>
              <w:left w:w="40" w:type="dxa"/>
              <w:bottom w:w="0" w:type="dxa"/>
              <w:right w:w="40" w:type="dxa"/>
            </w:tcMar>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269</w:t>
            </w:r>
          </w:p>
        </w:tc>
        <w:tc>
          <w:tcPr>
            <w:tcW w:w="1276"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665</w:t>
            </w:r>
          </w:p>
        </w:tc>
      </w:tr>
      <w:tr w:rsidR="00C71D23" w:rsidRPr="00C71D23" w:rsidTr="002E68B4">
        <w:trPr>
          <w:gridAfter w:val="1"/>
          <w:wAfter w:w="2588" w:type="dxa"/>
          <w:trHeight w:val="382"/>
        </w:trPr>
        <w:tc>
          <w:tcPr>
            <w:tcW w:w="4315" w:type="dxa"/>
            <w:tcBorders>
              <w:top w:val="nil"/>
              <w:left w:val="single" w:sz="8" w:space="0" w:color="auto"/>
              <w:bottom w:val="single" w:sz="8" w:space="0" w:color="auto"/>
              <w:right w:val="single" w:sz="8"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Грошові кошти та їх еквіваленти</w:t>
            </w:r>
          </w:p>
        </w:tc>
        <w:tc>
          <w:tcPr>
            <w:tcW w:w="1134" w:type="dxa"/>
            <w:tcBorders>
              <w:top w:val="nil"/>
              <w:left w:val="nil"/>
              <w:bottom w:val="single" w:sz="8" w:space="0" w:color="auto"/>
              <w:right w:val="single" w:sz="4"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16 628</w:t>
            </w:r>
          </w:p>
        </w:tc>
        <w:tc>
          <w:tcPr>
            <w:tcW w:w="1275"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13 567</w:t>
            </w:r>
          </w:p>
        </w:tc>
        <w:tc>
          <w:tcPr>
            <w:tcW w:w="1276" w:type="dxa"/>
            <w:tcBorders>
              <w:top w:val="nil"/>
              <w:left w:val="single" w:sz="4" w:space="0" w:color="auto"/>
              <w:bottom w:val="single" w:sz="8" w:space="0" w:color="auto"/>
              <w:right w:val="single" w:sz="4"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16 628</w:t>
            </w:r>
          </w:p>
        </w:tc>
        <w:tc>
          <w:tcPr>
            <w:tcW w:w="1276"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13 567</w:t>
            </w:r>
          </w:p>
        </w:tc>
      </w:tr>
      <w:tr w:rsidR="00C71D23" w:rsidRPr="00C71D23" w:rsidTr="002E68B4">
        <w:trPr>
          <w:gridAfter w:val="1"/>
          <w:wAfter w:w="2588" w:type="dxa"/>
          <w:trHeight w:val="418"/>
        </w:trPr>
        <w:tc>
          <w:tcPr>
            <w:tcW w:w="4315" w:type="dxa"/>
            <w:tcBorders>
              <w:top w:val="nil"/>
              <w:left w:val="single" w:sz="8" w:space="0" w:color="auto"/>
              <w:bottom w:val="single" w:sz="8" w:space="0" w:color="auto"/>
              <w:right w:val="single" w:sz="8" w:space="0" w:color="auto"/>
            </w:tcBorders>
            <w:tcMar>
              <w:top w:w="0" w:type="dxa"/>
              <w:left w:w="40" w:type="dxa"/>
              <w:bottom w:w="0" w:type="dxa"/>
              <w:right w:w="40" w:type="dxa"/>
            </w:tcMar>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Депозити (</w:t>
            </w:r>
            <w:proofErr w:type="gramStart"/>
            <w:r w:rsidRPr="00C71D23">
              <w:rPr>
                <w:color w:val="auto"/>
                <w:sz w:val="20"/>
                <w:lang w:eastAsia="uk-UA"/>
              </w:rPr>
              <w:t>кр</w:t>
            </w:r>
            <w:proofErr w:type="gramEnd"/>
            <w:r w:rsidRPr="00C71D23">
              <w:rPr>
                <w:color w:val="auto"/>
                <w:sz w:val="20"/>
                <w:lang w:eastAsia="uk-UA"/>
              </w:rPr>
              <w:t>ім депозитів до запитання)</w:t>
            </w:r>
          </w:p>
        </w:tc>
        <w:tc>
          <w:tcPr>
            <w:tcW w:w="1134" w:type="dxa"/>
            <w:tcBorders>
              <w:top w:val="nil"/>
              <w:left w:val="nil"/>
              <w:bottom w:val="single" w:sz="8" w:space="0" w:color="auto"/>
              <w:right w:val="single" w:sz="4" w:space="0" w:color="auto"/>
            </w:tcBorders>
            <w:tcMar>
              <w:top w:w="0" w:type="dxa"/>
              <w:left w:w="40" w:type="dxa"/>
              <w:bottom w:w="0" w:type="dxa"/>
              <w:right w:w="40" w:type="dxa"/>
            </w:tcMar>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19 789</w:t>
            </w:r>
          </w:p>
        </w:tc>
        <w:tc>
          <w:tcPr>
            <w:tcW w:w="1275"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19 262</w:t>
            </w:r>
          </w:p>
        </w:tc>
        <w:tc>
          <w:tcPr>
            <w:tcW w:w="1276" w:type="dxa"/>
            <w:tcBorders>
              <w:top w:val="nil"/>
              <w:left w:val="single" w:sz="4" w:space="0" w:color="auto"/>
              <w:bottom w:val="single" w:sz="8" w:space="0" w:color="auto"/>
              <w:right w:val="single" w:sz="4" w:space="0" w:color="auto"/>
            </w:tcBorders>
            <w:tcMar>
              <w:top w:w="0" w:type="dxa"/>
              <w:left w:w="40" w:type="dxa"/>
              <w:bottom w:w="0" w:type="dxa"/>
              <w:right w:w="40" w:type="dxa"/>
            </w:tcMar>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19 789</w:t>
            </w:r>
          </w:p>
        </w:tc>
        <w:tc>
          <w:tcPr>
            <w:tcW w:w="1276"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19 262</w:t>
            </w:r>
          </w:p>
        </w:tc>
      </w:tr>
      <w:tr w:rsidR="00C71D23" w:rsidRPr="00C71D23" w:rsidTr="002E68B4">
        <w:trPr>
          <w:gridAfter w:val="1"/>
          <w:wAfter w:w="2588" w:type="dxa"/>
          <w:trHeight w:val="545"/>
        </w:trPr>
        <w:tc>
          <w:tcPr>
            <w:tcW w:w="4315" w:type="dxa"/>
            <w:tcBorders>
              <w:top w:val="nil"/>
              <w:left w:val="single" w:sz="8" w:space="0" w:color="auto"/>
              <w:bottom w:val="single" w:sz="8" w:space="0" w:color="auto"/>
              <w:right w:val="single" w:sz="8"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Торговельна кредиторська заборгованість</w:t>
            </w:r>
          </w:p>
        </w:tc>
        <w:tc>
          <w:tcPr>
            <w:tcW w:w="1134" w:type="dxa"/>
            <w:tcBorders>
              <w:top w:val="nil"/>
              <w:left w:val="nil"/>
              <w:bottom w:val="single" w:sz="8" w:space="0" w:color="auto"/>
              <w:right w:val="single" w:sz="4"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5 072</w:t>
            </w:r>
          </w:p>
        </w:tc>
        <w:tc>
          <w:tcPr>
            <w:tcW w:w="1275"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5 291</w:t>
            </w:r>
          </w:p>
        </w:tc>
        <w:tc>
          <w:tcPr>
            <w:tcW w:w="1276" w:type="dxa"/>
            <w:tcBorders>
              <w:top w:val="nil"/>
              <w:left w:val="single" w:sz="4" w:space="0" w:color="auto"/>
              <w:bottom w:val="single" w:sz="8" w:space="0" w:color="auto"/>
              <w:right w:val="single" w:sz="4" w:space="0" w:color="auto"/>
            </w:tcBorders>
            <w:tcMar>
              <w:top w:w="0" w:type="dxa"/>
              <w:left w:w="40" w:type="dxa"/>
              <w:bottom w:w="0" w:type="dxa"/>
              <w:right w:w="40" w:type="dxa"/>
            </w:tcMar>
            <w:vAlign w:val="center"/>
            <w:hideMark/>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5 072</w:t>
            </w:r>
          </w:p>
        </w:tc>
        <w:tc>
          <w:tcPr>
            <w:tcW w:w="1276" w:type="dxa"/>
            <w:tcBorders>
              <w:top w:val="single" w:sz="4" w:space="0" w:color="auto"/>
              <w:left w:val="single" w:sz="4" w:space="0" w:color="auto"/>
              <w:bottom w:val="single" w:sz="4" w:space="0" w:color="auto"/>
              <w:right w:val="single" w:sz="4" w:space="0" w:color="auto"/>
            </w:tcBorders>
            <w:vAlign w:val="center"/>
          </w:tcPr>
          <w:p w:rsidR="00C71D23" w:rsidRPr="00C71D23" w:rsidRDefault="00C71D23" w:rsidP="00C71D23">
            <w:pPr>
              <w:spacing w:after="60" w:line="300" w:lineRule="atLeast"/>
              <w:ind w:firstLine="0"/>
              <w:rPr>
                <w:color w:val="auto"/>
                <w:sz w:val="20"/>
                <w:lang w:eastAsia="uk-UA"/>
              </w:rPr>
            </w:pPr>
            <w:r w:rsidRPr="00C71D23">
              <w:rPr>
                <w:color w:val="auto"/>
                <w:sz w:val="20"/>
                <w:lang w:eastAsia="uk-UA"/>
              </w:rPr>
              <w:t>5 291</w:t>
            </w:r>
          </w:p>
        </w:tc>
      </w:tr>
    </w:tbl>
    <w:p w:rsidR="00C02A15" w:rsidRPr="00C71D23" w:rsidRDefault="00C02A15" w:rsidP="00C02A15">
      <w:pPr>
        <w:spacing w:after="60" w:line="300" w:lineRule="atLeast"/>
        <w:ind w:firstLine="0"/>
        <w:rPr>
          <w:color w:val="auto"/>
          <w:sz w:val="20"/>
          <w:lang w:val="uk-UA" w:eastAsia="uk-UA"/>
        </w:rPr>
      </w:pPr>
      <w:r w:rsidRPr="00C71D23">
        <w:rPr>
          <w:color w:val="auto"/>
          <w:sz w:val="20"/>
          <w:lang w:val="uk-UA" w:eastAsia="uk-UA"/>
        </w:rPr>
        <w:t xml:space="preserve">Керівництво Товариства вважає, що наведені розкриття щодо застосування справедливої вартості є достатніми, і не вважає, що за межами фінансової звітності залишилась будь-яка суттєва інформація щодо застосування справедливої вартості, яка може бути корисною для користувачів фінансової звітності. </w:t>
      </w:r>
    </w:p>
    <w:p w:rsidR="00F36D40" w:rsidRPr="00C71D23" w:rsidRDefault="00F36D40" w:rsidP="00C02A15">
      <w:pPr>
        <w:spacing w:after="60" w:line="300" w:lineRule="atLeast"/>
        <w:ind w:firstLine="0"/>
        <w:rPr>
          <w:color w:val="auto"/>
          <w:sz w:val="20"/>
          <w:lang w:val="uk-UA" w:eastAsia="uk-UA"/>
        </w:rPr>
      </w:pPr>
    </w:p>
    <w:p w:rsidR="00110618" w:rsidRPr="0018493C" w:rsidRDefault="00110618" w:rsidP="00110618">
      <w:pPr>
        <w:pStyle w:val="2"/>
        <w:ind w:left="567" w:hanging="567"/>
      </w:pPr>
      <w:bookmarkStart w:id="27" w:name="_Toc511835065"/>
      <w:r w:rsidRPr="0018493C">
        <w:t>Інші оборотні активи</w:t>
      </w:r>
      <w:bookmarkEnd w:id="27"/>
    </w:p>
    <w:p w:rsidR="00110618" w:rsidRDefault="00110618" w:rsidP="002C6EAC">
      <w:pPr>
        <w:ind w:firstLine="0"/>
        <w:contextualSpacing/>
        <w:rPr>
          <w:color w:val="auto"/>
          <w:sz w:val="20"/>
          <w:lang w:val="uk-UA"/>
        </w:rPr>
      </w:pPr>
      <w:r w:rsidRPr="0018493C">
        <w:rPr>
          <w:color w:val="auto"/>
          <w:sz w:val="20"/>
        </w:rPr>
        <w:t xml:space="preserve">Інші оборотні активи </w:t>
      </w:r>
      <w:proofErr w:type="gramStart"/>
      <w:r w:rsidRPr="0018493C">
        <w:rPr>
          <w:color w:val="auto"/>
          <w:sz w:val="20"/>
        </w:rPr>
        <w:t>представлен</w:t>
      </w:r>
      <w:proofErr w:type="gramEnd"/>
      <w:r w:rsidRPr="0018493C">
        <w:rPr>
          <w:color w:val="auto"/>
          <w:sz w:val="20"/>
        </w:rPr>
        <w:t>і в такий спосіб:</w:t>
      </w:r>
    </w:p>
    <w:tbl>
      <w:tblPr>
        <w:tblStyle w:val="ac"/>
        <w:tblW w:w="0" w:type="auto"/>
        <w:tblLook w:val="04A0" w:firstRow="1" w:lastRow="0" w:firstColumn="1" w:lastColumn="0" w:noHBand="0" w:noVBand="1"/>
      </w:tblPr>
      <w:tblGrid>
        <w:gridCol w:w="6628"/>
        <w:gridCol w:w="1559"/>
        <w:gridCol w:w="1667"/>
      </w:tblGrid>
      <w:tr w:rsidR="00970AB1" w:rsidRPr="001A1DD1" w:rsidTr="002E68B4">
        <w:tc>
          <w:tcPr>
            <w:tcW w:w="6629" w:type="dxa"/>
          </w:tcPr>
          <w:p w:rsidR="00970AB1" w:rsidRPr="00970AB1" w:rsidRDefault="00970AB1" w:rsidP="002E68B4">
            <w:pPr>
              <w:contextualSpacing/>
              <w:rPr>
                <w:color w:val="auto"/>
                <w:sz w:val="20"/>
              </w:rPr>
            </w:pPr>
            <w:r w:rsidRPr="00970AB1">
              <w:rPr>
                <w:color w:val="auto"/>
                <w:sz w:val="20"/>
              </w:rPr>
              <w:tab/>
            </w:r>
          </w:p>
        </w:tc>
        <w:tc>
          <w:tcPr>
            <w:tcW w:w="1559" w:type="dxa"/>
          </w:tcPr>
          <w:p w:rsidR="00970AB1" w:rsidRPr="00970AB1" w:rsidRDefault="00970AB1" w:rsidP="009B5F19">
            <w:pPr>
              <w:ind w:firstLine="0"/>
              <w:contextualSpacing/>
              <w:jc w:val="center"/>
              <w:rPr>
                <w:color w:val="auto"/>
                <w:sz w:val="20"/>
              </w:rPr>
            </w:pPr>
            <w:r w:rsidRPr="00970AB1">
              <w:rPr>
                <w:color w:val="auto"/>
                <w:sz w:val="20"/>
              </w:rPr>
              <w:t>01.01.2017</w:t>
            </w:r>
          </w:p>
        </w:tc>
        <w:tc>
          <w:tcPr>
            <w:tcW w:w="1667" w:type="dxa"/>
          </w:tcPr>
          <w:p w:rsidR="00970AB1" w:rsidRPr="00970AB1" w:rsidRDefault="00970AB1" w:rsidP="009B5F19">
            <w:pPr>
              <w:ind w:firstLine="0"/>
              <w:contextualSpacing/>
              <w:jc w:val="center"/>
              <w:rPr>
                <w:color w:val="auto"/>
                <w:sz w:val="20"/>
              </w:rPr>
            </w:pPr>
            <w:r w:rsidRPr="00970AB1">
              <w:rPr>
                <w:color w:val="auto"/>
                <w:sz w:val="20"/>
              </w:rPr>
              <w:t>31.12.2017</w:t>
            </w:r>
          </w:p>
        </w:tc>
      </w:tr>
      <w:tr w:rsidR="00970AB1" w:rsidRPr="00070D1C" w:rsidTr="002E68B4">
        <w:tc>
          <w:tcPr>
            <w:tcW w:w="6629" w:type="dxa"/>
          </w:tcPr>
          <w:p w:rsidR="00970AB1" w:rsidRPr="00970AB1" w:rsidRDefault="00970AB1" w:rsidP="002E68B4">
            <w:pPr>
              <w:contextualSpacing/>
              <w:rPr>
                <w:color w:val="auto"/>
                <w:sz w:val="20"/>
              </w:rPr>
            </w:pPr>
            <w:r w:rsidRPr="00970AB1">
              <w:rPr>
                <w:color w:val="auto"/>
                <w:sz w:val="20"/>
              </w:rPr>
              <w:t>Відкладені аквізиційні витрати</w:t>
            </w:r>
          </w:p>
        </w:tc>
        <w:tc>
          <w:tcPr>
            <w:tcW w:w="1559" w:type="dxa"/>
          </w:tcPr>
          <w:p w:rsidR="00970AB1" w:rsidRPr="00970AB1" w:rsidRDefault="00970AB1" w:rsidP="009B5F19">
            <w:pPr>
              <w:contextualSpacing/>
              <w:jc w:val="center"/>
              <w:rPr>
                <w:color w:val="auto"/>
                <w:sz w:val="20"/>
              </w:rPr>
            </w:pPr>
            <w:r w:rsidRPr="00970AB1">
              <w:rPr>
                <w:color w:val="auto"/>
                <w:sz w:val="20"/>
              </w:rPr>
              <w:t>6 806</w:t>
            </w:r>
          </w:p>
        </w:tc>
        <w:tc>
          <w:tcPr>
            <w:tcW w:w="1667" w:type="dxa"/>
          </w:tcPr>
          <w:p w:rsidR="00970AB1" w:rsidRPr="00970AB1" w:rsidRDefault="00970AB1" w:rsidP="009B5F19">
            <w:pPr>
              <w:contextualSpacing/>
              <w:jc w:val="center"/>
              <w:rPr>
                <w:color w:val="auto"/>
                <w:sz w:val="20"/>
              </w:rPr>
            </w:pPr>
            <w:r w:rsidRPr="00970AB1">
              <w:rPr>
                <w:color w:val="auto"/>
                <w:sz w:val="20"/>
              </w:rPr>
              <w:t>25 102</w:t>
            </w:r>
          </w:p>
        </w:tc>
      </w:tr>
    </w:tbl>
    <w:p w:rsidR="00970AB1" w:rsidRDefault="00970AB1" w:rsidP="002C6EAC">
      <w:pPr>
        <w:ind w:firstLine="0"/>
        <w:contextualSpacing/>
        <w:rPr>
          <w:color w:val="auto"/>
          <w:sz w:val="20"/>
          <w:lang w:val="uk-UA"/>
        </w:rPr>
      </w:pPr>
    </w:p>
    <w:p w:rsidR="00970AB1" w:rsidRDefault="00970AB1" w:rsidP="002C6EAC">
      <w:pPr>
        <w:ind w:firstLine="0"/>
        <w:contextualSpacing/>
        <w:rPr>
          <w:color w:val="auto"/>
          <w:sz w:val="20"/>
          <w:lang w:val="uk-UA"/>
        </w:rPr>
      </w:pPr>
    </w:p>
    <w:p w:rsidR="00C470BA" w:rsidRPr="0018493C" w:rsidRDefault="00C470BA" w:rsidP="00C470BA">
      <w:pPr>
        <w:pStyle w:val="2"/>
        <w:ind w:left="567" w:hanging="567"/>
      </w:pPr>
      <w:bookmarkStart w:id="28" w:name="_Toc511835066"/>
      <w:r w:rsidRPr="0018493C">
        <w:t>Грошові кошти</w:t>
      </w:r>
      <w:bookmarkEnd w:id="28"/>
    </w:p>
    <w:p w:rsidR="00C470BA" w:rsidRPr="0018493C" w:rsidRDefault="00C470BA" w:rsidP="002C6EAC">
      <w:pPr>
        <w:ind w:firstLine="0"/>
        <w:contextualSpacing/>
        <w:rPr>
          <w:color w:val="auto"/>
          <w:sz w:val="20"/>
        </w:rPr>
      </w:pPr>
      <w:r w:rsidRPr="0018493C">
        <w:rPr>
          <w:color w:val="auto"/>
          <w:sz w:val="20"/>
        </w:rPr>
        <w:t xml:space="preserve">Кошти й еквіваленти по </w:t>
      </w:r>
      <w:proofErr w:type="gramStart"/>
      <w:r w:rsidRPr="0018493C">
        <w:rPr>
          <w:color w:val="auto"/>
          <w:sz w:val="20"/>
        </w:rPr>
        <w:t>валютах</w:t>
      </w:r>
      <w:proofErr w:type="gramEnd"/>
      <w:r w:rsidRPr="0018493C">
        <w:rPr>
          <w:color w:val="auto"/>
          <w:sz w:val="20"/>
        </w:rPr>
        <w:t xml:space="preserve"> представлені в такому виді:</w:t>
      </w:r>
    </w:p>
    <w:tbl>
      <w:tblPr>
        <w:tblStyle w:val="ac"/>
        <w:tblW w:w="0" w:type="auto"/>
        <w:tblLook w:val="04A0" w:firstRow="1" w:lastRow="0" w:firstColumn="1" w:lastColumn="0" w:noHBand="0" w:noVBand="1"/>
      </w:tblPr>
      <w:tblGrid>
        <w:gridCol w:w="6628"/>
        <w:gridCol w:w="1559"/>
        <w:gridCol w:w="1667"/>
      </w:tblGrid>
      <w:tr w:rsidR="009B5F19" w:rsidRPr="0018493C" w:rsidTr="009B5F19">
        <w:tc>
          <w:tcPr>
            <w:tcW w:w="6628" w:type="dxa"/>
          </w:tcPr>
          <w:p w:rsidR="009B5F19" w:rsidRPr="009B5F19" w:rsidRDefault="009B5F19" w:rsidP="002E68B4">
            <w:pPr>
              <w:contextualSpacing/>
              <w:rPr>
                <w:color w:val="auto"/>
                <w:sz w:val="20"/>
              </w:rPr>
            </w:pPr>
          </w:p>
        </w:tc>
        <w:tc>
          <w:tcPr>
            <w:tcW w:w="1559" w:type="dxa"/>
          </w:tcPr>
          <w:p w:rsidR="009B5F19" w:rsidRPr="009B5F19" w:rsidRDefault="009B5F19" w:rsidP="009B5F19">
            <w:pPr>
              <w:ind w:firstLine="0"/>
              <w:contextualSpacing/>
              <w:jc w:val="center"/>
              <w:rPr>
                <w:color w:val="auto"/>
                <w:sz w:val="20"/>
              </w:rPr>
            </w:pPr>
            <w:r w:rsidRPr="009B5F19">
              <w:rPr>
                <w:color w:val="auto"/>
                <w:sz w:val="20"/>
              </w:rPr>
              <w:t>01.01.2017</w:t>
            </w:r>
          </w:p>
        </w:tc>
        <w:tc>
          <w:tcPr>
            <w:tcW w:w="1667" w:type="dxa"/>
          </w:tcPr>
          <w:p w:rsidR="009B5F19" w:rsidRPr="009B5F19" w:rsidRDefault="009B5F19" w:rsidP="009B5F19">
            <w:pPr>
              <w:ind w:firstLine="0"/>
              <w:contextualSpacing/>
              <w:jc w:val="center"/>
              <w:rPr>
                <w:color w:val="auto"/>
                <w:sz w:val="20"/>
              </w:rPr>
            </w:pPr>
            <w:r w:rsidRPr="009B5F19">
              <w:rPr>
                <w:color w:val="auto"/>
                <w:sz w:val="20"/>
              </w:rPr>
              <w:t>31.12.2017</w:t>
            </w:r>
          </w:p>
        </w:tc>
      </w:tr>
      <w:tr w:rsidR="009B5F19" w:rsidRPr="0018493C" w:rsidTr="009B5F19">
        <w:trPr>
          <w:trHeight w:val="282"/>
        </w:trPr>
        <w:tc>
          <w:tcPr>
            <w:tcW w:w="6628" w:type="dxa"/>
          </w:tcPr>
          <w:p w:rsidR="009B5F19" w:rsidRPr="009B5F19" w:rsidRDefault="009B5F19" w:rsidP="002E68B4">
            <w:pPr>
              <w:contextualSpacing/>
              <w:rPr>
                <w:color w:val="auto"/>
                <w:sz w:val="20"/>
              </w:rPr>
            </w:pPr>
            <w:r w:rsidRPr="009B5F19">
              <w:rPr>
                <w:color w:val="auto"/>
                <w:sz w:val="20"/>
              </w:rPr>
              <w:t>Кошти в національній валюті</w:t>
            </w:r>
          </w:p>
        </w:tc>
        <w:tc>
          <w:tcPr>
            <w:tcW w:w="1559" w:type="dxa"/>
          </w:tcPr>
          <w:p w:rsidR="009B5F19" w:rsidRPr="009B5F19" w:rsidRDefault="009B5F19" w:rsidP="009B5F19">
            <w:pPr>
              <w:contextualSpacing/>
              <w:jc w:val="center"/>
              <w:rPr>
                <w:color w:val="auto"/>
                <w:sz w:val="20"/>
              </w:rPr>
            </w:pPr>
            <w:r w:rsidRPr="009B5F19">
              <w:rPr>
                <w:color w:val="auto"/>
                <w:sz w:val="20"/>
              </w:rPr>
              <w:t>14 445</w:t>
            </w:r>
          </w:p>
        </w:tc>
        <w:tc>
          <w:tcPr>
            <w:tcW w:w="1667" w:type="dxa"/>
          </w:tcPr>
          <w:p w:rsidR="009B5F19" w:rsidRPr="009B5F19" w:rsidRDefault="009B5F19" w:rsidP="009B5F19">
            <w:pPr>
              <w:contextualSpacing/>
              <w:jc w:val="center"/>
              <w:rPr>
                <w:color w:val="auto"/>
                <w:sz w:val="20"/>
              </w:rPr>
            </w:pPr>
            <w:r w:rsidRPr="009B5F19">
              <w:rPr>
                <w:color w:val="auto"/>
                <w:sz w:val="20"/>
              </w:rPr>
              <w:t>8 184</w:t>
            </w:r>
          </w:p>
        </w:tc>
      </w:tr>
      <w:tr w:rsidR="009B5F19" w:rsidRPr="0018493C" w:rsidTr="009B5F19">
        <w:tc>
          <w:tcPr>
            <w:tcW w:w="6628" w:type="dxa"/>
          </w:tcPr>
          <w:p w:rsidR="009B5F19" w:rsidRPr="009B5F19" w:rsidRDefault="009B5F19" w:rsidP="002E68B4">
            <w:pPr>
              <w:contextualSpacing/>
              <w:rPr>
                <w:color w:val="auto"/>
                <w:sz w:val="20"/>
              </w:rPr>
            </w:pPr>
            <w:r w:rsidRPr="009B5F19">
              <w:rPr>
                <w:color w:val="auto"/>
                <w:sz w:val="20"/>
              </w:rPr>
              <w:t>Кошти в іноземних валютах (в гривневому еквіваленті)</w:t>
            </w:r>
          </w:p>
        </w:tc>
        <w:tc>
          <w:tcPr>
            <w:tcW w:w="1559" w:type="dxa"/>
          </w:tcPr>
          <w:p w:rsidR="009B5F19" w:rsidRPr="009B5F19" w:rsidRDefault="009B5F19" w:rsidP="009B5F19">
            <w:pPr>
              <w:contextualSpacing/>
              <w:jc w:val="center"/>
              <w:rPr>
                <w:color w:val="auto"/>
                <w:sz w:val="20"/>
              </w:rPr>
            </w:pPr>
            <w:r w:rsidRPr="009B5F19">
              <w:rPr>
                <w:color w:val="auto"/>
                <w:sz w:val="20"/>
              </w:rPr>
              <w:t>2 183</w:t>
            </w:r>
          </w:p>
        </w:tc>
        <w:tc>
          <w:tcPr>
            <w:tcW w:w="1667" w:type="dxa"/>
          </w:tcPr>
          <w:p w:rsidR="009B5F19" w:rsidRPr="009B5F19" w:rsidRDefault="009B5F19" w:rsidP="009B5F19">
            <w:pPr>
              <w:contextualSpacing/>
              <w:jc w:val="center"/>
              <w:rPr>
                <w:color w:val="auto"/>
                <w:sz w:val="20"/>
              </w:rPr>
            </w:pPr>
            <w:r w:rsidRPr="009B5F19">
              <w:rPr>
                <w:color w:val="auto"/>
                <w:sz w:val="20"/>
              </w:rPr>
              <w:t>5 383</w:t>
            </w:r>
          </w:p>
        </w:tc>
      </w:tr>
      <w:tr w:rsidR="009B5F19" w:rsidRPr="0018493C" w:rsidTr="009B5F19">
        <w:tc>
          <w:tcPr>
            <w:tcW w:w="6628" w:type="dxa"/>
          </w:tcPr>
          <w:p w:rsidR="009B5F19" w:rsidRPr="009B5F19" w:rsidRDefault="009B5F19" w:rsidP="002E68B4">
            <w:pPr>
              <w:contextualSpacing/>
              <w:rPr>
                <w:color w:val="auto"/>
                <w:sz w:val="20"/>
              </w:rPr>
            </w:pPr>
            <w:r w:rsidRPr="009B5F19">
              <w:rPr>
                <w:color w:val="auto"/>
                <w:sz w:val="20"/>
              </w:rPr>
              <w:t>Всього поточні рахунки в банку й каса</w:t>
            </w:r>
          </w:p>
        </w:tc>
        <w:tc>
          <w:tcPr>
            <w:tcW w:w="1559" w:type="dxa"/>
          </w:tcPr>
          <w:p w:rsidR="009B5F19" w:rsidRPr="009B5F19" w:rsidRDefault="009B5F19" w:rsidP="009B5F19">
            <w:pPr>
              <w:contextualSpacing/>
              <w:jc w:val="center"/>
              <w:rPr>
                <w:color w:val="auto"/>
                <w:sz w:val="20"/>
              </w:rPr>
            </w:pPr>
            <w:r w:rsidRPr="009B5F19">
              <w:rPr>
                <w:color w:val="auto"/>
                <w:sz w:val="20"/>
              </w:rPr>
              <w:t>16 628</w:t>
            </w:r>
          </w:p>
        </w:tc>
        <w:tc>
          <w:tcPr>
            <w:tcW w:w="1667" w:type="dxa"/>
          </w:tcPr>
          <w:p w:rsidR="009B5F19" w:rsidRPr="009B5F19" w:rsidRDefault="009B5F19" w:rsidP="009B5F19">
            <w:pPr>
              <w:contextualSpacing/>
              <w:jc w:val="center"/>
              <w:rPr>
                <w:color w:val="auto"/>
                <w:sz w:val="20"/>
              </w:rPr>
            </w:pPr>
            <w:r w:rsidRPr="009B5F19">
              <w:rPr>
                <w:color w:val="auto"/>
                <w:sz w:val="20"/>
              </w:rPr>
              <w:t>13 567</w:t>
            </w:r>
          </w:p>
        </w:tc>
      </w:tr>
    </w:tbl>
    <w:p w:rsidR="00C470BA" w:rsidRPr="0018493C" w:rsidRDefault="00C470BA" w:rsidP="00C470BA">
      <w:pPr>
        <w:contextualSpacing/>
        <w:rPr>
          <w:color w:val="auto"/>
          <w:szCs w:val="24"/>
        </w:rPr>
      </w:pPr>
    </w:p>
    <w:p w:rsidR="00C470BA" w:rsidRPr="0018493C" w:rsidRDefault="00C470BA" w:rsidP="00C470BA">
      <w:pPr>
        <w:pStyle w:val="2"/>
        <w:ind w:left="567" w:hanging="567"/>
      </w:pPr>
      <w:bookmarkStart w:id="29" w:name="_Toc511835067"/>
      <w:r w:rsidRPr="0018493C">
        <w:t>Фінансові інвестиції</w:t>
      </w:r>
      <w:bookmarkEnd w:id="29"/>
    </w:p>
    <w:p w:rsidR="009B5F19" w:rsidRPr="009B5F19" w:rsidRDefault="009B5F19" w:rsidP="009B5F19">
      <w:pPr>
        <w:ind w:firstLine="0"/>
        <w:contextualSpacing/>
        <w:rPr>
          <w:color w:val="auto"/>
          <w:sz w:val="20"/>
        </w:rPr>
      </w:pPr>
      <w:r w:rsidRPr="009B5F19">
        <w:rPr>
          <w:color w:val="auto"/>
          <w:sz w:val="20"/>
        </w:rPr>
        <w:t xml:space="preserve">Фінансові інвестиції Товариства </w:t>
      </w:r>
      <w:proofErr w:type="gramStart"/>
      <w:r w:rsidRPr="009B5F19">
        <w:rPr>
          <w:color w:val="auto"/>
          <w:sz w:val="20"/>
        </w:rPr>
        <w:t>представлен</w:t>
      </w:r>
      <w:proofErr w:type="gramEnd"/>
      <w:r w:rsidRPr="009B5F19">
        <w:rPr>
          <w:color w:val="auto"/>
          <w:sz w:val="20"/>
        </w:rPr>
        <w:t>і депозитами та інвестиційними сертифікатами.</w:t>
      </w:r>
    </w:p>
    <w:p w:rsidR="009B5F19" w:rsidRPr="009B5F19" w:rsidRDefault="009B5F19" w:rsidP="009B5F19">
      <w:pPr>
        <w:ind w:firstLine="0"/>
        <w:contextualSpacing/>
        <w:rPr>
          <w:color w:val="auto"/>
          <w:sz w:val="20"/>
        </w:rPr>
      </w:pPr>
      <w:r w:rsidRPr="009B5F19">
        <w:rPr>
          <w:color w:val="auto"/>
          <w:sz w:val="20"/>
        </w:rPr>
        <w:t xml:space="preserve">Оскільки на 31.12.2017 року всі депозити розміщувалися на </w:t>
      </w:r>
      <w:proofErr w:type="gramStart"/>
      <w:r w:rsidRPr="009B5F19">
        <w:rPr>
          <w:color w:val="auto"/>
          <w:sz w:val="20"/>
        </w:rPr>
        <w:t>короткий</w:t>
      </w:r>
      <w:proofErr w:type="gramEnd"/>
      <w:r w:rsidRPr="009B5F19">
        <w:rPr>
          <w:color w:val="auto"/>
          <w:sz w:val="20"/>
        </w:rPr>
        <w:t xml:space="preserve"> строк, до 1 року, дисконтування фінансових інвестицій не проводилося.</w:t>
      </w:r>
    </w:p>
    <w:tbl>
      <w:tblPr>
        <w:tblStyle w:val="ac"/>
        <w:tblW w:w="0" w:type="auto"/>
        <w:tblLook w:val="04A0" w:firstRow="1" w:lastRow="0" w:firstColumn="1" w:lastColumn="0" w:noHBand="0" w:noVBand="1"/>
      </w:tblPr>
      <w:tblGrid>
        <w:gridCol w:w="6628"/>
        <w:gridCol w:w="1559"/>
        <w:gridCol w:w="1667"/>
      </w:tblGrid>
      <w:tr w:rsidR="009B5F19" w:rsidRPr="009B5F19" w:rsidTr="002E68B4">
        <w:tc>
          <w:tcPr>
            <w:tcW w:w="6629" w:type="dxa"/>
          </w:tcPr>
          <w:p w:rsidR="009B5F19" w:rsidRPr="009B5F19" w:rsidRDefault="009B5F19" w:rsidP="009B5F19">
            <w:pPr>
              <w:ind w:firstLine="0"/>
              <w:contextualSpacing/>
              <w:rPr>
                <w:color w:val="auto"/>
                <w:sz w:val="20"/>
              </w:rPr>
            </w:pPr>
            <w:r w:rsidRPr="009B5F19">
              <w:rPr>
                <w:color w:val="auto"/>
                <w:sz w:val="20"/>
              </w:rPr>
              <w:tab/>
            </w:r>
          </w:p>
        </w:tc>
        <w:tc>
          <w:tcPr>
            <w:tcW w:w="1559" w:type="dxa"/>
          </w:tcPr>
          <w:p w:rsidR="009B5F19" w:rsidRPr="009B5F19" w:rsidRDefault="009B5F19" w:rsidP="009B5F19">
            <w:pPr>
              <w:ind w:firstLine="0"/>
              <w:contextualSpacing/>
              <w:rPr>
                <w:color w:val="auto"/>
                <w:sz w:val="20"/>
              </w:rPr>
            </w:pPr>
            <w:r w:rsidRPr="009B5F19">
              <w:rPr>
                <w:color w:val="auto"/>
                <w:sz w:val="20"/>
              </w:rPr>
              <w:t>01.01.2017</w:t>
            </w:r>
          </w:p>
        </w:tc>
        <w:tc>
          <w:tcPr>
            <w:tcW w:w="1667" w:type="dxa"/>
          </w:tcPr>
          <w:p w:rsidR="009B5F19" w:rsidRPr="009B5F19" w:rsidRDefault="009B5F19" w:rsidP="009B5F19">
            <w:pPr>
              <w:ind w:firstLine="0"/>
              <w:contextualSpacing/>
              <w:rPr>
                <w:color w:val="auto"/>
                <w:sz w:val="20"/>
              </w:rPr>
            </w:pPr>
            <w:r w:rsidRPr="009B5F19">
              <w:rPr>
                <w:color w:val="auto"/>
                <w:sz w:val="20"/>
              </w:rPr>
              <w:t>31.12.2017</w:t>
            </w:r>
          </w:p>
        </w:tc>
      </w:tr>
      <w:tr w:rsidR="009B5F19" w:rsidRPr="009B5F19" w:rsidTr="002E68B4">
        <w:trPr>
          <w:trHeight w:val="282"/>
        </w:trPr>
        <w:tc>
          <w:tcPr>
            <w:tcW w:w="6629" w:type="dxa"/>
          </w:tcPr>
          <w:p w:rsidR="009B5F19" w:rsidRPr="009B5F19" w:rsidRDefault="009B5F19" w:rsidP="009B5F19">
            <w:pPr>
              <w:ind w:firstLine="0"/>
              <w:contextualSpacing/>
              <w:rPr>
                <w:color w:val="auto"/>
                <w:sz w:val="20"/>
              </w:rPr>
            </w:pPr>
            <w:r w:rsidRPr="009B5F19">
              <w:rPr>
                <w:color w:val="auto"/>
                <w:sz w:val="20"/>
              </w:rPr>
              <w:t>Депозити в національній валюті</w:t>
            </w:r>
          </w:p>
        </w:tc>
        <w:tc>
          <w:tcPr>
            <w:tcW w:w="1559" w:type="dxa"/>
          </w:tcPr>
          <w:p w:rsidR="009B5F19" w:rsidRPr="009B5F19" w:rsidRDefault="009B5F19" w:rsidP="009B5F19">
            <w:pPr>
              <w:ind w:firstLine="0"/>
              <w:contextualSpacing/>
              <w:rPr>
                <w:color w:val="auto"/>
                <w:sz w:val="20"/>
              </w:rPr>
            </w:pPr>
            <w:r w:rsidRPr="009B5F19">
              <w:rPr>
                <w:color w:val="auto"/>
                <w:sz w:val="20"/>
              </w:rPr>
              <w:t>10 000</w:t>
            </w:r>
          </w:p>
        </w:tc>
        <w:tc>
          <w:tcPr>
            <w:tcW w:w="1667" w:type="dxa"/>
          </w:tcPr>
          <w:p w:rsidR="009B5F19" w:rsidRPr="009B5F19" w:rsidRDefault="009B5F19" w:rsidP="009B5F19">
            <w:pPr>
              <w:ind w:firstLine="0"/>
              <w:contextualSpacing/>
              <w:rPr>
                <w:color w:val="auto"/>
                <w:sz w:val="20"/>
              </w:rPr>
            </w:pPr>
            <w:r w:rsidRPr="009B5F19">
              <w:rPr>
                <w:color w:val="auto"/>
                <w:sz w:val="20"/>
              </w:rPr>
              <w:t>10 000</w:t>
            </w:r>
          </w:p>
        </w:tc>
      </w:tr>
      <w:tr w:rsidR="009B5F19" w:rsidRPr="009B5F19" w:rsidTr="002E68B4">
        <w:tc>
          <w:tcPr>
            <w:tcW w:w="6629" w:type="dxa"/>
          </w:tcPr>
          <w:p w:rsidR="009B5F19" w:rsidRPr="009B5F19" w:rsidRDefault="009B5F19" w:rsidP="009B5F19">
            <w:pPr>
              <w:ind w:firstLine="0"/>
              <w:contextualSpacing/>
              <w:rPr>
                <w:color w:val="auto"/>
                <w:sz w:val="20"/>
              </w:rPr>
            </w:pPr>
            <w:r w:rsidRPr="009B5F19">
              <w:rPr>
                <w:color w:val="auto"/>
                <w:sz w:val="20"/>
              </w:rPr>
              <w:t>Депозити в іноземній валюті (в гривневому еквіваленті)</w:t>
            </w:r>
          </w:p>
        </w:tc>
        <w:tc>
          <w:tcPr>
            <w:tcW w:w="1559" w:type="dxa"/>
          </w:tcPr>
          <w:p w:rsidR="009B5F19" w:rsidRPr="009B5F19" w:rsidRDefault="009B5F19" w:rsidP="009B5F19">
            <w:pPr>
              <w:ind w:firstLine="0"/>
              <w:contextualSpacing/>
              <w:rPr>
                <w:color w:val="auto"/>
                <w:sz w:val="20"/>
              </w:rPr>
            </w:pPr>
            <w:r w:rsidRPr="009B5F19">
              <w:rPr>
                <w:color w:val="auto"/>
                <w:sz w:val="20"/>
              </w:rPr>
              <w:t>9 789</w:t>
            </w:r>
          </w:p>
        </w:tc>
        <w:tc>
          <w:tcPr>
            <w:tcW w:w="1667" w:type="dxa"/>
          </w:tcPr>
          <w:p w:rsidR="009B5F19" w:rsidRPr="009B5F19" w:rsidRDefault="009B5F19" w:rsidP="009B5F19">
            <w:pPr>
              <w:ind w:firstLine="0"/>
              <w:contextualSpacing/>
              <w:rPr>
                <w:color w:val="auto"/>
                <w:sz w:val="20"/>
              </w:rPr>
            </w:pPr>
            <w:r w:rsidRPr="009B5F19">
              <w:rPr>
                <w:color w:val="auto"/>
                <w:sz w:val="20"/>
              </w:rPr>
              <w:t>9 262</w:t>
            </w:r>
          </w:p>
        </w:tc>
      </w:tr>
      <w:tr w:rsidR="009B5F19" w:rsidRPr="009B5F19" w:rsidTr="002E68B4">
        <w:tc>
          <w:tcPr>
            <w:tcW w:w="6629" w:type="dxa"/>
          </w:tcPr>
          <w:p w:rsidR="009B5F19" w:rsidRPr="009B5F19" w:rsidRDefault="009B5F19" w:rsidP="009B5F19">
            <w:pPr>
              <w:ind w:firstLine="0"/>
              <w:contextualSpacing/>
              <w:rPr>
                <w:color w:val="auto"/>
                <w:sz w:val="20"/>
              </w:rPr>
            </w:pPr>
            <w:r w:rsidRPr="009B5F19">
              <w:rPr>
                <w:color w:val="auto"/>
                <w:sz w:val="20"/>
              </w:rPr>
              <w:t>Разом</w:t>
            </w:r>
          </w:p>
        </w:tc>
        <w:tc>
          <w:tcPr>
            <w:tcW w:w="1559" w:type="dxa"/>
          </w:tcPr>
          <w:p w:rsidR="009B5F19" w:rsidRPr="009B5F19" w:rsidRDefault="009B5F19" w:rsidP="009B5F19">
            <w:pPr>
              <w:ind w:firstLine="0"/>
              <w:contextualSpacing/>
              <w:rPr>
                <w:color w:val="auto"/>
                <w:sz w:val="20"/>
              </w:rPr>
            </w:pPr>
            <w:r w:rsidRPr="009B5F19">
              <w:rPr>
                <w:color w:val="auto"/>
                <w:sz w:val="20"/>
              </w:rPr>
              <w:t>19 789</w:t>
            </w:r>
          </w:p>
        </w:tc>
        <w:tc>
          <w:tcPr>
            <w:tcW w:w="1667" w:type="dxa"/>
          </w:tcPr>
          <w:p w:rsidR="009B5F19" w:rsidRPr="009B5F19" w:rsidRDefault="009B5F19" w:rsidP="009B5F19">
            <w:pPr>
              <w:ind w:firstLine="0"/>
              <w:contextualSpacing/>
              <w:rPr>
                <w:color w:val="auto"/>
                <w:sz w:val="20"/>
              </w:rPr>
            </w:pPr>
            <w:r w:rsidRPr="009B5F19">
              <w:rPr>
                <w:color w:val="auto"/>
                <w:sz w:val="20"/>
              </w:rPr>
              <w:t>19 262</w:t>
            </w:r>
          </w:p>
        </w:tc>
      </w:tr>
    </w:tbl>
    <w:p w:rsidR="009B5F19" w:rsidRPr="009B5F19" w:rsidRDefault="009B5F19" w:rsidP="009B5F19">
      <w:pPr>
        <w:ind w:firstLine="0"/>
        <w:contextualSpacing/>
        <w:rPr>
          <w:color w:val="auto"/>
          <w:sz w:val="20"/>
        </w:rPr>
      </w:pPr>
      <w:r w:rsidRPr="009B5F19">
        <w:rPr>
          <w:color w:val="auto"/>
          <w:sz w:val="20"/>
        </w:rPr>
        <w:tab/>
      </w:r>
      <w:r w:rsidRPr="009B5F19">
        <w:rPr>
          <w:color w:val="auto"/>
          <w:sz w:val="20"/>
        </w:rPr>
        <w:tab/>
      </w:r>
    </w:p>
    <w:tbl>
      <w:tblPr>
        <w:tblStyle w:val="ac"/>
        <w:tblW w:w="0" w:type="auto"/>
        <w:tblLook w:val="04A0" w:firstRow="1" w:lastRow="0" w:firstColumn="1" w:lastColumn="0" w:noHBand="0" w:noVBand="1"/>
      </w:tblPr>
      <w:tblGrid>
        <w:gridCol w:w="6628"/>
        <w:gridCol w:w="1559"/>
        <w:gridCol w:w="1667"/>
      </w:tblGrid>
      <w:tr w:rsidR="009B5F19" w:rsidRPr="009B5F19" w:rsidTr="002E68B4">
        <w:tc>
          <w:tcPr>
            <w:tcW w:w="6629" w:type="dxa"/>
          </w:tcPr>
          <w:p w:rsidR="009B5F19" w:rsidRPr="009B5F19" w:rsidRDefault="009B5F19" w:rsidP="009B5F19">
            <w:pPr>
              <w:ind w:firstLine="0"/>
              <w:contextualSpacing/>
              <w:rPr>
                <w:color w:val="auto"/>
                <w:sz w:val="20"/>
              </w:rPr>
            </w:pPr>
            <w:r w:rsidRPr="009B5F19">
              <w:rPr>
                <w:color w:val="auto"/>
                <w:sz w:val="20"/>
              </w:rPr>
              <w:tab/>
            </w:r>
          </w:p>
        </w:tc>
        <w:tc>
          <w:tcPr>
            <w:tcW w:w="1559" w:type="dxa"/>
          </w:tcPr>
          <w:p w:rsidR="009B5F19" w:rsidRPr="009B5F19" w:rsidRDefault="009B5F19" w:rsidP="009B5F19">
            <w:pPr>
              <w:ind w:firstLine="0"/>
              <w:contextualSpacing/>
              <w:rPr>
                <w:color w:val="auto"/>
                <w:sz w:val="20"/>
              </w:rPr>
            </w:pPr>
            <w:r w:rsidRPr="009B5F19">
              <w:rPr>
                <w:color w:val="auto"/>
                <w:sz w:val="20"/>
              </w:rPr>
              <w:t>01.01.2017</w:t>
            </w:r>
          </w:p>
        </w:tc>
        <w:tc>
          <w:tcPr>
            <w:tcW w:w="1667" w:type="dxa"/>
          </w:tcPr>
          <w:p w:rsidR="009B5F19" w:rsidRPr="009B5F19" w:rsidRDefault="009B5F19" w:rsidP="009B5F19">
            <w:pPr>
              <w:ind w:firstLine="0"/>
              <w:contextualSpacing/>
              <w:rPr>
                <w:color w:val="auto"/>
                <w:sz w:val="20"/>
              </w:rPr>
            </w:pPr>
            <w:r w:rsidRPr="009B5F19">
              <w:rPr>
                <w:color w:val="auto"/>
                <w:sz w:val="20"/>
              </w:rPr>
              <w:t>31.12.2017</w:t>
            </w:r>
          </w:p>
        </w:tc>
      </w:tr>
      <w:tr w:rsidR="009B5F19" w:rsidRPr="009B5F19" w:rsidTr="002E68B4">
        <w:trPr>
          <w:trHeight w:val="282"/>
        </w:trPr>
        <w:tc>
          <w:tcPr>
            <w:tcW w:w="6629" w:type="dxa"/>
          </w:tcPr>
          <w:p w:rsidR="009B5F19" w:rsidRPr="009B5F19" w:rsidRDefault="009B5F19" w:rsidP="009B5F19">
            <w:pPr>
              <w:ind w:firstLine="0"/>
              <w:contextualSpacing/>
              <w:rPr>
                <w:color w:val="auto"/>
                <w:sz w:val="20"/>
              </w:rPr>
            </w:pPr>
            <w:r w:rsidRPr="009B5F19">
              <w:rPr>
                <w:color w:val="auto"/>
                <w:sz w:val="20"/>
              </w:rPr>
              <w:t>Інвестиційні сертифікати</w:t>
            </w:r>
          </w:p>
        </w:tc>
        <w:tc>
          <w:tcPr>
            <w:tcW w:w="1559" w:type="dxa"/>
          </w:tcPr>
          <w:p w:rsidR="009B5F19" w:rsidRPr="009B5F19" w:rsidRDefault="009B5F19" w:rsidP="009B5F19">
            <w:pPr>
              <w:ind w:firstLine="0"/>
              <w:contextualSpacing/>
              <w:rPr>
                <w:color w:val="auto"/>
                <w:sz w:val="20"/>
              </w:rPr>
            </w:pPr>
            <w:r w:rsidRPr="009B5F19">
              <w:rPr>
                <w:color w:val="auto"/>
                <w:sz w:val="20"/>
              </w:rPr>
              <w:t>15 000</w:t>
            </w:r>
          </w:p>
        </w:tc>
        <w:tc>
          <w:tcPr>
            <w:tcW w:w="1667" w:type="dxa"/>
          </w:tcPr>
          <w:p w:rsidR="009B5F19" w:rsidRPr="009B5F19" w:rsidRDefault="009B5F19" w:rsidP="009B5F19">
            <w:pPr>
              <w:ind w:firstLine="0"/>
              <w:contextualSpacing/>
              <w:rPr>
                <w:color w:val="auto"/>
                <w:sz w:val="20"/>
              </w:rPr>
            </w:pPr>
            <w:r w:rsidRPr="009B5F19">
              <w:rPr>
                <w:color w:val="auto"/>
                <w:sz w:val="20"/>
              </w:rPr>
              <w:t>0</w:t>
            </w:r>
          </w:p>
        </w:tc>
      </w:tr>
    </w:tbl>
    <w:p w:rsidR="00110618" w:rsidRPr="0018493C" w:rsidRDefault="00110618" w:rsidP="00505691">
      <w:pPr>
        <w:pStyle w:val="2"/>
        <w:numPr>
          <w:ilvl w:val="0"/>
          <w:numId w:val="0"/>
        </w:numPr>
      </w:pPr>
    </w:p>
    <w:p w:rsidR="002C6EAC" w:rsidRPr="0018493C" w:rsidRDefault="002C6EAC" w:rsidP="002C6EAC">
      <w:pPr>
        <w:pStyle w:val="2"/>
        <w:ind w:left="567" w:hanging="567"/>
      </w:pPr>
      <w:bookmarkStart w:id="30" w:name="_Toc511835068"/>
      <w:r w:rsidRPr="0018493C">
        <w:t>Статутний капітал</w:t>
      </w:r>
      <w:bookmarkEnd w:id="30"/>
    </w:p>
    <w:p w:rsidR="002C6EAC" w:rsidRPr="0018493C" w:rsidRDefault="002C6EAC" w:rsidP="002C6EAC">
      <w:pPr>
        <w:ind w:firstLine="0"/>
        <w:contextualSpacing/>
        <w:rPr>
          <w:color w:val="auto"/>
          <w:sz w:val="20"/>
        </w:rPr>
      </w:pPr>
      <w:r w:rsidRPr="0018493C">
        <w:rPr>
          <w:color w:val="auto"/>
          <w:sz w:val="20"/>
        </w:rPr>
        <w:t>За станом на 31 грудня 201</w:t>
      </w:r>
      <w:r w:rsidR="009B5F19">
        <w:rPr>
          <w:color w:val="auto"/>
          <w:sz w:val="20"/>
          <w:lang w:val="uk-UA"/>
        </w:rPr>
        <w:t>7</w:t>
      </w:r>
      <w:r w:rsidRPr="0018493C">
        <w:rPr>
          <w:color w:val="auto"/>
          <w:sz w:val="20"/>
        </w:rPr>
        <w:t xml:space="preserve"> року оголошений і сплачений статутний капітал Товариства становив 5 100 тис. грн. (201</w:t>
      </w:r>
      <w:r w:rsidR="009B5F19">
        <w:rPr>
          <w:color w:val="auto"/>
          <w:sz w:val="20"/>
          <w:lang w:val="uk-UA"/>
        </w:rPr>
        <w:t>6</w:t>
      </w:r>
      <w:r w:rsidRPr="0018493C">
        <w:rPr>
          <w:color w:val="auto"/>
          <w:sz w:val="20"/>
        </w:rPr>
        <w:t xml:space="preserve"> </w:t>
      </w:r>
      <w:proofErr w:type="gramStart"/>
      <w:r w:rsidRPr="0018493C">
        <w:rPr>
          <w:color w:val="auto"/>
          <w:sz w:val="20"/>
        </w:rPr>
        <w:t>р</w:t>
      </w:r>
      <w:proofErr w:type="gramEnd"/>
      <w:r w:rsidRPr="0018493C">
        <w:rPr>
          <w:color w:val="auto"/>
          <w:sz w:val="20"/>
        </w:rPr>
        <w:t>ік -5100 тис. грн.).</w:t>
      </w:r>
    </w:p>
    <w:p w:rsidR="002C6EAC" w:rsidRPr="0018493C" w:rsidRDefault="002C6EAC" w:rsidP="002C6EAC">
      <w:pPr>
        <w:ind w:firstLine="0"/>
        <w:contextualSpacing/>
        <w:rPr>
          <w:color w:val="auto"/>
          <w:sz w:val="20"/>
        </w:rPr>
      </w:pPr>
      <w:r w:rsidRPr="0018493C">
        <w:rPr>
          <w:color w:val="auto"/>
          <w:sz w:val="20"/>
        </w:rPr>
        <w:t xml:space="preserve">У результаті придбання частки 99,9828% акцій ПрАТ «СТРАХОВА ТОВАРИСТВО «ДОВІРА ТА ГАРАНТІЯ» (код ЄДРПОУ 34240804), внаслідок чого Товариство стало материнською компанією по відношенню до ПрАТ «Страхова компанія «Довіра та Гарантія», розрахована доля неконтрольований акціонерів становила </w:t>
      </w:r>
      <w:r w:rsidR="009B5F19">
        <w:rPr>
          <w:color w:val="auto"/>
          <w:sz w:val="20"/>
          <w:lang w:val="uk-UA"/>
        </w:rPr>
        <w:t>5</w:t>
      </w:r>
      <w:r w:rsidRPr="0018493C">
        <w:rPr>
          <w:color w:val="auto"/>
          <w:sz w:val="20"/>
        </w:rPr>
        <w:t xml:space="preserve"> тис</w:t>
      </w:r>
      <w:proofErr w:type="gramStart"/>
      <w:r w:rsidRPr="0018493C">
        <w:rPr>
          <w:color w:val="auto"/>
          <w:sz w:val="20"/>
        </w:rPr>
        <w:t>.</w:t>
      </w:r>
      <w:proofErr w:type="gramEnd"/>
      <w:r w:rsidRPr="0018493C">
        <w:rPr>
          <w:color w:val="auto"/>
          <w:sz w:val="20"/>
        </w:rPr>
        <w:t xml:space="preserve"> </w:t>
      </w:r>
      <w:proofErr w:type="gramStart"/>
      <w:r w:rsidRPr="0018493C">
        <w:rPr>
          <w:color w:val="auto"/>
          <w:sz w:val="20"/>
        </w:rPr>
        <w:t>г</w:t>
      </w:r>
      <w:proofErr w:type="gramEnd"/>
      <w:r w:rsidRPr="0018493C">
        <w:rPr>
          <w:color w:val="auto"/>
          <w:sz w:val="20"/>
        </w:rPr>
        <w:t xml:space="preserve">рн. Отриманий від’ємний гудвіл відображений Товариством у Звіті з прибутків та збитків </w:t>
      </w:r>
      <w:proofErr w:type="gramStart"/>
      <w:r w:rsidRPr="0018493C">
        <w:rPr>
          <w:color w:val="auto"/>
          <w:sz w:val="20"/>
        </w:rPr>
        <w:t>у</w:t>
      </w:r>
      <w:proofErr w:type="gramEnd"/>
      <w:r w:rsidRPr="0018493C">
        <w:rPr>
          <w:color w:val="auto"/>
          <w:sz w:val="20"/>
        </w:rPr>
        <w:t xml:space="preserve"> складі доходів.</w:t>
      </w:r>
    </w:p>
    <w:p w:rsidR="002C6EAC" w:rsidRPr="0018493C" w:rsidRDefault="002C6EAC" w:rsidP="002C6EAC">
      <w:pPr>
        <w:contextualSpacing/>
        <w:rPr>
          <w:color w:val="auto"/>
          <w:sz w:val="20"/>
        </w:rPr>
      </w:pPr>
    </w:p>
    <w:p w:rsidR="002C6EAC" w:rsidRPr="0018493C" w:rsidRDefault="002C6EAC" w:rsidP="002C6EAC">
      <w:pPr>
        <w:pStyle w:val="2"/>
        <w:ind w:left="567" w:hanging="567"/>
      </w:pPr>
      <w:bookmarkStart w:id="31" w:name="_Toc511835069"/>
      <w:r w:rsidRPr="0018493C">
        <w:t>Резервний капітал</w:t>
      </w:r>
      <w:bookmarkEnd w:id="31"/>
    </w:p>
    <w:p w:rsidR="002C6EAC" w:rsidRPr="0018493C" w:rsidRDefault="002C6EAC" w:rsidP="002C6EAC">
      <w:pPr>
        <w:ind w:firstLine="0"/>
        <w:contextualSpacing/>
        <w:rPr>
          <w:color w:val="auto"/>
          <w:sz w:val="20"/>
        </w:rPr>
      </w:pPr>
      <w:r w:rsidRPr="0018493C">
        <w:rPr>
          <w:color w:val="auto"/>
          <w:sz w:val="20"/>
        </w:rPr>
        <w:t>Резервний (страховий) фонд Товариства становить не менш, ніж 25% його акціонерного капіталу. Розмі</w:t>
      </w:r>
      <w:proofErr w:type="gramStart"/>
      <w:r w:rsidRPr="0018493C">
        <w:rPr>
          <w:color w:val="auto"/>
          <w:sz w:val="20"/>
        </w:rPr>
        <w:t>р</w:t>
      </w:r>
      <w:proofErr w:type="gramEnd"/>
      <w:r w:rsidRPr="0018493C">
        <w:rPr>
          <w:color w:val="auto"/>
          <w:sz w:val="20"/>
        </w:rPr>
        <w:t xml:space="preserve"> щорічних відрахувань у резервний (страховий) фонд не може бути менше ніж 5% суми прибутку Товариства. Кошти резервного (страхового) фонду за рішенням загальних зборів можуть використовуватися на покриття збитків </w:t>
      </w:r>
      <w:proofErr w:type="gramStart"/>
      <w:r w:rsidRPr="0018493C">
        <w:rPr>
          <w:color w:val="auto"/>
          <w:sz w:val="20"/>
        </w:rPr>
        <w:t>в</w:t>
      </w:r>
      <w:proofErr w:type="gramEnd"/>
      <w:r w:rsidRPr="0018493C">
        <w:rPr>
          <w:color w:val="auto"/>
          <w:sz w:val="20"/>
        </w:rPr>
        <w:t>ід діяльності Товариства, виплату дивідендів і на інші напрямки, які не суперечать українському законодавству.</w:t>
      </w:r>
    </w:p>
    <w:p w:rsidR="002C6EAC" w:rsidRPr="0018493C" w:rsidRDefault="002C6EAC" w:rsidP="002C6EAC">
      <w:pPr>
        <w:ind w:firstLine="0"/>
        <w:contextualSpacing/>
        <w:rPr>
          <w:color w:val="auto"/>
          <w:sz w:val="20"/>
        </w:rPr>
      </w:pPr>
      <w:r w:rsidRPr="0018493C">
        <w:rPr>
          <w:color w:val="auto"/>
          <w:sz w:val="20"/>
        </w:rPr>
        <w:t xml:space="preserve">Відповідно до українського законодавства, </w:t>
      </w:r>
      <w:proofErr w:type="gramStart"/>
      <w:r w:rsidRPr="0018493C">
        <w:rPr>
          <w:color w:val="auto"/>
          <w:sz w:val="20"/>
        </w:rPr>
        <w:t>п</w:t>
      </w:r>
      <w:proofErr w:type="gramEnd"/>
      <w:r w:rsidRPr="0018493C">
        <w:rPr>
          <w:color w:val="auto"/>
          <w:sz w:val="20"/>
        </w:rPr>
        <w:t xml:space="preserve">ідприємство може розподіляти всі передбачені законом доходи у вигляді дивідендів або переносити їх у резерв, як це визначено в статуті Товариства. Наступне використання коштів, перенесених </w:t>
      </w:r>
      <w:proofErr w:type="gramStart"/>
      <w:r w:rsidRPr="0018493C">
        <w:rPr>
          <w:color w:val="auto"/>
          <w:sz w:val="20"/>
        </w:rPr>
        <w:t>у</w:t>
      </w:r>
      <w:proofErr w:type="gramEnd"/>
      <w:r w:rsidRPr="0018493C">
        <w:rPr>
          <w:color w:val="auto"/>
          <w:sz w:val="20"/>
        </w:rPr>
        <w:t xml:space="preserve"> резерв, може бути юридично обмежене. </w:t>
      </w:r>
    </w:p>
    <w:p w:rsidR="002C6EAC" w:rsidRPr="0018493C" w:rsidRDefault="002C6EAC" w:rsidP="002C6EAC">
      <w:pPr>
        <w:ind w:firstLine="0"/>
        <w:contextualSpacing/>
        <w:rPr>
          <w:color w:val="auto"/>
          <w:sz w:val="20"/>
        </w:rPr>
      </w:pPr>
    </w:p>
    <w:p w:rsidR="002C6EAC" w:rsidRPr="0018493C" w:rsidRDefault="002C6EAC" w:rsidP="002C6EAC">
      <w:pPr>
        <w:ind w:firstLine="0"/>
        <w:contextualSpacing/>
        <w:rPr>
          <w:color w:val="auto"/>
          <w:sz w:val="20"/>
        </w:rPr>
      </w:pPr>
      <w:r w:rsidRPr="0018493C">
        <w:rPr>
          <w:color w:val="auto"/>
          <w:sz w:val="20"/>
        </w:rPr>
        <w:t xml:space="preserve">Резервний капітал і рух </w:t>
      </w:r>
      <w:proofErr w:type="gramStart"/>
      <w:r w:rsidRPr="0018493C">
        <w:rPr>
          <w:color w:val="auto"/>
          <w:sz w:val="20"/>
        </w:rPr>
        <w:t>резервного</w:t>
      </w:r>
      <w:proofErr w:type="gramEnd"/>
      <w:r w:rsidRPr="0018493C">
        <w:rPr>
          <w:color w:val="auto"/>
          <w:sz w:val="20"/>
        </w:rPr>
        <w:t xml:space="preserve"> капіталу за станом на 31 грудня 201</w:t>
      </w:r>
      <w:r w:rsidR="009B5F19">
        <w:rPr>
          <w:color w:val="auto"/>
          <w:sz w:val="20"/>
          <w:lang w:val="uk-UA"/>
        </w:rPr>
        <w:t>7</w:t>
      </w:r>
      <w:r w:rsidRPr="0018493C">
        <w:rPr>
          <w:color w:val="auto"/>
          <w:sz w:val="20"/>
        </w:rPr>
        <w:t xml:space="preserve"> року представлений у такий спосіб: </w:t>
      </w:r>
    </w:p>
    <w:tbl>
      <w:tblPr>
        <w:tblStyle w:val="ac"/>
        <w:tblW w:w="0" w:type="auto"/>
        <w:tblLook w:val="04A0" w:firstRow="1" w:lastRow="0" w:firstColumn="1" w:lastColumn="0" w:noHBand="0" w:noVBand="1"/>
      </w:tblPr>
      <w:tblGrid>
        <w:gridCol w:w="6628"/>
        <w:gridCol w:w="1559"/>
        <w:gridCol w:w="1667"/>
      </w:tblGrid>
      <w:tr w:rsidR="002C6EAC" w:rsidRPr="0018493C" w:rsidTr="00E065A5">
        <w:tc>
          <w:tcPr>
            <w:tcW w:w="6629" w:type="dxa"/>
          </w:tcPr>
          <w:p w:rsidR="002C6EAC" w:rsidRPr="0018493C" w:rsidRDefault="002C6EAC" w:rsidP="00E065A5">
            <w:pPr>
              <w:contextualSpacing/>
              <w:rPr>
                <w:color w:val="auto"/>
                <w:sz w:val="20"/>
              </w:rPr>
            </w:pPr>
          </w:p>
        </w:tc>
        <w:tc>
          <w:tcPr>
            <w:tcW w:w="1559" w:type="dxa"/>
          </w:tcPr>
          <w:p w:rsidR="002C6EAC" w:rsidRPr="009B5F19" w:rsidRDefault="002C6EAC" w:rsidP="009B5F19">
            <w:pPr>
              <w:ind w:firstLine="0"/>
              <w:contextualSpacing/>
              <w:rPr>
                <w:b/>
                <w:color w:val="auto"/>
                <w:sz w:val="20"/>
                <w:lang w:val="uk-UA"/>
              </w:rPr>
            </w:pPr>
            <w:r w:rsidRPr="0018493C">
              <w:rPr>
                <w:b/>
                <w:color w:val="auto"/>
                <w:sz w:val="20"/>
              </w:rPr>
              <w:t>31.12.201</w:t>
            </w:r>
            <w:r w:rsidR="009B5F19">
              <w:rPr>
                <w:b/>
                <w:color w:val="auto"/>
                <w:sz w:val="20"/>
                <w:lang w:val="uk-UA"/>
              </w:rPr>
              <w:t>6</w:t>
            </w:r>
          </w:p>
        </w:tc>
        <w:tc>
          <w:tcPr>
            <w:tcW w:w="1667" w:type="dxa"/>
          </w:tcPr>
          <w:p w:rsidR="002C6EAC" w:rsidRPr="009B5F19" w:rsidRDefault="002C6EAC" w:rsidP="009B5F19">
            <w:pPr>
              <w:ind w:firstLine="0"/>
              <w:contextualSpacing/>
              <w:rPr>
                <w:b/>
                <w:color w:val="auto"/>
                <w:sz w:val="20"/>
                <w:lang w:val="uk-UA"/>
              </w:rPr>
            </w:pPr>
            <w:r w:rsidRPr="0018493C">
              <w:rPr>
                <w:b/>
                <w:color w:val="auto"/>
                <w:sz w:val="20"/>
              </w:rPr>
              <w:t>31.12.201</w:t>
            </w:r>
            <w:r w:rsidR="009B5F19">
              <w:rPr>
                <w:b/>
                <w:color w:val="auto"/>
                <w:sz w:val="20"/>
                <w:lang w:val="uk-UA"/>
              </w:rPr>
              <w:t>7</w:t>
            </w:r>
          </w:p>
        </w:tc>
      </w:tr>
      <w:tr w:rsidR="002C6EAC" w:rsidRPr="0018493C" w:rsidTr="00E065A5">
        <w:trPr>
          <w:trHeight w:val="282"/>
        </w:trPr>
        <w:tc>
          <w:tcPr>
            <w:tcW w:w="6629" w:type="dxa"/>
          </w:tcPr>
          <w:p w:rsidR="002C6EAC" w:rsidRPr="0018493C" w:rsidRDefault="002C6EAC" w:rsidP="001C22D3">
            <w:pPr>
              <w:ind w:firstLine="0"/>
              <w:contextualSpacing/>
              <w:rPr>
                <w:color w:val="auto"/>
                <w:sz w:val="20"/>
              </w:rPr>
            </w:pPr>
            <w:r w:rsidRPr="0018493C">
              <w:rPr>
                <w:color w:val="auto"/>
                <w:sz w:val="20"/>
              </w:rPr>
              <w:t>Резервний капітал</w:t>
            </w:r>
          </w:p>
        </w:tc>
        <w:tc>
          <w:tcPr>
            <w:tcW w:w="1559" w:type="dxa"/>
          </w:tcPr>
          <w:p w:rsidR="002C6EAC" w:rsidRPr="0018493C" w:rsidRDefault="002C6EAC" w:rsidP="001C22D3">
            <w:pPr>
              <w:contextualSpacing/>
              <w:rPr>
                <w:color w:val="auto"/>
                <w:sz w:val="20"/>
              </w:rPr>
            </w:pPr>
            <w:r w:rsidRPr="0018493C">
              <w:rPr>
                <w:color w:val="auto"/>
                <w:sz w:val="20"/>
              </w:rPr>
              <w:t>1</w:t>
            </w:r>
          </w:p>
        </w:tc>
        <w:tc>
          <w:tcPr>
            <w:tcW w:w="1667" w:type="dxa"/>
          </w:tcPr>
          <w:p w:rsidR="002C6EAC" w:rsidRPr="009B5F19" w:rsidRDefault="009B5F19" w:rsidP="001C22D3">
            <w:pPr>
              <w:contextualSpacing/>
              <w:rPr>
                <w:color w:val="auto"/>
                <w:sz w:val="20"/>
                <w:lang w:val="uk-UA"/>
              </w:rPr>
            </w:pPr>
            <w:r>
              <w:rPr>
                <w:color w:val="auto"/>
                <w:sz w:val="20"/>
                <w:lang w:val="uk-UA"/>
              </w:rPr>
              <w:t>310</w:t>
            </w:r>
          </w:p>
        </w:tc>
      </w:tr>
    </w:tbl>
    <w:p w:rsidR="002C6EAC" w:rsidRPr="0018493C" w:rsidRDefault="002C6EAC" w:rsidP="002C6EAC">
      <w:pPr>
        <w:contextualSpacing/>
        <w:rPr>
          <w:color w:val="auto"/>
          <w:sz w:val="20"/>
        </w:rPr>
      </w:pPr>
      <w:r w:rsidRPr="0018493C">
        <w:rPr>
          <w:color w:val="auto"/>
          <w:sz w:val="20"/>
        </w:rPr>
        <w:tab/>
      </w:r>
      <w:r w:rsidRPr="0018493C">
        <w:rPr>
          <w:color w:val="auto"/>
          <w:sz w:val="20"/>
        </w:rPr>
        <w:tab/>
      </w:r>
      <w:r w:rsidRPr="0018493C">
        <w:rPr>
          <w:color w:val="auto"/>
          <w:sz w:val="20"/>
        </w:rPr>
        <w:tab/>
      </w:r>
    </w:p>
    <w:p w:rsidR="00763305" w:rsidRPr="0018493C" w:rsidRDefault="00763305" w:rsidP="002C6EAC">
      <w:pPr>
        <w:contextualSpacing/>
        <w:rPr>
          <w:color w:val="auto"/>
          <w:sz w:val="20"/>
        </w:rPr>
      </w:pPr>
    </w:p>
    <w:p w:rsidR="002C6EAC" w:rsidRPr="0018493C" w:rsidRDefault="002C6EAC" w:rsidP="002C6EAC">
      <w:pPr>
        <w:pStyle w:val="2"/>
        <w:ind w:left="567" w:hanging="567"/>
      </w:pPr>
      <w:bookmarkStart w:id="32" w:name="_Toc511835070"/>
      <w:r w:rsidRPr="0018493C">
        <w:t>Страхові резерви</w:t>
      </w:r>
      <w:bookmarkEnd w:id="32"/>
    </w:p>
    <w:p w:rsidR="009B5F19" w:rsidRPr="009B5F19" w:rsidRDefault="009B5F19" w:rsidP="009B5F19">
      <w:pPr>
        <w:ind w:firstLine="0"/>
        <w:contextualSpacing/>
        <w:rPr>
          <w:color w:val="auto"/>
          <w:sz w:val="20"/>
        </w:rPr>
      </w:pPr>
      <w:r w:rsidRPr="009B5F19">
        <w:rPr>
          <w:color w:val="auto"/>
          <w:sz w:val="20"/>
        </w:rPr>
        <w:t xml:space="preserve">Страхові резерви є оцінкою обсягу зобов’язань Компанії для здійснення майбутніх виплат </w:t>
      </w:r>
      <w:proofErr w:type="gramStart"/>
      <w:r w:rsidRPr="009B5F19">
        <w:rPr>
          <w:color w:val="auto"/>
          <w:sz w:val="20"/>
        </w:rPr>
        <w:t>страхового</w:t>
      </w:r>
      <w:proofErr w:type="gramEnd"/>
      <w:r w:rsidRPr="009B5F19">
        <w:rPr>
          <w:color w:val="auto"/>
          <w:sz w:val="20"/>
        </w:rPr>
        <w:t xml:space="preserve"> відшкодування за договорами страхування (перестрахування).</w:t>
      </w:r>
    </w:p>
    <w:p w:rsidR="009B5F19" w:rsidRPr="009B5F19" w:rsidRDefault="009B5F19" w:rsidP="009B5F19">
      <w:pPr>
        <w:ind w:firstLine="0"/>
        <w:contextualSpacing/>
        <w:rPr>
          <w:color w:val="auto"/>
          <w:sz w:val="20"/>
        </w:rPr>
      </w:pPr>
      <w:r w:rsidRPr="009B5F19">
        <w:rPr>
          <w:color w:val="auto"/>
          <w:sz w:val="20"/>
        </w:rPr>
        <w:t>Оцінка страхових резервів здійснюється шляхом їх обчислення за методами, визначеними законодавством, зокрема Закону України «Про страхування», Правил формування, обліку та розміщення страхових резервів за видами страхування, іншими, ніж страхування життя, затверджених розпорядженням</w:t>
      </w:r>
      <w:proofErr w:type="gramStart"/>
      <w:r w:rsidRPr="009B5F19">
        <w:rPr>
          <w:color w:val="auto"/>
          <w:sz w:val="20"/>
        </w:rPr>
        <w:t xml:space="preserve"> Д</w:t>
      </w:r>
      <w:proofErr w:type="gramEnd"/>
      <w:r w:rsidRPr="009B5F19">
        <w:rPr>
          <w:color w:val="auto"/>
          <w:sz w:val="20"/>
        </w:rPr>
        <w:t xml:space="preserve">ержавної комісії з </w:t>
      </w:r>
      <w:r w:rsidRPr="009B5F19">
        <w:rPr>
          <w:color w:val="auto"/>
          <w:sz w:val="20"/>
        </w:rPr>
        <w:lastRenderedPageBreak/>
        <w:t>регулювання ринків фінансових послуг України від 17.12.2004 № 3104, зареєстрованим в Міністерстві юстиції України 10.01.2005 за № 19/10299.</w:t>
      </w:r>
    </w:p>
    <w:p w:rsidR="009B5F19" w:rsidRPr="009B5F19" w:rsidRDefault="009B5F19" w:rsidP="009B5F19">
      <w:pPr>
        <w:ind w:firstLine="0"/>
        <w:contextualSpacing/>
        <w:rPr>
          <w:color w:val="auto"/>
          <w:sz w:val="20"/>
        </w:rPr>
      </w:pPr>
      <w:r w:rsidRPr="009B5F19">
        <w:rPr>
          <w:color w:val="auto"/>
          <w:sz w:val="20"/>
        </w:rPr>
        <w:t xml:space="preserve">Для відображення зобов’язань за договорами страхування в Компанії формуються  страхові резерви за наступними методами:  </w:t>
      </w:r>
    </w:p>
    <w:p w:rsidR="009B5F19" w:rsidRPr="009B5F19" w:rsidRDefault="009B5F19" w:rsidP="009B5F19">
      <w:pPr>
        <w:ind w:firstLine="0"/>
        <w:contextualSpacing/>
        <w:rPr>
          <w:color w:val="auto"/>
          <w:sz w:val="20"/>
        </w:rPr>
      </w:pPr>
      <w:r w:rsidRPr="009B5F19">
        <w:rPr>
          <w:color w:val="auto"/>
          <w:sz w:val="20"/>
        </w:rPr>
        <w:t xml:space="preserve">- резерв незароблених </w:t>
      </w:r>
      <w:proofErr w:type="gramStart"/>
      <w:r w:rsidRPr="009B5F19">
        <w:rPr>
          <w:color w:val="auto"/>
          <w:sz w:val="20"/>
        </w:rPr>
        <w:t>прем</w:t>
      </w:r>
      <w:proofErr w:type="gramEnd"/>
      <w:r w:rsidRPr="009B5F19">
        <w:rPr>
          <w:color w:val="auto"/>
          <w:sz w:val="20"/>
        </w:rPr>
        <w:t xml:space="preserve">ій включає частки від сум надходжень страхових платежів, що відповідають страховим ризикам, які не минули на звітну дату. Розрахунок резерву незароблених </w:t>
      </w:r>
      <w:proofErr w:type="gramStart"/>
      <w:r w:rsidRPr="009B5F19">
        <w:rPr>
          <w:color w:val="auto"/>
          <w:sz w:val="20"/>
        </w:rPr>
        <w:t>прем</w:t>
      </w:r>
      <w:proofErr w:type="gramEnd"/>
      <w:r w:rsidRPr="009B5F19">
        <w:rPr>
          <w:color w:val="auto"/>
          <w:sz w:val="20"/>
        </w:rPr>
        <w:t>ій здійснюється в цілому по Компанії за кожним видом страхування  методом «1/24». Для розрахунку резерву незароблених премій на будь-яку дату приймаються страхові платежі у розмі</w:t>
      </w:r>
      <w:proofErr w:type="gramStart"/>
      <w:r w:rsidRPr="009B5F19">
        <w:rPr>
          <w:color w:val="auto"/>
          <w:sz w:val="20"/>
        </w:rPr>
        <w:t>р</w:t>
      </w:r>
      <w:proofErr w:type="gramEnd"/>
      <w:r w:rsidRPr="009B5F19">
        <w:rPr>
          <w:color w:val="auto"/>
          <w:sz w:val="20"/>
        </w:rPr>
        <w:t xml:space="preserve">і 80 відсотків нарахованих страхових платежів з відповідних видів страхування. </w:t>
      </w:r>
    </w:p>
    <w:p w:rsidR="009B5F19" w:rsidRPr="009B5F19" w:rsidRDefault="009B5F19" w:rsidP="009B5F19">
      <w:pPr>
        <w:ind w:firstLine="0"/>
        <w:contextualSpacing/>
        <w:rPr>
          <w:color w:val="auto"/>
          <w:sz w:val="20"/>
        </w:rPr>
      </w:pPr>
      <w:r w:rsidRPr="009B5F19">
        <w:rPr>
          <w:color w:val="auto"/>
          <w:sz w:val="20"/>
        </w:rPr>
        <w:t xml:space="preserve">- резерв заявлених, але не виплачених збитків, створюється з моменту отримання інформації про страхові випадки із застрахованими об’єктами в кожному відокремленому </w:t>
      </w:r>
      <w:proofErr w:type="gramStart"/>
      <w:r w:rsidRPr="009B5F19">
        <w:rPr>
          <w:color w:val="auto"/>
          <w:sz w:val="20"/>
        </w:rPr>
        <w:t>п</w:t>
      </w:r>
      <w:proofErr w:type="gramEnd"/>
      <w:r w:rsidRPr="009B5F19">
        <w:rPr>
          <w:color w:val="auto"/>
          <w:sz w:val="20"/>
        </w:rPr>
        <w:t xml:space="preserve">ідрозділі. Сума резерву збитків за видами страхування визначається та подається до підрозділів бухгалтерської служби для відображення у бухгалтерському обліку і фінансовій звітності структурними підрозділами Компанії, які здійснюють розрахунки страхової виплати. Оцінка величини резерву збитків визначається у залежності від сум фактичних або очікуваних страхувальниками збитків у результаті настання </w:t>
      </w:r>
      <w:proofErr w:type="gramStart"/>
      <w:r w:rsidRPr="009B5F19">
        <w:rPr>
          <w:color w:val="auto"/>
          <w:sz w:val="20"/>
        </w:rPr>
        <w:t>страхового</w:t>
      </w:r>
      <w:proofErr w:type="gramEnd"/>
      <w:r w:rsidRPr="009B5F19">
        <w:rPr>
          <w:color w:val="auto"/>
          <w:sz w:val="20"/>
        </w:rPr>
        <w:t xml:space="preserve"> випадку. Якщо розмі</w:t>
      </w:r>
      <w:proofErr w:type="gramStart"/>
      <w:r w:rsidRPr="009B5F19">
        <w:rPr>
          <w:color w:val="auto"/>
          <w:sz w:val="20"/>
        </w:rPr>
        <w:t>р</w:t>
      </w:r>
      <w:proofErr w:type="gramEnd"/>
      <w:r w:rsidRPr="009B5F19">
        <w:rPr>
          <w:color w:val="auto"/>
          <w:sz w:val="20"/>
        </w:rPr>
        <w:t xml:space="preserve"> збитку неможливо визначити,  для розрахунку резерву використовують максимально можливу величину збитку, яка не перевищує страхової суми за договором. Витрати на врегулювання збитків є компонентом резерву заявлених, але не врегульованих збитків. Станом на 31.12.2017 р. резерв незроблених премій складає 24 205 тис</w:t>
      </w:r>
      <w:proofErr w:type="gramStart"/>
      <w:r w:rsidRPr="009B5F19">
        <w:rPr>
          <w:color w:val="auto"/>
          <w:sz w:val="20"/>
        </w:rPr>
        <w:t>.</w:t>
      </w:r>
      <w:proofErr w:type="gramEnd"/>
      <w:r w:rsidRPr="009B5F19">
        <w:rPr>
          <w:color w:val="auto"/>
          <w:sz w:val="20"/>
        </w:rPr>
        <w:t xml:space="preserve"> </w:t>
      </w:r>
      <w:proofErr w:type="gramStart"/>
      <w:r w:rsidRPr="009B5F19">
        <w:rPr>
          <w:color w:val="auto"/>
          <w:sz w:val="20"/>
        </w:rPr>
        <w:t>г</w:t>
      </w:r>
      <w:proofErr w:type="gramEnd"/>
      <w:r w:rsidRPr="009B5F19">
        <w:rPr>
          <w:color w:val="auto"/>
          <w:sz w:val="20"/>
        </w:rPr>
        <w:t>рн., резерв заявлених, але невиплачених збитків – 386 тис. грн.:</w:t>
      </w:r>
    </w:p>
    <w:p w:rsidR="009B5F19" w:rsidRPr="009B5F19" w:rsidRDefault="009B5F19" w:rsidP="009B5F19">
      <w:pPr>
        <w:ind w:firstLine="0"/>
        <w:contextualSpacing/>
        <w:rPr>
          <w:color w:val="auto"/>
          <w:sz w:val="20"/>
        </w:rPr>
      </w:pPr>
    </w:p>
    <w:p w:rsidR="009B5F19" w:rsidRPr="009B5F19" w:rsidRDefault="009B5F19" w:rsidP="009B5F19">
      <w:pPr>
        <w:ind w:firstLine="0"/>
        <w:contextualSpacing/>
        <w:rPr>
          <w:color w:val="auto"/>
          <w:sz w:val="20"/>
        </w:rPr>
      </w:pPr>
      <w:proofErr w:type="gramStart"/>
      <w:r w:rsidRPr="009B5F19">
        <w:rPr>
          <w:color w:val="auto"/>
          <w:sz w:val="20"/>
        </w:rPr>
        <w:t>Техн</w:t>
      </w:r>
      <w:proofErr w:type="gramEnd"/>
      <w:r w:rsidRPr="009B5F19">
        <w:rPr>
          <w:color w:val="auto"/>
          <w:sz w:val="20"/>
        </w:rPr>
        <w:t>ічні резерви представлені такими категоріями дозволених активів:</w:t>
      </w:r>
    </w:p>
    <w:p w:rsidR="009B5F19" w:rsidRPr="009B5F19" w:rsidRDefault="009B5F19" w:rsidP="009B5F19">
      <w:pPr>
        <w:ind w:firstLine="0"/>
        <w:contextualSpacing/>
        <w:rPr>
          <w:color w:val="auto"/>
          <w:sz w:val="20"/>
        </w:rPr>
      </w:pPr>
      <w:r w:rsidRPr="009B5F19">
        <w:rPr>
          <w:color w:val="auto"/>
          <w:sz w:val="20"/>
        </w:rPr>
        <w:t>(тис</w:t>
      </w:r>
      <w:proofErr w:type="gramStart"/>
      <w:r w:rsidRPr="009B5F19">
        <w:rPr>
          <w:color w:val="auto"/>
          <w:sz w:val="20"/>
        </w:rPr>
        <w:t>.г</w:t>
      </w:r>
      <w:proofErr w:type="gramEnd"/>
      <w:r w:rsidRPr="009B5F19">
        <w:rPr>
          <w:color w:val="auto"/>
          <w:sz w:val="20"/>
        </w:rPr>
        <w:t>рн.)</w:t>
      </w:r>
    </w:p>
    <w:p w:rsidR="009B5F19" w:rsidRPr="009B5F19" w:rsidRDefault="009B5F19" w:rsidP="009B5F19">
      <w:pPr>
        <w:ind w:firstLine="0"/>
        <w:contextualSpacing/>
        <w:rPr>
          <w:color w:val="auto"/>
          <w:sz w:val="20"/>
        </w:rPr>
      </w:pPr>
      <w:r w:rsidRPr="009B5F19">
        <w:rPr>
          <w:color w:val="auto"/>
          <w:sz w:val="20"/>
        </w:rPr>
        <w:t>грошові кошти на поточному рахунку</w:t>
      </w:r>
      <w:r w:rsidRPr="009B5F19">
        <w:rPr>
          <w:color w:val="auto"/>
          <w:sz w:val="20"/>
        </w:rPr>
        <w:tab/>
        <w:t>7 377</w:t>
      </w:r>
    </w:p>
    <w:p w:rsidR="009B5F19" w:rsidRPr="009B5F19" w:rsidRDefault="009B5F19" w:rsidP="009B5F19">
      <w:pPr>
        <w:ind w:firstLine="0"/>
        <w:contextualSpacing/>
        <w:rPr>
          <w:color w:val="auto"/>
          <w:sz w:val="20"/>
        </w:rPr>
      </w:pPr>
      <w:r w:rsidRPr="009B5F19">
        <w:rPr>
          <w:color w:val="auto"/>
          <w:sz w:val="20"/>
        </w:rPr>
        <w:t>банківські вклади  (депозити)</w:t>
      </w:r>
      <w:r w:rsidRPr="009B5F19">
        <w:rPr>
          <w:color w:val="auto"/>
          <w:sz w:val="20"/>
        </w:rPr>
        <w:tab/>
        <w:t>17 214</w:t>
      </w:r>
    </w:p>
    <w:p w:rsidR="009B5F19" w:rsidRPr="009B5F19" w:rsidRDefault="009B5F19" w:rsidP="009B5F19">
      <w:pPr>
        <w:ind w:firstLine="0"/>
        <w:contextualSpacing/>
        <w:rPr>
          <w:color w:val="auto"/>
          <w:sz w:val="20"/>
        </w:rPr>
      </w:pPr>
      <w:r w:rsidRPr="009B5F19">
        <w:rPr>
          <w:color w:val="auto"/>
          <w:sz w:val="20"/>
        </w:rPr>
        <w:t>Разом:</w:t>
      </w:r>
      <w:r w:rsidRPr="009B5F19">
        <w:rPr>
          <w:color w:val="auto"/>
          <w:sz w:val="20"/>
        </w:rPr>
        <w:tab/>
        <w:t>24 591</w:t>
      </w:r>
    </w:p>
    <w:p w:rsidR="00505691" w:rsidRPr="009B5F19" w:rsidRDefault="00505691" w:rsidP="009B5F19">
      <w:pPr>
        <w:ind w:firstLine="0"/>
        <w:contextualSpacing/>
        <w:rPr>
          <w:color w:val="auto"/>
          <w:sz w:val="20"/>
        </w:rPr>
      </w:pPr>
    </w:p>
    <w:p w:rsidR="00AF51A5" w:rsidRPr="0018493C" w:rsidRDefault="00AF51A5" w:rsidP="00AF51A5">
      <w:pPr>
        <w:pStyle w:val="2"/>
        <w:ind w:left="567" w:hanging="567"/>
      </w:pPr>
      <w:bookmarkStart w:id="33" w:name="_Toc511835071"/>
      <w:r w:rsidRPr="0018493C">
        <w:t>Тест адекватності зобов’язань</w:t>
      </w:r>
      <w:bookmarkEnd w:id="33"/>
    </w:p>
    <w:p w:rsidR="00AF51A5" w:rsidRPr="00827655" w:rsidRDefault="00AF51A5" w:rsidP="00AF51A5">
      <w:pPr>
        <w:ind w:firstLine="0"/>
        <w:contextualSpacing/>
        <w:rPr>
          <w:color w:val="auto"/>
          <w:sz w:val="20"/>
          <w:lang w:val="uk-UA"/>
        </w:rPr>
      </w:pPr>
      <w:r w:rsidRPr="0018493C">
        <w:rPr>
          <w:color w:val="auto"/>
          <w:sz w:val="20"/>
          <w:lang w:val="uk-UA"/>
        </w:rPr>
        <w:t xml:space="preserve">Згідно з вимогами пункту 15 МСФЗ 4 «Страхові контракти» страховик повинен на кожну звітну дату оцінювати адекватність своїх страхових зобов’язань, використовуючи для цього поточні оцінки майбутніх рухів грошових коштів за страховими контрактами. </w:t>
      </w:r>
      <w:r w:rsidRPr="00827655">
        <w:rPr>
          <w:color w:val="auto"/>
          <w:sz w:val="20"/>
          <w:lang w:val="uk-UA"/>
        </w:rPr>
        <w:t xml:space="preserve">Якщо ця оцінка показує, що балансова вартість його страхових зобов’язань за вирахуванням відповідних відстрочених аквізиційних витрат та відповідних нематеріальних активів, є неадекватною в контексті розрахункових показників майбутніх рухів грошових коштів, нестачу необхідно повністю визнавати у звіті про прибутки та збитки. </w:t>
      </w:r>
    </w:p>
    <w:p w:rsidR="00AF51A5" w:rsidRPr="0018493C" w:rsidRDefault="00AF51A5" w:rsidP="00AF51A5">
      <w:pPr>
        <w:ind w:firstLine="0"/>
        <w:contextualSpacing/>
        <w:rPr>
          <w:color w:val="auto"/>
          <w:sz w:val="20"/>
        </w:rPr>
      </w:pPr>
      <w:r w:rsidRPr="0018493C">
        <w:rPr>
          <w:color w:val="auto"/>
          <w:sz w:val="20"/>
        </w:rPr>
        <w:t xml:space="preserve">Для оцінки адекватності резервів незароблених </w:t>
      </w:r>
      <w:proofErr w:type="gramStart"/>
      <w:r w:rsidRPr="0018493C">
        <w:rPr>
          <w:color w:val="auto"/>
          <w:sz w:val="20"/>
        </w:rPr>
        <w:t>прем</w:t>
      </w:r>
      <w:proofErr w:type="gramEnd"/>
      <w:r w:rsidRPr="0018493C">
        <w:rPr>
          <w:color w:val="auto"/>
          <w:sz w:val="20"/>
        </w:rPr>
        <w:t xml:space="preserve">ій використовуються методи математичного моделювання комбінованої збитковості, теорії випадкових процесів, методи теорії ймовірностей та математичної статистики. </w:t>
      </w:r>
    </w:p>
    <w:p w:rsidR="00AF51A5" w:rsidRPr="0018493C" w:rsidRDefault="00AF51A5" w:rsidP="00AF51A5">
      <w:pPr>
        <w:ind w:firstLine="0"/>
        <w:contextualSpacing/>
        <w:rPr>
          <w:color w:val="auto"/>
          <w:sz w:val="20"/>
          <w:lang w:val="uk-UA"/>
        </w:rPr>
      </w:pPr>
      <w:r w:rsidRPr="0018493C">
        <w:rPr>
          <w:color w:val="auto"/>
          <w:sz w:val="20"/>
        </w:rPr>
        <w:t>Результати перевірки тесту адекватності зобов’язань для резерву незароблених премій підтверджують, що останні є адекватними до страхових зобов’язань Товариства на 31.12.201</w:t>
      </w:r>
      <w:r w:rsidR="00512BB0">
        <w:rPr>
          <w:color w:val="auto"/>
          <w:sz w:val="20"/>
          <w:lang w:val="uk-UA"/>
        </w:rPr>
        <w:t>7</w:t>
      </w:r>
      <w:r w:rsidRPr="0018493C">
        <w:rPr>
          <w:color w:val="auto"/>
          <w:sz w:val="20"/>
        </w:rPr>
        <w:t xml:space="preserve">р. Таким чином, з урахуванням проведеної оцінки адекватності зобов’язань розмір сформованих резервів незароблених премій для кожного виду страхування співпадає з фактичним розміром сформованих резервів </w:t>
      </w:r>
      <w:proofErr w:type="gramStart"/>
      <w:r w:rsidRPr="0018493C">
        <w:rPr>
          <w:color w:val="auto"/>
          <w:sz w:val="20"/>
        </w:rPr>
        <w:t>в</w:t>
      </w:r>
      <w:proofErr w:type="gramEnd"/>
      <w:r w:rsidRPr="0018493C">
        <w:rPr>
          <w:color w:val="auto"/>
          <w:sz w:val="20"/>
        </w:rPr>
        <w:t xml:space="preserve">ідповідно до вимог чинного законодавства. Обсяг сформованих резервів незароблених премій станом на звітну дату складає 24 </w:t>
      </w:r>
      <w:r w:rsidR="00512BB0">
        <w:rPr>
          <w:color w:val="auto"/>
          <w:sz w:val="20"/>
          <w:lang w:val="uk-UA"/>
        </w:rPr>
        <w:t>205</w:t>
      </w:r>
      <w:r w:rsidRPr="0018493C">
        <w:rPr>
          <w:color w:val="auto"/>
          <w:sz w:val="20"/>
        </w:rPr>
        <w:t xml:space="preserve"> тис. грн.</w:t>
      </w:r>
      <w:r w:rsidRPr="0018493C">
        <w:rPr>
          <w:color w:val="auto"/>
          <w:sz w:val="20"/>
          <w:lang w:val="uk-UA"/>
        </w:rPr>
        <w:t xml:space="preserve"> (201</w:t>
      </w:r>
      <w:r w:rsidR="00512BB0">
        <w:rPr>
          <w:color w:val="auto"/>
          <w:sz w:val="20"/>
          <w:lang w:val="uk-UA"/>
        </w:rPr>
        <w:t>6</w:t>
      </w:r>
      <w:r w:rsidRPr="0018493C">
        <w:rPr>
          <w:color w:val="auto"/>
          <w:sz w:val="20"/>
          <w:lang w:val="uk-UA"/>
        </w:rPr>
        <w:t xml:space="preserve"> </w:t>
      </w:r>
      <w:proofErr w:type="gramStart"/>
      <w:r w:rsidRPr="0018493C">
        <w:rPr>
          <w:color w:val="auto"/>
          <w:sz w:val="20"/>
          <w:lang w:val="uk-UA"/>
        </w:rPr>
        <w:t>р</w:t>
      </w:r>
      <w:proofErr w:type="gramEnd"/>
      <w:r w:rsidRPr="0018493C">
        <w:rPr>
          <w:color w:val="auto"/>
          <w:sz w:val="20"/>
          <w:lang w:val="uk-UA"/>
        </w:rPr>
        <w:t>ік -</w:t>
      </w:r>
      <w:r w:rsidR="00512BB0">
        <w:rPr>
          <w:color w:val="auto"/>
          <w:sz w:val="20"/>
          <w:lang w:val="uk-UA"/>
        </w:rPr>
        <w:t>24 621</w:t>
      </w:r>
      <w:r w:rsidRPr="0018493C">
        <w:rPr>
          <w:color w:val="auto"/>
          <w:sz w:val="20"/>
          <w:lang w:val="uk-UA"/>
        </w:rPr>
        <w:t>тис. грн.)</w:t>
      </w:r>
    </w:p>
    <w:p w:rsidR="00AF51A5" w:rsidRPr="0018493C" w:rsidRDefault="00AF51A5" w:rsidP="00AF51A5">
      <w:pPr>
        <w:ind w:firstLine="0"/>
        <w:contextualSpacing/>
        <w:rPr>
          <w:color w:val="auto"/>
          <w:sz w:val="20"/>
          <w:lang w:val="uk-UA"/>
        </w:rPr>
      </w:pPr>
      <w:r w:rsidRPr="0018493C">
        <w:rPr>
          <w:color w:val="auto"/>
          <w:sz w:val="20"/>
          <w:lang w:val="uk-UA"/>
        </w:rPr>
        <w:t xml:space="preserve">Для оцінювання адекватності резервів збитків (що виникли, але незаявлені) використовуються методи математичної статистики, зокрема перевірки статистичних гіпотез та там, де є достатній для аналізу обсяг даних, актуарні методи оцінювання резервів збитків. </w:t>
      </w:r>
    </w:p>
    <w:p w:rsidR="00AF51A5" w:rsidRPr="0018493C" w:rsidRDefault="00AF51A5" w:rsidP="00AF51A5">
      <w:pPr>
        <w:ind w:firstLine="0"/>
        <w:contextualSpacing/>
        <w:rPr>
          <w:color w:val="auto"/>
          <w:sz w:val="20"/>
        </w:rPr>
      </w:pPr>
      <w:r w:rsidRPr="00827655">
        <w:rPr>
          <w:color w:val="auto"/>
          <w:sz w:val="20"/>
          <w:lang w:val="uk-UA"/>
        </w:rPr>
        <w:t xml:space="preserve">Відповідно до проведеного аналізу вважаємо, що страхові резерви, що сформовані Компанією на звітну дату та можуть бути перевірені актуарними методами, сформовано у відповідності до вимог МСФЗ. </w:t>
      </w:r>
      <w:r w:rsidRPr="0018493C">
        <w:rPr>
          <w:color w:val="auto"/>
          <w:sz w:val="20"/>
        </w:rPr>
        <w:t>Для тих видів страхування, де резерви збитків, що виникли, але не заявлені сформовано в нульовому розмі</w:t>
      </w:r>
      <w:proofErr w:type="gramStart"/>
      <w:r w:rsidRPr="0018493C">
        <w:rPr>
          <w:color w:val="auto"/>
          <w:sz w:val="20"/>
        </w:rPr>
        <w:t>р</w:t>
      </w:r>
      <w:proofErr w:type="gramEnd"/>
      <w:r w:rsidRPr="0018493C">
        <w:rPr>
          <w:color w:val="auto"/>
          <w:sz w:val="20"/>
        </w:rPr>
        <w:t>і, коректність перевірено шляхом перевірки статистичних гіпотез. Обсяг сформованих резервів заявлених, але не виплачених збитків стано</w:t>
      </w:r>
      <w:r w:rsidR="00763305" w:rsidRPr="0018493C">
        <w:rPr>
          <w:color w:val="auto"/>
          <w:sz w:val="20"/>
        </w:rPr>
        <w:t xml:space="preserve">м на звітну дату складає </w:t>
      </w:r>
      <w:r w:rsidR="00512BB0">
        <w:rPr>
          <w:color w:val="auto"/>
          <w:sz w:val="20"/>
          <w:lang w:val="uk-UA"/>
        </w:rPr>
        <w:t>386</w:t>
      </w:r>
      <w:r w:rsidR="00763305" w:rsidRPr="0018493C">
        <w:rPr>
          <w:color w:val="auto"/>
          <w:sz w:val="20"/>
        </w:rPr>
        <w:t xml:space="preserve"> </w:t>
      </w:r>
      <w:r w:rsidRPr="0018493C">
        <w:rPr>
          <w:color w:val="auto"/>
          <w:sz w:val="20"/>
        </w:rPr>
        <w:t>тис. грн. (201</w:t>
      </w:r>
      <w:r w:rsidR="00512BB0">
        <w:rPr>
          <w:color w:val="auto"/>
          <w:sz w:val="20"/>
          <w:lang w:val="uk-UA"/>
        </w:rPr>
        <w:t>6</w:t>
      </w:r>
      <w:r w:rsidRPr="0018493C">
        <w:rPr>
          <w:color w:val="auto"/>
          <w:sz w:val="20"/>
        </w:rPr>
        <w:t xml:space="preserve"> </w:t>
      </w:r>
      <w:proofErr w:type="gramStart"/>
      <w:r w:rsidRPr="0018493C">
        <w:rPr>
          <w:color w:val="auto"/>
          <w:sz w:val="20"/>
        </w:rPr>
        <w:t>р</w:t>
      </w:r>
      <w:proofErr w:type="gramEnd"/>
      <w:r w:rsidRPr="0018493C">
        <w:rPr>
          <w:color w:val="auto"/>
          <w:sz w:val="20"/>
        </w:rPr>
        <w:t>ік -</w:t>
      </w:r>
      <w:r w:rsidR="00512BB0">
        <w:rPr>
          <w:color w:val="auto"/>
          <w:sz w:val="20"/>
          <w:lang w:val="uk-UA"/>
        </w:rPr>
        <w:t>262</w:t>
      </w:r>
      <w:r w:rsidRPr="0018493C">
        <w:rPr>
          <w:color w:val="auto"/>
          <w:sz w:val="20"/>
        </w:rPr>
        <w:t xml:space="preserve"> тис. грн..)</w:t>
      </w:r>
    </w:p>
    <w:p w:rsidR="00C37417" w:rsidRPr="0018493C" w:rsidRDefault="00C37417" w:rsidP="00C37417">
      <w:pPr>
        <w:pStyle w:val="2"/>
        <w:ind w:left="567" w:hanging="567"/>
      </w:pPr>
      <w:bookmarkStart w:id="34" w:name="_Toc511835072"/>
      <w:r w:rsidRPr="0018493C">
        <w:t>Поточні зобов'язання</w:t>
      </w:r>
      <w:bookmarkEnd w:id="34"/>
    </w:p>
    <w:p w:rsidR="00C37417" w:rsidRPr="0018493C" w:rsidRDefault="00763305" w:rsidP="00763305">
      <w:pPr>
        <w:ind w:firstLine="0"/>
        <w:contextualSpacing/>
        <w:rPr>
          <w:color w:val="auto"/>
          <w:sz w:val="20"/>
        </w:rPr>
      </w:pPr>
      <w:r w:rsidRPr="0018493C">
        <w:rPr>
          <w:color w:val="auto"/>
          <w:sz w:val="20"/>
        </w:rPr>
        <w:lastRenderedPageBreak/>
        <w:t xml:space="preserve">Поточні зобов’язання </w:t>
      </w:r>
      <w:r w:rsidR="00C37417" w:rsidRPr="0018493C">
        <w:rPr>
          <w:color w:val="auto"/>
          <w:sz w:val="20"/>
        </w:rPr>
        <w:t>Товариства включають:</w:t>
      </w:r>
    </w:p>
    <w:p w:rsidR="00C37417" w:rsidRPr="0018493C" w:rsidRDefault="00C37417" w:rsidP="00C37417">
      <w:pPr>
        <w:contextualSpacing/>
        <w:rPr>
          <w:color w:val="auto"/>
          <w:sz w:val="20"/>
        </w:rPr>
      </w:pPr>
    </w:p>
    <w:tbl>
      <w:tblPr>
        <w:tblStyle w:val="ac"/>
        <w:tblW w:w="0" w:type="auto"/>
        <w:tblLook w:val="04A0" w:firstRow="1" w:lastRow="0" w:firstColumn="1" w:lastColumn="0" w:noHBand="0" w:noVBand="1"/>
      </w:tblPr>
      <w:tblGrid>
        <w:gridCol w:w="6629"/>
        <w:gridCol w:w="1417"/>
        <w:gridCol w:w="1296"/>
      </w:tblGrid>
      <w:tr w:rsidR="00512BB0" w:rsidRPr="0018493C" w:rsidTr="00E065A5">
        <w:tc>
          <w:tcPr>
            <w:tcW w:w="6629" w:type="dxa"/>
          </w:tcPr>
          <w:p w:rsidR="00512BB0" w:rsidRPr="00512BB0" w:rsidRDefault="00512BB0" w:rsidP="00512BB0">
            <w:pPr>
              <w:ind w:firstLine="0"/>
              <w:rPr>
                <w:color w:val="auto"/>
                <w:sz w:val="20"/>
              </w:rPr>
            </w:pPr>
          </w:p>
        </w:tc>
        <w:tc>
          <w:tcPr>
            <w:tcW w:w="1417" w:type="dxa"/>
          </w:tcPr>
          <w:p w:rsidR="00512BB0" w:rsidRPr="00512BB0" w:rsidRDefault="00512BB0" w:rsidP="00512BB0">
            <w:pPr>
              <w:ind w:firstLine="0"/>
              <w:jc w:val="center"/>
              <w:rPr>
                <w:color w:val="auto"/>
                <w:sz w:val="20"/>
              </w:rPr>
            </w:pPr>
            <w:r w:rsidRPr="00512BB0">
              <w:rPr>
                <w:color w:val="auto"/>
                <w:sz w:val="20"/>
              </w:rPr>
              <w:t>01.01.2017</w:t>
            </w:r>
          </w:p>
        </w:tc>
        <w:tc>
          <w:tcPr>
            <w:tcW w:w="1296" w:type="dxa"/>
          </w:tcPr>
          <w:p w:rsidR="00512BB0" w:rsidRPr="00512BB0" w:rsidRDefault="00512BB0" w:rsidP="00512BB0">
            <w:pPr>
              <w:ind w:firstLine="0"/>
              <w:jc w:val="center"/>
              <w:rPr>
                <w:color w:val="auto"/>
                <w:sz w:val="20"/>
              </w:rPr>
            </w:pPr>
            <w:r w:rsidRPr="00512BB0">
              <w:rPr>
                <w:color w:val="auto"/>
                <w:sz w:val="20"/>
              </w:rPr>
              <w:t>31.12.2017</w:t>
            </w:r>
          </w:p>
        </w:tc>
      </w:tr>
      <w:tr w:rsidR="00512BB0" w:rsidRPr="0018493C" w:rsidTr="00E065A5">
        <w:trPr>
          <w:trHeight w:val="282"/>
        </w:trPr>
        <w:tc>
          <w:tcPr>
            <w:tcW w:w="6629" w:type="dxa"/>
          </w:tcPr>
          <w:p w:rsidR="00512BB0" w:rsidRPr="00512BB0" w:rsidRDefault="00512BB0" w:rsidP="00512BB0">
            <w:pPr>
              <w:ind w:firstLine="0"/>
              <w:rPr>
                <w:color w:val="auto"/>
                <w:sz w:val="20"/>
              </w:rPr>
            </w:pPr>
            <w:r w:rsidRPr="00512BB0">
              <w:rPr>
                <w:color w:val="auto"/>
                <w:sz w:val="20"/>
              </w:rPr>
              <w:t>Розрахунки за товари, роботи, послуги</w:t>
            </w:r>
          </w:p>
        </w:tc>
        <w:tc>
          <w:tcPr>
            <w:tcW w:w="1417" w:type="dxa"/>
          </w:tcPr>
          <w:p w:rsidR="00512BB0" w:rsidRPr="00512BB0" w:rsidRDefault="00512BB0" w:rsidP="00512BB0">
            <w:pPr>
              <w:ind w:firstLine="0"/>
              <w:jc w:val="center"/>
              <w:rPr>
                <w:color w:val="auto"/>
                <w:sz w:val="20"/>
              </w:rPr>
            </w:pPr>
            <w:r w:rsidRPr="00512BB0">
              <w:rPr>
                <w:color w:val="auto"/>
                <w:sz w:val="20"/>
              </w:rPr>
              <w:t>5 035</w:t>
            </w:r>
          </w:p>
        </w:tc>
        <w:tc>
          <w:tcPr>
            <w:tcW w:w="1296" w:type="dxa"/>
          </w:tcPr>
          <w:p w:rsidR="00512BB0" w:rsidRPr="00512BB0" w:rsidRDefault="00512BB0" w:rsidP="00512BB0">
            <w:pPr>
              <w:ind w:firstLine="0"/>
              <w:jc w:val="center"/>
              <w:rPr>
                <w:color w:val="auto"/>
                <w:sz w:val="20"/>
              </w:rPr>
            </w:pPr>
            <w:r w:rsidRPr="00512BB0">
              <w:rPr>
                <w:color w:val="auto"/>
                <w:sz w:val="20"/>
              </w:rPr>
              <w:t>5260</w:t>
            </w:r>
          </w:p>
        </w:tc>
      </w:tr>
      <w:tr w:rsidR="00512BB0" w:rsidRPr="0018493C" w:rsidTr="00E065A5">
        <w:trPr>
          <w:trHeight w:val="282"/>
        </w:trPr>
        <w:tc>
          <w:tcPr>
            <w:tcW w:w="6629" w:type="dxa"/>
          </w:tcPr>
          <w:p w:rsidR="00512BB0" w:rsidRPr="00512BB0" w:rsidRDefault="00512BB0" w:rsidP="00512BB0">
            <w:pPr>
              <w:ind w:firstLine="0"/>
              <w:rPr>
                <w:color w:val="auto"/>
                <w:sz w:val="20"/>
              </w:rPr>
            </w:pPr>
            <w:r w:rsidRPr="00512BB0">
              <w:rPr>
                <w:color w:val="auto"/>
                <w:sz w:val="20"/>
              </w:rPr>
              <w:t>Розрахунки з бюджетом</w:t>
            </w:r>
          </w:p>
        </w:tc>
        <w:tc>
          <w:tcPr>
            <w:tcW w:w="1417" w:type="dxa"/>
          </w:tcPr>
          <w:p w:rsidR="00512BB0" w:rsidRPr="00512BB0" w:rsidRDefault="00512BB0" w:rsidP="00512BB0">
            <w:pPr>
              <w:ind w:firstLine="0"/>
              <w:jc w:val="center"/>
              <w:rPr>
                <w:color w:val="auto"/>
                <w:sz w:val="20"/>
              </w:rPr>
            </w:pPr>
            <w:r w:rsidRPr="00512BB0">
              <w:rPr>
                <w:color w:val="auto"/>
                <w:sz w:val="20"/>
              </w:rPr>
              <w:t>597</w:t>
            </w:r>
          </w:p>
        </w:tc>
        <w:tc>
          <w:tcPr>
            <w:tcW w:w="1296" w:type="dxa"/>
          </w:tcPr>
          <w:p w:rsidR="00512BB0" w:rsidRPr="00512BB0" w:rsidRDefault="00512BB0" w:rsidP="00512BB0">
            <w:pPr>
              <w:ind w:firstLine="0"/>
              <w:jc w:val="center"/>
              <w:rPr>
                <w:color w:val="auto"/>
                <w:sz w:val="20"/>
              </w:rPr>
            </w:pPr>
            <w:r w:rsidRPr="00512BB0">
              <w:rPr>
                <w:color w:val="auto"/>
                <w:sz w:val="20"/>
              </w:rPr>
              <w:t>1444</w:t>
            </w:r>
          </w:p>
        </w:tc>
      </w:tr>
      <w:tr w:rsidR="00512BB0" w:rsidRPr="0018493C" w:rsidTr="00E065A5">
        <w:trPr>
          <w:trHeight w:val="282"/>
        </w:trPr>
        <w:tc>
          <w:tcPr>
            <w:tcW w:w="6629" w:type="dxa"/>
          </w:tcPr>
          <w:p w:rsidR="00512BB0" w:rsidRPr="00512BB0" w:rsidRDefault="00512BB0" w:rsidP="00512BB0">
            <w:pPr>
              <w:ind w:firstLine="0"/>
              <w:rPr>
                <w:color w:val="auto"/>
                <w:sz w:val="20"/>
              </w:rPr>
            </w:pPr>
            <w:r w:rsidRPr="00512BB0">
              <w:rPr>
                <w:color w:val="auto"/>
                <w:sz w:val="20"/>
              </w:rPr>
              <w:t>Кредиторська заборгованість за страховою діяльністю</w:t>
            </w:r>
          </w:p>
        </w:tc>
        <w:tc>
          <w:tcPr>
            <w:tcW w:w="1417" w:type="dxa"/>
          </w:tcPr>
          <w:p w:rsidR="00512BB0" w:rsidRPr="00512BB0" w:rsidRDefault="00512BB0" w:rsidP="00512BB0">
            <w:pPr>
              <w:ind w:firstLine="0"/>
              <w:jc w:val="center"/>
              <w:rPr>
                <w:color w:val="auto"/>
                <w:sz w:val="20"/>
              </w:rPr>
            </w:pPr>
            <w:r w:rsidRPr="00512BB0">
              <w:rPr>
                <w:color w:val="auto"/>
                <w:sz w:val="20"/>
              </w:rPr>
              <w:t>37</w:t>
            </w:r>
          </w:p>
        </w:tc>
        <w:tc>
          <w:tcPr>
            <w:tcW w:w="1296" w:type="dxa"/>
          </w:tcPr>
          <w:p w:rsidR="00512BB0" w:rsidRPr="00512BB0" w:rsidRDefault="00512BB0" w:rsidP="00512BB0">
            <w:pPr>
              <w:ind w:firstLine="0"/>
              <w:jc w:val="center"/>
              <w:rPr>
                <w:color w:val="auto"/>
                <w:sz w:val="20"/>
              </w:rPr>
            </w:pPr>
            <w:r w:rsidRPr="00512BB0">
              <w:rPr>
                <w:color w:val="auto"/>
                <w:sz w:val="20"/>
              </w:rPr>
              <w:t>31</w:t>
            </w:r>
          </w:p>
        </w:tc>
      </w:tr>
      <w:tr w:rsidR="00512BB0" w:rsidRPr="0018493C" w:rsidTr="00E065A5">
        <w:trPr>
          <w:trHeight w:val="282"/>
        </w:trPr>
        <w:tc>
          <w:tcPr>
            <w:tcW w:w="6629" w:type="dxa"/>
          </w:tcPr>
          <w:p w:rsidR="00512BB0" w:rsidRPr="00512BB0" w:rsidRDefault="00512BB0" w:rsidP="00512BB0">
            <w:pPr>
              <w:ind w:firstLine="0"/>
              <w:rPr>
                <w:color w:val="auto"/>
                <w:sz w:val="20"/>
              </w:rPr>
            </w:pPr>
            <w:r w:rsidRPr="00512BB0">
              <w:rPr>
                <w:color w:val="auto"/>
                <w:sz w:val="20"/>
              </w:rPr>
              <w:t>Інші поточні зобов’язання</w:t>
            </w:r>
          </w:p>
        </w:tc>
        <w:tc>
          <w:tcPr>
            <w:tcW w:w="1417" w:type="dxa"/>
          </w:tcPr>
          <w:p w:rsidR="00512BB0" w:rsidRPr="00512BB0" w:rsidRDefault="00512BB0" w:rsidP="00512BB0">
            <w:pPr>
              <w:ind w:firstLine="0"/>
              <w:jc w:val="center"/>
              <w:rPr>
                <w:color w:val="auto"/>
                <w:sz w:val="20"/>
              </w:rPr>
            </w:pPr>
            <w:r w:rsidRPr="00512BB0">
              <w:rPr>
                <w:color w:val="auto"/>
                <w:sz w:val="20"/>
              </w:rPr>
              <w:t>17</w:t>
            </w:r>
          </w:p>
        </w:tc>
        <w:tc>
          <w:tcPr>
            <w:tcW w:w="1296" w:type="dxa"/>
          </w:tcPr>
          <w:p w:rsidR="00512BB0" w:rsidRPr="00512BB0" w:rsidRDefault="00512BB0" w:rsidP="00512BB0">
            <w:pPr>
              <w:ind w:firstLine="0"/>
              <w:jc w:val="center"/>
              <w:rPr>
                <w:color w:val="auto"/>
                <w:sz w:val="20"/>
              </w:rPr>
            </w:pPr>
            <w:r w:rsidRPr="00512BB0">
              <w:rPr>
                <w:color w:val="auto"/>
                <w:sz w:val="20"/>
              </w:rPr>
              <w:t>13</w:t>
            </w:r>
          </w:p>
        </w:tc>
      </w:tr>
      <w:tr w:rsidR="00512BB0" w:rsidRPr="0018493C" w:rsidTr="00E065A5">
        <w:trPr>
          <w:trHeight w:val="282"/>
        </w:trPr>
        <w:tc>
          <w:tcPr>
            <w:tcW w:w="6629" w:type="dxa"/>
          </w:tcPr>
          <w:p w:rsidR="00512BB0" w:rsidRPr="00512BB0" w:rsidRDefault="00512BB0" w:rsidP="00512BB0">
            <w:pPr>
              <w:ind w:firstLine="0"/>
              <w:rPr>
                <w:color w:val="auto"/>
                <w:sz w:val="20"/>
              </w:rPr>
            </w:pPr>
            <w:r w:rsidRPr="00512BB0">
              <w:rPr>
                <w:color w:val="auto"/>
                <w:sz w:val="20"/>
              </w:rPr>
              <w:t>Поточна заборгованість за одержаними авансами</w:t>
            </w:r>
          </w:p>
        </w:tc>
        <w:tc>
          <w:tcPr>
            <w:tcW w:w="1417" w:type="dxa"/>
          </w:tcPr>
          <w:p w:rsidR="00512BB0" w:rsidRPr="00512BB0" w:rsidRDefault="00512BB0" w:rsidP="00512BB0">
            <w:pPr>
              <w:ind w:firstLine="0"/>
              <w:jc w:val="center"/>
              <w:rPr>
                <w:color w:val="auto"/>
                <w:sz w:val="20"/>
              </w:rPr>
            </w:pPr>
            <w:r w:rsidRPr="00512BB0">
              <w:rPr>
                <w:color w:val="auto"/>
                <w:sz w:val="20"/>
              </w:rPr>
              <w:t>93</w:t>
            </w:r>
          </w:p>
        </w:tc>
        <w:tc>
          <w:tcPr>
            <w:tcW w:w="1296" w:type="dxa"/>
          </w:tcPr>
          <w:p w:rsidR="00512BB0" w:rsidRPr="00512BB0" w:rsidRDefault="00512BB0" w:rsidP="00512BB0">
            <w:pPr>
              <w:ind w:firstLine="0"/>
              <w:jc w:val="center"/>
              <w:rPr>
                <w:color w:val="auto"/>
                <w:sz w:val="20"/>
              </w:rPr>
            </w:pPr>
            <w:r w:rsidRPr="00512BB0">
              <w:rPr>
                <w:color w:val="auto"/>
                <w:sz w:val="20"/>
              </w:rPr>
              <w:t>27</w:t>
            </w:r>
          </w:p>
        </w:tc>
      </w:tr>
    </w:tbl>
    <w:p w:rsidR="00C37417" w:rsidRPr="0018493C" w:rsidRDefault="00C37417" w:rsidP="00C37417">
      <w:pPr>
        <w:contextualSpacing/>
        <w:rPr>
          <w:color w:val="auto"/>
          <w:sz w:val="20"/>
        </w:rPr>
      </w:pPr>
      <w:r w:rsidRPr="0018493C">
        <w:rPr>
          <w:color w:val="auto"/>
          <w:sz w:val="20"/>
        </w:rPr>
        <w:tab/>
      </w:r>
    </w:p>
    <w:p w:rsidR="00C37417" w:rsidRPr="0018493C" w:rsidRDefault="00C37417" w:rsidP="00C37417">
      <w:pPr>
        <w:pStyle w:val="2"/>
        <w:ind w:left="567" w:hanging="567"/>
      </w:pPr>
      <w:bookmarkStart w:id="35" w:name="_Toc511835073"/>
      <w:r w:rsidRPr="0018493C">
        <w:t>Валова сума отриманих премій</w:t>
      </w:r>
      <w:bookmarkEnd w:id="35"/>
    </w:p>
    <w:p w:rsidR="00C37417" w:rsidRDefault="00C37417" w:rsidP="00763305">
      <w:pPr>
        <w:ind w:firstLine="0"/>
        <w:rPr>
          <w:b/>
          <w:color w:val="auto"/>
          <w:sz w:val="20"/>
          <w:lang w:val="uk-UA"/>
        </w:rPr>
      </w:pPr>
      <w:r w:rsidRPr="0018493C">
        <w:rPr>
          <w:b/>
          <w:color w:val="auto"/>
          <w:sz w:val="20"/>
        </w:rPr>
        <w:t xml:space="preserve">Сума (нарахованих) отриманих </w:t>
      </w:r>
      <w:proofErr w:type="gramStart"/>
      <w:r w:rsidRPr="0018493C">
        <w:rPr>
          <w:b/>
          <w:color w:val="auto"/>
          <w:sz w:val="20"/>
        </w:rPr>
        <w:t>прем</w:t>
      </w:r>
      <w:proofErr w:type="gramEnd"/>
      <w:r w:rsidRPr="0018493C">
        <w:rPr>
          <w:b/>
          <w:color w:val="auto"/>
          <w:sz w:val="20"/>
        </w:rPr>
        <w:t>ій за видами страхування склала: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3A0287" w:rsidRPr="003232D8" w:rsidTr="002E68B4">
        <w:trPr>
          <w:trHeight w:val="530"/>
        </w:trPr>
        <w:tc>
          <w:tcPr>
            <w:tcW w:w="670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rPr>
                <w:color w:val="auto"/>
                <w:sz w:val="20"/>
              </w:rPr>
            </w:pPr>
          </w:p>
        </w:tc>
        <w:tc>
          <w:tcPr>
            <w:tcW w:w="133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jc w:val="center"/>
              <w:rPr>
                <w:color w:val="auto"/>
                <w:sz w:val="20"/>
              </w:rPr>
            </w:pPr>
            <w:r w:rsidRPr="003A0287">
              <w:rPr>
                <w:color w:val="auto"/>
                <w:sz w:val="20"/>
              </w:rPr>
              <w:t xml:space="preserve">2016 </w:t>
            </w:r>
            <w:proofErr w:type="gramStart"/>
            <w:r w:rsidRPr="003A0287">
              <w:rPr>
                <w:color w:val="auto"/>
                <w:sz w:val="20"/>
              </w:rPr>
              <w:t>р</w:t>
            </w:r>
            <w:proofErr w:type="gramEnd"/>
            <w:r w:rsidRPr="003A0287">
              <w:rPr>
                <w:color w:val="auto"/>
                <w:sz w:val="20"/>
              </w:rPr>
              <w:t>ік</w:t>
            </w:r>
          </w:p>
        </w:tc>
        <w:tc>
          <w:tcPr>
            <w:tcW w:w="133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jc w:val="center"/>
              <w:rPr>
                <w:color w:val="auto"/>
                <w:sz w:val="20"/>
              </w:rPr>
            </w:pPr>
            <w:r w:rsidRPr="003A0287">
              <w:rPr>
                <w:color w:val="auto"/>
                <w:sz w:val="20"/>
              </w:rPr>
              <w:t xml:space="preserve">2017 </w:t>
            </w:r>
            <w:proofErr w:type="gramStart"/>
            <w:r w:rsidRPr="003A0287">
              <w:rPr>
                <w:color w:val="auto"/>
                <w:sz w:val="20"/>
              </w:rPr>
              <w:t>р</w:t>
            </w:r>
            <w:proofErr w:type="gramEnd"/>
            <w:r w:rsidRPr="003A0287">
              <w:rPr>
                <w:color w:val="auto"/>
                <w:sz w:val="20"/>
              </w:rPr>
              <w:t>ік</w:t>
            </w:r>
          </w:p>
        </w:tc>
      </w:tr>
      <w:tr w:rsidR="003A0287" w:rsidRPr="00557791" w:rsidTr="002E68B4">
        <w:trPr>
          <w:trHeight w:val="581"/>
        </w:trPr>
        <w:tc>
          <w:tcPr>
            <w:tcW w:w="670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rPr>
                <w:color w:val="auto"/>
                <w:sz w:val="20"/>
              </w:rPr>
            </w:pPr>
            <w:r w:rsidRPr="003A0287">
              <w:rPr>
                <w:color w:val="auto"/>
                <w:sz w:val="20"/>
              </w:rPr>
              <w:t>Страхування від нещасних випадків</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36 812</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33 610</w:t>
            </w:r>
          </w:p>
        </w:tc>
      </w:tr>
      <w:tr w:rsidR="003A0287" w:rsidRPr="00557791" w:rsidTr="002E68B4">
        <w:tc>
          <w:tcPr>
            <w:tcW w:w="670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rPr>
                <w:color w:val="auto"/>
                <w:sz w:val="20"/>
              </w:rPr>
            </w:pPr>
            <w:r w:rsidRPr="003A0287">
              <w:rPr>
                <w:color w:val="auto"/>
                <w:sz w:val="20"/>
              </w:rPr>
              <w:t>Страхування здоров’я на випадок хвороби</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36 785</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31 341</w:t>
            </w:r>
          </w:p>
        </w:tc>
      </w:tr>
      <w:tr w:rsidR="003A0287" w:rsidRPr="00557791" w:rsidTr="002E68B4">
        <w:tc>
          <w:tcPr>
            <w:tcW w:w="670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rPr>
                <w:color w:val="auto"/>
                <w:sz w:val="20"/>
              </w:rPr>
            </w:pPr>
            <w:proofErr w:type="gramStart"/>
            <w:r w:rsidRPr="003A0287">
              <w:rPr>
                <w:color w:val="auto"/>
                <w:sz w:val="20"/>
              </w:rPr>
              <w:t>Страхування від вогневих ризиків та ризиків стихійних явищ</w:t>
            </w:r>
            <w:proofErr w:type="gramEnd"/>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653</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1 766</w:t>
            </w:r>
          </w:p>
        </w:tc>
      </w:tr>
      <w:tr w:rsidR="003A0287" w:rsidRPr="00557791" w:rsidTr="002E68B4">
        <w:tc>
          <w:tcPr>
            <w:tcW w:w="670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rPr>
                <w:color w:val="auto"/>
                <w:sz w:val="20"/>
              </w:rPr>
            </w:pPr>
            <w:r w:rsidRPr="003A0287">
              <w:rPr>
                <w:color w:val="auto"/>
                <w:sz w:val="20"/>
              </w:rPr>
              <w:t>Страхування майна іншого</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2 579</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5 016</w:t>
            </w:r>
          </w:p>
        </w:tc>
      </w:tr>
      <w:tr w:rsidR="003A0287" w:rsidRPr="00557791" w:rsidTr="002E68B4">
        <w:tc>
          <w:tcPr>
            <w:tcW w:w="670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rPr>
                <w:color w:val="auto"/>
                <w:sz w:val="20"/>
              </w:rPr>
            </w:pPr>
            <w:r w:rsidRPr="003A0287">
              <w:rPr>
                <w:color w:val="auto"/>
                <w:sz w:val="20"/>
              </w:rPr>
              <w:t xml:space="preserve">Страхування відповідальності </w:t>
            </w:r>
            <w:proofErr w:type="gramStart"/>
            <w:r w:rsidRPr="003A0287">
              <w:rPr>
                <w:color w:val="auto"/>
                <w:sz w:val="20"/>
              </w:rPr>
              <w:t>перед трет</w:t>
            </w:r>
            <w:proofErr w:type="gramEnd"/>
            <w:r w:rsidRPr="003A0287">
              <w:rPr>
                <w:color w:val="auto"/>
                <w:sz w:val="20"/>
              </w:rPr>
              <w:t>іми особами</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49</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80</w:t>
            </w:r>
          </w:p>
        </w:tc>
      </w:tr>
      <w:tr w:rsidR="003A0287" w:rsidRPr="00557791" w:rsidTr="002E68B4">
        <w:tc>
          <w:tcPr>
            <w:tcW w:w="670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rPr>
                <w:color w:val="auto"/>
                <w:sz w:val="20"/>
              </w:rPr>
            </w:pPr>
            <w:r w:rsidRPr="003A0287">
              <w:rPr>
                <w:color w:val="auto"/>
                <w:sz w:val="20"/>
              </w:rPr>
              <w:t>Страхування фінансових ризиків</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749</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1 065</w:t>
            </w:r>
          </w:p>
        </w:tc>
      </w:tr>
      <w:tr w:rsidR="003A0287" w:rsidRPr="00557791" w:rsidTr="002E68B4">
        <w:trPr>
          <w:trHeight w:val="204"/>
        </w:trPr>
        <w:tc>
          <w:tcPr>
            <w:tcW w:w="6708" w:type="dxa"/>
            <w:tcBorders>
              <w:top w:val="single" w:sz="4" w:space="0" w:color="auto"/>
              <w:left w:val="single" w:sz="4" w:space="0" w:color="auto"/>
              <w:bottom w:val="single" w:sz="4" w:space="0" w:color="auto"/>
              <w:right w:val="single" w:sz="4" w:space="0" w:color="auto"/>
            </w:tcBorders>
          </w:tcPr>
          <w:p w:rsidR="003A0287" w:rsidRPr="003A0287" w:rsidRDefault="003A0287" w:rsidP="003A0287">
            <w:pPr>
              <w:ind w:firstLine="0"/>
              <w:rPr>
                <w:color w:val="auto"/>
                <w:sz w:val="20"/>
              </w:rPr>
            </w:pPr>
            <w:r w:rsidRPr="003A0287">
              <w:rPr>
                <w:color w:val="auto"/>
                <w:sz w:val="20"/>
              </w:rPr>
              <w:t xml:space="preserve">Разом: </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77 627</w:t>
            </w:r>
          </w:p>
        </w:tc>
        <w:tc>
          <w:tcPr>
            <w:tcW w:w="1338" w:type="dxa"/>
            <w:tcBorders>
              <w:top w:val="single" w:sz="4" w:space="0" w:color="auto"/>
              <w:left w:val="single" w:sz="4" w:space="0" w:color="auto"/>
              <w:bottom w:val="single" w:sz="4" w:space="0" w:color="auto"/>
              <w:right w:val="single" w:sz="4" w:space="0" w:color="auto"/>
            </w:tcBorders>
            <w:vAlign w:val="center"/>
          </w:tcPr>
          <w:p w:rsidR="003A0287" w:rsidRPr="003A0287" w:rsidRDefault="003A0287" w:rsidP="003A0287">
            <w:pPr>
              <w:ind w:firstLine="0"/>
              <w:jc w:val="center"/>
              <w:rPr>
                <w:color w:val="auto"/>
                <w:sz w:val="20"/>
              </w:rPr>
            </w:pPr>
            <w:r w:rsidRPr="003A0287">
              <w:rPr>
                <w:color w:val="auto"/>
                <w:sz w:val="20"/>
              </w:rPr>
              <w:t>72 878</w:t>
            </w:r>
          </w:p>
        </w:tc>
      </w:tr>
    </w:tbl>
    <w:p w:rsidR="00763305" w:rsidRPr="0018493C" w:rsidRDefault="00763305" w:rsidP="00C37417">
      <w:pPr>
        <w:contextualSpacing/>
        <w:rPr>
          <w:color w:val="auto"/>
          <w:sz w:val="20"/>
          <w:highlight w:val="yellow"/>
        </w:rPr>
      </w:pPr>
    </w:p>
    <w:p w:rsidR="00C37417" w:rsidRPr="0018493C" w:rsidRDefault="00C37417" w:rsidP="002F5734">
      <w:pPr>
        <w:pStyle w:val="2"/>
        <w:ind w:left="567" w:hanging="567"/>
      </w:pPr>
      <w:bookmarkStart w:id="36" w:name="_Toc511835074"/>
      <w:r w:rsidRPr="0018493C">
        <w:t>Страхові виплати й страхові відшкодування</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1B3DA9" w:rsidRPr="001B3DA9" w:rsidTr="002E68B4">
        <w:tc>
          <w:tcPr>
            <w:tcW w:w="670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 xml:space="preserve">2016 </w:t>
            </w:r>
            <w:proofErr w:type="gramStart"/>
            <w:r w:rsidRPr="001B3DA9">
              <w:rPr>
                <w:color w:val="auto"/>
                <w:sz w:val="20"/>
              </w:rPr>
              <w:t>р</w:t>
            </w:r>
            <w:proofErr w:type="gramEnd"/>
            <w:r w:rsidRPr="001B3DA9">
              <w:rPr>
                <w:color w:val="auto"/>
                <w:sz w:val="20"/>
              </w:rPr>
              <w:t>ік</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 xml:space="preserve">2017 </w:t>
            </w:r>
            <w:proofErr w:type="gramStart"/>
            <w:r w:rsidRPr="001B3DA9">
              <w:rPr>
                <w:color w:val="auto"/>
                <w:sz w:val="20"/>
              </w:rPr>
              <w:t>р</w:t>
            </w:r>
            <w:proofErr w:type="gramEnd"/>
            <w:r w:rsidRPr="001B3DA9">
              <w:rPr>
                <w:color w:val="auto"/>
                <w:sz w:val="20"/>
              </w:rPr>
              <w:t>ік</w:t>
            </w:r>
          </w:p>
        </w:tc>
      </w:tr>
      <w:tr w:rsidR="001B3DA9" w:rsidRPr="001B3DA9" w:rsidTr="002E68B4">
        <w:tc>
          <w:tcPr>
            <w:tcW w:w="670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Страхування від нещасних випадків</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201</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168</w:t>
            </w:r>
          </w:p>
        </w:tc>
      </w:tr>
      <w:tr w:rsidR="001B3DA9" w:rsidRPr="001B3DA9" w:rsidTr="002E68B4">
        <w:tc>
          <w:tcPr>
            <w:tcW w:w="670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Страхування здоров’я на випадок хвороби</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187</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262</w:t>
            </w:r>
          </w:p>
        </w:tc>
      </w:tr>
      <w:tr w:rsidR="001B3DA9" w:rsidRPr="001B3DA9" w:rsidTr="002E68B4">
        <w:tc>
          <w:tcPr>
            <w:tcW w:w="670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Страхування майна іншого</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222</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832</w:t>
            </w:r>
          </w:p>
        </w:tc>
      </w:tr>
      <w:tr w:rsidR="001B3DA9" w:rsidRPr="001B3DA9" w:rsidTr="002E68B4">
        <w:tc>
          <w:tcPr>
            <w:tcW w:w="670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proofErr w:type="gramStart"/>
            <w:r w:rsidRPr="001B3DA9">
              <w:rPr>
                <w:color w:val="auto"/>
                <w:sz w:val="20"/>
              </w:rPr>
              <w:t>Страхування від вогневих ризиків та ризиків стихійних явищ</w:t>
            </w:r>
            <w:proofErr w:type="gramEnd"/>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w:t>
            </w:r>
          </w:p>
        </w:tc>
      </w:tr>
      <w:tr w:rsidR="001B3DA9" w:rsidRPr="001B3DA9" w:rsidTr="002E68B4">
        <w:tc>
          <w:tcPr>
            <w:tcW w:w="670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Страхування фінансових ризиків</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1</w:t>
            </w:r>
          </w:p>
        </w:tc>
      </w:tr>
      <w:tr w:rsidR="001B3DA9" w:rsidRPr="001B3DA9" w:rsidTr="002E68B4">
        <w:tc>
          <w:tcPr>
            <w:tcW w:w="670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Разом:</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610</w:t>
            </w:r>
          </w:p>
        </w:tc>
        <w:tc>
          <w:tcPr>
            <w:tcW w:w="1338" w:type="dxa"/>
            <w:tcBorders>
              <w:top w:val="single" w:sz="4" w:space="0" w:color="auto"/>
              <w:left w:val="single" w:sz="4" w:space="0" w:color="auto"/>
              <w:bottom w:val="single" w:sz="4" w:space="0" w:color="auto"/>
              <w:right w:val="single" w:sz="4" w:space="0" w:color="auto"/>
            </w:tcBorders>
          </w:tcPr>
          <w:p w:rsidR="001B3DA9" w:rsidRPr="001B3DA9" w:rsidRDefault="001B3DA9" w:rsidP="001B3DA9">
            <w:pPr>
              <w:ind w:firstLine="0"/>
              <w:rPr>
                <w:color w:val="auto"/>
                <w:sz w:val="20"/>
              </w:rPr>
            </w:pPr>
            <w:r w:rsidRPr="001B3DA9">
              <w:rPr>
                <w:color w:val="auto"/>
                <w:sz w:val="20"/>
              </w:rPr>
              <w:t>1 263</w:t>
            </w:r>
          </w:p>
        </w:tc>
      </w:tr>
    </w:tbl>
    <w:p w:rsidR="00C37417" w:rsidRPr="0018493C" w:rsidRDefault="00C37417" w:rsidP="00C37417">
      <w:pPr>
        <w:contextualSpacing/>
        <w:rPr>
          <w:color w:val="auto"/>
          <w:sz w:val="20"/>
          <w:highlight w:val="yellow"/>
        </w:rPr>
      </w:pPr>
    </w:p>
    <w:p w:rsidR="00C37417" w:rsidRPr="0018493C" w:rsidRDefault="00C37417" w:rsidP="002F5734">
      <w:pPr>
        <w:pStyle w:val="2"/>
        <w:ind w:left="567" w:hanging="567"/>
      </w:pPr>
      <w:bookmarkStart w:id="37" w:name="_Toc511835075"/>
      <w:r w:rsidRPr="0018493C">
        <w:t>Адміністративні витрати</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1B3DA9" w:rsidRPr="003232D8" w:rsidTr="002E68B4">
        <w:tc>
          <w:tcPr>
            <w:tcW w:w="6708" w:type="dxa"/>
          </w:tcPr>
          <w:p w:rsidR="001B3DA9" w:rsidRPr="001B3DA9" w:rsidRDefault="001B3DA9" w:rsidP="001B3DA9">
            <w:pPr>
              <w:ind w:firstLine="0"/>
              <w:rPr>
                <w:color w:val="auto"/>
                <w:sz w:val="20"/>
              </w:rPr>
            </w:pPr>
          </w:p>
        </w:tc>
        <w:tc>
          <w:tcPr>
            <w:tcW w:w="1338" w:type="dxa"/>
          </w:tcPr>
          <w:p w:rsidR="001B3DA9" w:rsidRPr="001B3DA9" w:rsidRDefault="001B3DA9" w:rsidP="001B3DA9">
            <w:pPr>
              <w:ind w:firstLine="0"/>
              <w:jc w:val="center"/>
              <w:rPr>
                <w:color w:val="auto"/>
                <w:sz w:val="20"/>
              </w:rPr>
            </w:pPr>
            <w:r w:rsidRPr="001B3DA9">
              <w:rPr>
                <w:color w:val="auto"/>
                <w:sz w:val="20"/>
              </w:rPr>
              <w:t xml:space="preserve">2016 </w:t>
            </w:r>
            <w:proofErr w:type="gramStart"/>
            <w:r w:rsidRPr="001B3DA9">
              <w:rPr>
                <w:color w:val="auto"/>
                <w:sz w:val="20"/>
              </w:rPr>
              <w:t>р</w:t>
            </w:r>
            <w:proofErr w:type="gramEnd"/>
            <w:r w:rsidRPr="001B3DA9">
              <w:rPr>
                <w:color w:val="auto"/>
                <w:sz w:val="20"/>
              </w:rPr>
              <w:t>ік</w:t>
            </w:r>
          </w:p>
        </w:tc>
        <w:tc>
          <w:tcPr>
            <w:tcW w:w="1338" w:type="dxa"/>
          </w:tcPr>
          <w:p w:rsidR="001B3DA9" w:rsidRPr="001B3DA9" w:rsidRDefault="001B3DA9" w:rsidP="001B3DA9">
            <w:pPr>
              <w:ind w:firstLine="0"/>
              <w:jc w:val="center"/>
              <w:rPr>
                <w:color w:val="auto"/>
                <w:sz w:val="20"/>
              </w:rPr>
            </w:pPr>
            <w:r w:rsidRPr="001B3DA9">
              <w:rPr>
                <w:color w:val="auto"/>
                <w:sz w:val="20"/>
              </w:rPr>
              <w:t xml:space="preserve">2017 </w:t>
            </w:r>
            <w:proofErr w:type="gramStart"/>
            <w:r w:rsidRPr="001B3DA9">
              <w:rPr>
                <w:color w:val="auto"/>
                <w:sz w:val="20"/>
              </w:rPr>
              <w:t>р</w:t>
            </w:r>
            <w:proofErr w:type="gramEnd"/>
            <w:r w:rsidRPr="001B3DA9">
              <w:rPr>
                <w:color w:val="auto"/>
                <w:sz w:val="20"/>
              </w:rPr>
              <w:t>ік</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 xml:space="preserve">Заробітна плата </w:t>
            </w:r>
          </w:p>
        </w:tc>
        <w:tc>
          <w:tcPr>
            <w:tcW w:w="1338" w:type="dxa"/>
          </w:tcPr>
          <w:p w:rsidR="001B3DA9" w:rsidRPr="001B3DA9" w:rsidRDefault="001B3DA9" w:rsidP="001B3DA9">
            <w:pPr>
              <w:ind w:firstLine="0"/>
              <w:jc w:val="center"/>
              <w:rPr>
                <w:color w:val="auto"/>
                <w:sz w:val="20"/>
              </w:rPr>
            </w:pPr>
            <w:r w:rsidRPr="001B3DA9">
              <w:rPr>
                <w:color w:val="auto"/>
                <w:sz w:val="20"/>
              </w:rPr>
              <w:t>2 551</w:t>
            </w:r>
          </w:p>
        </w:tc>
        <w:tc>
          <w:tcPr>
            <w:tcW w:w="1338" w:type="dxa"/>
          </w:tcPr>
          <w:p w:rsidR="001B3DA9" w:rsidRPr="001B3DA9" w:rsidRDefault="001B3DA9" w:rsidP="001B3DA9">
            <w:pPr>
              <w:ind w:firstLine="0"/>
              <w:jc w:val="center"/>
              <w:rPr>
                <w:color w:val="auto"/>
                <w:sz w:val="20"/>
              </w:rPr>
            </w:pPr>
            <w:r w:rsidRPr="001B3DA9">
              <w:rPr>
                <w:color w:val="auto"/>
                <w:sz w:val="20"/>
              </w:rPr>
              <w:t>3 018</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 xml:space="preserve">Відрахування до </w:t>
            </w:r>
            <w:proofErr w:type="gramStart"/>
            <w:r w:rsidRPr="001B3DA9">
              <w:rPr>
                <w:color w:val="auto"/>
                <w:sz w:val="20"/>
              </w:rPr>
              <w:t>соц</w:t>
            </w:r>
            <w:proofErr w:type="gramEnd"/>
            <w:r w:rsidRPr="001B3DA9">
              <w:rPr>
                <w:color w:val="auto"/>
                <w:sz w:val="20"/>
              </w:rPr>
              <w:t>іальних фондів</w:t>
            </w:r>
          </w:p>
        </w:tc>
        <w:tc>
          <w:tcPr>
            <w:tcW w:w="1338" w:type="dxa"/>
          </w:tcPr>
          <w:p w:rsidR="001B3DA9" w:rsidRPr="001B3DA9" w:rsidRDefault="001B3DA9" w:rsidP="001B3DA9">
            <w:pPr>
              <w:ind w:firstLine="0"/>
              <w:jc w:val="center"/>
              <w:rPr>
                <w:color w:val="auto"/>
                <w:sz w:val="20"/>
              </w:rPr>
            </w:pPr>
            <w:r w:rsidRPr="001B3DA9">
              <w:rPr>
                <w:color w:val="auto"/>
                <w:sz w:val="20"/>
              </w:rPr>
              <w:t>537</w:t>
            </w:r>
          </w:p>
        </w:tc>
        <w:tc>
          <w:tcPr>
            <w:tcW w:w="1338" w:type="dxa"/>
          </w:tcPr>
          <w:p w:rsidR="001B3DA9" w:rsidRPr="001B3DA9" w:rsidRDefault="001B3DA9" w:rsidP="001B3DA9">
            <w:pPr>
              <w:ind w:firstLine="0"/>
              <w:jc w:val="center"/>
              <w:rPr>
                <w:color w:val="auto"/>
                <w:sz w:val="20"/>
              </w:rPr>
            </w:pPr>
            <w:r w:rsidRPr="001B3DA9">
              <w:rPr>
                <w:color w:val="auto"/>
                <w:sz w:val="20"/>
              </w:rPr>
              <w:t>581</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Амортизація на необоротні активи</w:t>
            </w:r>
          </w:p>
        </w:tc>
        <w:tc>
          <w:tcPr>
            <w:tcW w:w="1338" w:type="dxa"/>
          </w:tcPr>
          <w:p w:rsidR="001B3DA9" w:rsidRPr="001B3DA9" w:rsidRDefault="001B3DA9" w:rsidP="001B3DA9">
            <w:pPr>
              <w:ind w:firstLine="0"/>
              <w:jc w:val="center"/>
              <w:rPr>
                <w:color w:val="auto"/>
                <w:sz w:val="20"/>
              </w:rPr>
            </w:pPr>
            <w:r w:rsidRPr="001B3DA9">
              <w:rPr>
                <w:color w:val="auto"/>
                <w:sz w:val="20"/>
              </w:rPr>
              <w:t>91</w:t>
            </w:r>
          </w:p>
        </w:tc>
        <w:tc>
          <w:tcPr>
            <w:tcW w:w="1338" w:type="dxa"/>
          </w:tcPr>
          <w:p w:rsidR="001B3DA9" w:rsidRPr="001B3DA9" w:rsidRDefault="001B3DA9" w:rsidP="001B3DA9">
            <w:pPr>
              <w:ind w:firstLine="0"/>
              <w:jc w:val="center"/>
              <w:rPr>
                <w:color w:val="auto"/>
                <w:sz w:val="20"/>
              </w:rPr>
            </w:pPr>
            <w:r w:rsidRPr="001B3DA9">
              <w:rPr>
                <w:color w:val="auto"/>
                <w:sz w:val="20"/>
              </w:rPr>
              <w:t>140</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Витрати на зв’язок</w:t>
            </w:r>
          </w:p>
        </w:tc>
        <w:tc>
          <w:tcPr>
            <w:tcW w:w="1338" w:type="dxa"/>
          </w:tcPr>
          <w:p w:rsidR="001B3DA9" w:rsidRPr="001B3DA9" w:rsidRDefault="001B3DA9" w:rsidP="001B3DA9">
            <w:pPr>
              <w:ind w:firstLine="0"/>
              <w:jc w:val="center"/>
              <w:rPr>
                <w:color w:val="auto"/>
                <w:sz w:val="20"/>
              </w:rPr>
            </w:pPr>
            <w:r w:rsidRPr="001B3DA9">
              <w:rPr>
                <w:color w:val="auto"/>
                <w:sz w:val="20"/>
              </w:rPr>
              <w:t>83</w:t>
            </w:r>
          </w:p>
        </w:tc>
        <w:tc>
          <w:tcPr>
            <w:tcW w:w="1338" w:type="dxa"/>
          </w:tcPr>
          <w:p w:rsidR="001B3DA9" w:rsidRPr="001B3DA9" w:rsidRDefault="001B3DA9" w:rsidP="001B3DA9">
            <w:pPr>
              <w:ind w:firstLine="0"/>
              <w:jc w:val="center"/>
              <w:rPr>
                <w:color w:val="auto"/>
                <w:sz w:val="20"/>
              </w:rPr>
            </w:pPr>
            <w:r w:rsidRPr="001B3DA9">
              <w:rPr>
                <w:color w:val="auto"/>
                <w:sz w:val="20"/>
              </w:rPr>
              <w:t>94</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Витрати на оренду</w:t>
            </w:r>
          </w:p>
        </w:tc>
        <w:tc>
          <w:tcPr>
            <w:tcW w:w="1338" w:type="dxa"/>
          </w:tcPr>
          <w:p w:rsidR="001B3DA9" w:rsidRPr="001B3DA9" w:rsidRDefault="001B3DA9" w:rsidP="001B3DA9">
            <w:pPr>
              <w:ind w:firstLine="0"/>
              <w:jc w:val="center"/>
              <w:rPr>
                <w:color w:val="auto"/>
                <w:sz w:val="20"/>
              </w:rPr>
            </w:pPr>
            <w:r w:rsidRPr="001B3DA9">
              <w:rPr>
                <w:color w:val="auto"/>
                <w:sz w:val="20"/>
              </w:rPr>
              <w:t>757</w:t>
            </w:r>
          </w:p>
        </w:tc>
        <w:tc>
          <w:tcPr>
            <w:tcW w:w="1338" w:type="dxa"/>
          </w:tcPr>
          <w:p w:rsidR="001B3DA9" w:rsidRPr="001B3DA9" w:rsidRDefault="001B3DA9" w:rsidP="001B3DA9">
            <w:pPr>
              <w:ind w:firstLine="0"/>
              <w:jc w:val="center"/>
              <w:rPr>
                <w:color w:val="auto"/>
                <w:sz w:val="20"/>
              </w:rPr>
            </w:pPr>
            <w:r w:rsidRPr="001B3DA9">
              <w:rPr>
                <w:color w:val="auto"/>
                <w:sz w:val="20"/>
              </w:rPr>
              <w:t>557</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Банківське обслуговування</w:t>
            </w:r>
          </w:p>
        </w:tc>
        <w:tc>
          <w:tcPr>
            <w:tcW w:w="1338" w:type="dxa"/>
          </w:tcPr>
          <w:p w:rsidR="001B3DA9" w:rsidRPr="001B3DA9" w:rsidRDefault="001B3DA9" w:rsidP="001B3DA9">
            <w:pPr>
              <w:ind w:firstLine="0"/>
              <w:jc w:val="center"/>
              <w:rPr>
                <w:color w:val="auto"/>
                <w:sz w:val="20"/>
              </w:rPr>
            </w:pPr>
            <w:r w:rsidRPr="001B3DA9">
              <w:rPr>
                <w:color w:val="auto"/>
                <w:sz w:val="20"/>
              </w:rPr>
              <w:t>6</w:t>
            </w:r>
          </w:p>
        </w:tc>
        <w:tc>
          <w:tcPr>
            <w:tcW w:w="1338" w:type="dxa"/>
          </w:tcPr>
          <w:p w:rsidR="001B3DA9" w:rsidRPr="001B3DA9" w:rsidRDefault="001B3DA9" w:rsidP="001B3DA9">
            <w:pPr>
              <w:ind w:firstLine="0"/>
              <w:jc w:val="center"/>
              <w:rPr>
                <w:color w:val="auto"/>
                <w:sz w:val="20"/>
              </w:rPr>
            </w:pPr>
            <w:r w:rsidRPr="001B3DA9">
              <w:rPr>
                <w:color w:val="auto"/>
                <w:sz w:val="20"/>
              </w:rPr>
              <w:t>14</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Транспортні витрати</w:t>
            </w:r>
          </w:p>
        </w:tc>
        <w:tc>
          <w:tcPr>
            <w:tcW w:w="1338" w:type="dxa"/>
          </w:tcPr>
          <w:p w:rsidR="001B3DA9" w:rsidRPr="001B3DA9" w:rsidRDefault="001B3DA9" w:rsidP="001B3DA9">
            <w:pPr>
              <w:ind w:firstLine="0"/>
              <w:jc w:val="center"/>
              <w:rPr>
                <w:color w:val="auto"/>
                <w:sz w:val="20"/>
              </w:rPr>
            </w:pPr>
            <w:r w:rsidRPr="001B3DA9">
              <w:rPr>
                <w:color w:val="auto"/>
                <w:sz w:val="20"/>
              </w:rPr>
              <w:t>148</w:t>
            </w:r>
          </w:p>
        </w:tc>
        <w:tc>
          <w:tcPr>
            <w:tcW w:w="1338" w:type="dxa"/>
          </w:tcPr>
          <w:p w:rsidR="001B3DA9" w:rsidRPr="001B3DA9" w:rsidRDefault="001B3DA9" w:rsidP="001B3DA9">
            <w:pPr>
              <w:ind w:firstLine="0"/>
              <w:jc w:val="center"/>
              <w:rPr>
                <w:color w:val="auto"/>
                <w:sz w:val="20"/>
              </w:rPr>
            </w:pPr>
            <w:r w:rsidRPr="001B3DA9">
              <w:rPr>
                <w:color w:val="auto"/>
                <w:sz w:val="20"/>
              </w:rPr>
              <w:t>170</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Аудиторські послуги</w:t>
            </w:r>
          </w:p>
        </w:tc>
        <w:tc>
          <w:tcPr>
            <w:tcW w:w="1338" w:type="dxa"/>
          </w:tcPr>
          <w:p w:rsidR="001B3DA9" w:rsidRPr="001B3DA9" w:rsidRDefault="001B3DA9" w:rsidP="001B3DA9">
            <w:pPr>
              <w:ind w:firstLine="0"/>
              <w:jc w:val="center"/>
              <w:rPr>
                <w:color w:val="auto"/>
                <w:sz w:val="20"/>
              </w:rPr>
            </w:pPr>
            <w:r w:rsidRPr="001B3DA9">
              <w:rPr>
                <w:color w:val="auto"/>
                <w:sz w:val="20"/>
              </w:rPr>
              <w:t>48</w:t>
            </w:r>
          </w:p>
        </w:tc>
        <w:tc>
          <w:tcPr>
            <w:tcW w:w="1338" w:type="dxa"/>
          </w:tcPr>
          <w:p w:rsidR="001B3DA9" w:rsidRPr="001B3DA9" w:rsidRDefault="001B3DA9" w:rsidP="001B3DA9">
            <w:pPr>
              <w:ind w:firstLine="0"/>
              <w:jc w:val="center"/>
              <w:rPr>
                <w:color w:val="auto"/>
                <w:sz w:val="20"/>
              </w:rPr>
            </w:pPr>
            <w:r w:rsidRPr="001B3DA9">
              <w:rPr>
                <w:color w:val="auto"/>
                <w:sz w:val="20"/>
              </w:rPr>
              <w:t>71</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Послуги нотаріуса</w:t>
            </w:r>
          </w:p>
        </w:tc>
        <w:tc>
          <w:tcPr>
            <w:tcW w:w="1338" w:type="dxa"/>
          </w:tcPr>
          <w:p w:rsidR="001B3DA9" w:rsidRPr="001B3DA9" w:rsidRDefault="001B3DA9" w:rsidP="001B3DA9">
            <w:pPr>
              <w:ind w:firstLine="0"/>
              <w:jc w:val="center"/>
              <w:rPr>
                <w:color w:val="auto"/>
                <w:sz w:val="20"/>
              </w:rPr>
            </w:pPr>
            <w:r w:rsidRPr="001B3DA9">
              <w:rPr>
                <w:color w:val="auto"/>
                <w:sz w:val="20"/>
              </w:rPr>
              <w:t>6</w:t>
            </w:r>
          </w:p>
        </w:tc>
        <w:tc>
          <w:tcPr>
            <w:tcW w:w="1338" w:type="dxa"/>
          </w:tcPr>
          <w:p w:rsidR="001B3DA9" w:rsidRPr="001B3DA9" w:rsidRDefault="001B3DA9" w:rsidP="001B3DA9">
            <w:pPr>
              <w:ind w:firstLine="0"/>
              <w:jc w:val="center"/>
              <w:rPr>
                <w:color w:val="auto"/>
                <w:sz w:val="20"/>
              </w:rPr>
            </w:pPr>
            <w:r w:rsidRPr="001B3DA9">
              <w:rPr>
                <w:color w:val="auto"/>
                <w:sz w:val="20"/>
              </w:rPr>
              <w:t>6</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lastRenderedPageBreak/>
              <w:t>Юридичні витрати</w:t>
            </w:r>
          </w:p>
        </w:tc>
        <w:tc>
          <w:tcPr>
            <w:tcW w:w="1338" w:type="dxa"/>
          </w:tcPr>
          <w:p w:rsidR="001B3DA9" w:rsidRPr="001B3DA9" w:rsidRDefault="001B3DA9" w:rsidP="001B3DA9">
            <w:pPr>
              <w:ind w:firstLine="0"/>
              <w:jc w:val="center"/>
              <w:rPr>
                <w:color w:val="auto"/>
                <w:sz w:val="20"/>
              </w:rPr>
            </w:pPr>
            <w:r w:rsidRPr="001B3DA9">
              <w:rPr>
                <w:color w:val="auto"/>
                <w:sz w:val="20"/>
              </w:rPr>
              <w:t>357</w:t>
            </w:r>
          </w:p>
        </w:tc>
        <w:tc>
          <w:tcPr>
            <w:tcW w:w="1338" w:type="dxa"/>
          </w:tcPr>
          <w:p w:rsidR="001B3DA9" w:rsidRPr="001B3DA9" w:rsidRDefault="001B3DA9" w:rsidP="001B3DA9">
            <w:pPr>
              <w:ind w:firstLine="0"/>
              <w:jc w:val="center"/>
              <w:rPr>
                <w:color w:val="auto"/>
                <w:sz w:val="20"/>
              </w:rPr>
            </w:pPr>
            <w:r w:rsidRPr="001B3DA9">
              <w:rPr>
                <w:color w:val="auto"/>
                <w:sz w:val="20"/>
              </w:rPr>
              <w:t>11</w:t>
            </w:r>
          </w:p>
        </w:tc>
      </w:tr>
      <w:tr w:rsidR="001B3DA9" w:rsidRPr="003232D8" w:rsidTr="002E68B4">
        <w:tc>
          <w:tcPr>
            <w:tcW w:w="6708" w:type="dxa"/>
          </w:tcPr>
          <w:p w:rsidR="001B3DA9" w:rsidRPr="001B3DA9" w:rsidRDefault="001B3DA9" w:rsidP="001B3DA9">
            <w:pPr>
              <w:ind w:firstLine="0"/>
              <w:rPr>
                <w:color w:val="auto"/>
                <w:sz w:val="20"/>
              </w:rPr>
            </w:pPr>
            <w:proofErr w:type="gramStart"/>
            <w:r w:rsidRPr="001B3DA9">
              <w:rPr>
                <w:color w:val="auto"/>
                <w:sz w:val="20"/>
              </w:rPr>
              <w:t>П</w:t>
            </w:r>
            <w:proofErr w:type="gramEnd"/>
            <w:r w:rsidRPr="001B3DA9">
              <w:rPr>
                <w:color w:val="auto"/>
                <w:sz w:val="20"/>
              </w:rPr>
              <w:t>ідписка на періодичні видання</w:t>
            </w:r>
          </w:p>
        </w:tc>
        <w:tc>
          <w:tcPr>
            <w:tcW w:w="1338" w:type="dxa"/>
          </w:tcPr>
          <w:p w:rsidR="001B3DA9" w:rsidRPr="001B3DA9" w:rsidRDefault="001B3DA9" w:rsidP="001B3DA9">
            <w:pPr>
              <w:ind w:firstLine="0"/>
              <w:jc w:val="center"/>
              <w:rPr>
                <w:color w:val="auto"/>
                <w:sz w:val="20"/>
              </w:rPr>
            </w:pPr>
            <w:r w:rsidRPr="001B3DA9">
              <w:rPr>
                <w:color w:val="auto"/>
                <w:sz w:val="20"/>
              </w:rPr>
              <w:t>42</w:t>
            </w:r>
          </w:p>
        </w:tc>
        <w:tc>
          <w:tcPr>
            <w:tcW w:w="1338" w:type="dxa"/>
          </w:tcPr>
          <w:p w:rsidR="001B3DA9" w:rsidRPr="001B3DA9" w:rsidRDefault="001B3DA9" w:rsidP="001B3DA9">
            <w:pPr>
              <w:ind w:firstLine="0"/>
              <w:jc w:val="center"/>
              <w:rPr>
                <w:color w:val="auto"/>
                <w:sz w:val="20"/>
              </w:rPr>
            </w:pPr>
            <w:r w:rsidRPr="001B3DA9">
              <w:rPr>
                <w:color w:val="auto"/>
                <w:sz w:val="20"/>
              </w:rPr>
              <w:t>33</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Консультаційн</w:t>
            </w:r>
            <w:proofErr w:type="gramStart"/>
            <w:r w:rsidRPr="001B3DA9">
              <w:rPr>
                <w:color w:val="auto"/>
                <w:sz w:val="20"/>
              </w:rPr>
              <w:t>о-</w:t>
            </w:r>
            <w:proofErr w:type="gramEnd"/>
            <w:r w:rsidRPr="001B3DA9">
              <w:rPr>
                <w:color w:val="auto"/>
                <w:sz w:val="20"/>
              </w:rPr>
              <w:t>інформаційні послуги</w:t>
            </w:r>
          </w:p>
        </w:tc>
        <w:tc>
          <w:tcPr>
            <w:tcW w:w="1338" w:type="dxa"/>
          </w:tcPr>
          <w:p w:rsidR="001B3DA9" w:rsidRPr="001B3DA9" w:rsidRDefault="001B3DA9" w:rsidP="001B3DA9">
            <w:pPr>
              <w:ind w:firstLine="0"/>
              <w:jc w:val="center"/>
              <w:rPr>
                <w:color w:val="auto"/>
                <w:sz w:val="20"/>
              </w:rPr>
            </w:pPr>
            <w:r w:rsidRPr="001B3DA9">
              <w:rPr>
                <w:color w:val="auto"/>
                <w:sz w:val="20"/>
              </w:rPr>
              <w:t>206</w:t>
            </w:r>
          </w:p>
        </w:tc>
        <w:tc>
          <w:tcPr>
            <w:tcW w:w="1338" w:type="dxa"/>
          </w:tcPr>
          <w:p w:rsidR="001B3DA9" w:rsidRPr="001B3DA9" w:rsidRDefault="001B3DA9" w:rsidP="001B3DA9">
            <w:pPr>
              <w:ind w:firstLine="0"/>
              <w:jc w:val="center"/>
              <w:rPr>
                <w:color w:val="auto"/>
                <w:sz w:val="20"/>
              </w:rPr>
            </w:pPr>
            <w:r w:rsidRPr="001B3DA9">
              <w:rPr>
                <w:color w:val="auto"/>
                <w:sz w:val="20"/>
              </w:rPr>
              <w:t>183</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Публікація офіційної інформації</w:t>
            </w:r>
          </w:p>
        </w:tc>
        <w:tc>
          <w:tcPr>
            <w:tcW w:w="1338" w:type="dxa"/>
          </w:tcPr>
          <w:p w:rsidR="001B3DA9" w:rsidRPr="001B3DA9" w:rsidRDefault="001B3DA9" w:rsidP="001B3DA9">
            <w:pPr>
              <w:ind w:firstLine="0"/>
              <w:jc w:val="center"/>
              <w:rPr>
                <w:color w:val="auto"/>
                <w:sz w:val="20"/>
              </w:rPr>
            </w:pPr>
            <w:r w:rsidRPr="001B3DA9">
              <w:rPr>
                <w:color w:val="auto"/>
                <w:sz w:val="20"/>
              </w:rPr>
              <w:t>33</w:t>
            </w:r>
          </w:p>
        </w:tc>
        <w:tc>
          <w:tcPr>
            <w:tcW w:w="1338" w:type="dxa"/>
          </w:tcPr>
          <w:p w:rsidR="001B3DA9" w:rsidRPr="001B3DA9" w:rsidRDefault="001B3DA9" w:rsidP="001B3DA9">
            <w:pPr>
              <w:ind w:firstLine="0"/>
              <w:jc w:val="center"/>
              <w:rPr>
                <w:color w:val="auto"/>
                <w:sz w:val="20"/>
              </w:rPr>
            </w:pPr>
            <w:r w:rsidRPr="001B3DA9">
              <w:rPr>
                <w:color w:val="auto"/>
                <w:sz w:val="20"/>
              </w:rPr>
              <w:t>39</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Депозитарні послуги</w:t>
            </w:r>
          </w:p>
        </w:tc>
        <w:tc>
          <w:tcPr>
            <w:tcW w:w="1338" w:type="dxa"/>
          </w:tcPr>
          <w:p w:rsidR="001B3DA9" w:rsidRPr="001B3DA9" w:rsidRDefault="001B3DA9" w:rsidP="001B3DA9">
            <w:pPr>
              <w:ind w:firstLine="0"/>
              <w:jc w:val="center"/>
              <w:rPr>
                <w:color w:val="auto"/>
                <w:sz w:val="20"/>
              </w:rPr>
            </w:pPr>
            <w:r w:rsidRPr="001B3DA9">
              <w:rPr>
                <w:color w:val="auto"/>
                <w:sz w:val="20"/>
              </w:rPr>
              <w:t>12</w:t>
            </w:r>
          </w:p>
        </w:tc>
        <w:tc>
          <w:tcPr>
            <w:tcW w:w="1338" w:type="dxa"/>
          </w:tcPr>
          <w:p w:rsidR="001B3DA9" w:rsidRPr="001B3DA9" w:rsidRDefault="001B3DA9" w:rsidP="001B3DA9">
            <w:pPr>
              <w:ind w:firstLine="0"/>
              <w:jc w:val="center"/>
              <w:rPr>
                <w:color w:val="auto"/>
                <w:sz w:val="20"/>
              </w:rPr>
            </w:pPr>
            <w:r w:rsidRPr="001B3DA9">
              <w:rPr>
                <w:color w:val="auto"/>
                <w:sz w:val="20"/>
              </w:rPr>
              <w:t>8</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Комунальні послуги</w:t>
            </w:r>
          </w:p>
        </w:tc>
        <w:tc>
          <w:tcPr>
            <w:tcW w:w="1338" w:type="dxa"/>
          </w:tcPr>
          <w:p w:rsidR="001B3DA9" w:rsidRPr="001B3DA9" w:rsidRDefault="001B3DA9" w:rsidP="001B3DA9">
            <w:pPr>
              <w:ind w:firstLine="0"/>
              <w:jc w:val="center"/>
              <w:rPr>
                <w:color w:val="auto"/>
                <w:sz w:val="20"/>
              </w:rPr>
            </w:pPr>
            <w:r w:rsidRPr="001B3DA9">
              <w:rPr>
                <w:color w:val="auto"/>
                <w:sz w:val="20"/>
              </w:rPr>
              <w:t>86</w:t>
            </w:r>
          </w:p>
        </w:tc>
        <w:tc>
          <w:tcPr>
            <w:tcW w:w="1338" w:type="dxa"/>
          </w:tcPr>
          <w:p w:rsidR="001B3DA9" w:rsidRPr="001B3DA9" w:rsidRDefault="001B3DA9" w:rsidP="001B3DA9">
            <w:pPr>
              <w:ind w:firstLine="0"/>
              <w:jc w:val="center"/>
              <w:rPr>
                <w:color w:val="auto"/>
                <w:sz w:val="20"/>
              </w:rPr>
            </w:pPr>
            <w:r w:rsidRPr="001B3DA9">
              <w:rPr>
                <w:color w:val="auto"/>
                <w:sz w:val="20"/>
              </w:rPr>
              <w:t>72</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Господарські витрати</w:t>
            </w:r>
          </w:p>
        </w:tc>
        <w:tc>
          <w:tcPr>
            <w:tcW w:w="1338" w:type="dxa"/>
          </w:tcPr>
          <w:p w:rsidR="001B3DA9" w:rsidRPr="001B3DA9" w:rsidRDefault="001B3DA9" w:rsidP="001B3DA9">
            <w:pPr>
              <w:ind w:firstLine="0"/>
              <w:jc w:val="center"/>
              <w:rPr>
                <w:color w:val="auto"/>
                <w:sz w:val="20"/>
              </w:rPr>
            </w:pPr>
            <w:r w:rsidRPr="001B3DA9">
              <w:rPr>
                <w:color w:val="auto"/>
                <w:sz w:val="20"/>
              </w:rPr>
              <w:t>82</w:t>
            </w:r>
          </w:p>
        </w:tc>
        <w:tc>
          <w:tcPr>
            <w:tcW w:w="1338" w:type="dxa"/>
          </w:tcPr>
          <w:p w:rsidR="001B3DA9" w:rsidRPr="001B3DA9" w:rsidRDefault="001B3DA9" w:rsidP="001B3DA9">
            <w:pPr>
              <w:ind w:firstLine="0"/>
              <w:jc w:val="center"/>
              <w:rPr>
                <w:color w:val="auto"/>
                <w:sz w:val="20"/>
              </w:rPr>
            </w:pPr>
            <w:r w:rsidRPr="001B3DA9">
              <w:rPr>
                <w:color w:val="auto"/>
                <w:sz w:val="20"/>
              </w:rPr>
              <w:t>49</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Технічне обслуговування</w:t>
            </w:r>
          </w:p>
        </w:tc>
        <w:tc>
          <w:tcPr>
            <w:tcW w:w="1338" w:type="dxa"/>
          </w:tcPr>
          <w:p w:rsidR="001B3DA9" w:rsidRPr="001B3DA9" w:rsidRDefault="001B3DA9" w:rsidP="001B3DA9">
            <w:pPr>
              <w:ind w:firstLine="0"/>
              <w:jc w:val="center"/>
              <w:rPr>
                <w:color w:val="auto"/>
                <w:sz w:val="20"/>
              </w:rPr>
            </w:pPr>
            <w:r w:rsidRPr="001B3DA9">
              <w:rPr>
                <w:color w:val="auto"/>
                <w:sz w:val="20"/>
              </w:rPr>
              <w:t>715</w:t>
            </w:r>
          </w:p>
        </w:tc>
        <w:tc>
          <w:tcPr>
            <w:tcW w:w="1338" w:type="dxa"/>
          </w:tcPr>
          <w:p w:rsidR="001B3DA9" w:rsidRPr="001B3DA9" w:rsidRDefault="001B3DA9" w:rsidP="001B3DA9">
            <w:pPr>
              <w:ind w:firstLine="0"/>
              <w:jc w:val="center"/>
              <w:rPr>
                <w:color w:val="auto"/>
                <w:sz w:val="20"/>
              </w:rPr>
            </w:pPr>
            <w:r w:rsidRPr="001B3DA9">
              <w:rPr>
                <w:color w:val="auto"/>
                <w:sz w:val="20"/>
              </w:rPr>
              <w:t>774</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Витрати на канцтовари</w:t>
            </w:r>
          </w:p>
        </w:tc>
        <w:tc>
          <w:tcPr>
            <w:tcW w:w="1338" w:type="dxa"/>
          </w:tcPr>
          <w:p w:rsidR="001B3DA9" w:rsidRPr="001B3DA9" w:rsidRDefault="001B3DA9" w:rsidP="001B3DA9">
            <w:pPr>
              <w:ind w:firstLine="0"/>
              <w:jc w:val="center"/>
              <w:rPr>
                <w:color w:val="auto"/>
                <w:sz w:val="20"/>
              </w:rPr>
            </w:pPr>
            <w:r w:rsidRPr="001B3DA9">
              <w:rPr>
                <w:color w:val="auto"/>
                <w:sz w:val="20"/>
              </w:rPr>
              <w:t>28</w:t>
            </w:r>
          </w:p>
        </w:tc>
        <w:tc>
          <w:tcPr>
            <w:tcW w:w="1338" w:type="dxa"/>
          </w:tcPr>
          <w:p w:rsidR="001B3DA9" w:rsidRPr="001B3DA9" w:rsidRDefault="001B3DA9" w:rsidP="001B3DA9">
            <w:pPr>
              <w:ind w:firstLine="0"/>
              <w:jc w:val="center"/>
              <w:rPr>
                <w:color w:val="auto"/>
                <w:sz w:val="20"/>
              </w:rPr>
            </w:pPr>
            <w:r w:rsidRPr="001B3DA9">
              <w:rPr>
                <w:color w:val="auto"/>
                <w:sz w:val="20"/>
              </w:rPr>
              <w:t>21</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Послуги пошти</w:t>
            </w:r>
          </w:p>
        </w:tc>
        <w:tc>
          <w:tcPr>
            <w:tcW w:w="1338" w:type="dxa"/>
          </w:tcPr>
          <w:p w:rsidR="001B3DA9" w:rsidRPr="001B3DA9" w:rsidRDefault="001B3DA9" w:rsidP="001B3DA9">
            <w:pPr>
              <w:ind w:firstLine="0"/>
              <w:jc w:val="center"/>
              <w:rPr>
                <w:color w:val="auto"/>
                <w:sz w:val="20"/>
              </w:rPr>
            </w:pPr>
            <w:r w:rsidRPr="001B3DA9">
              <w:rPr>
                <w:color w:val="auto"/>
                <w:sz w:val="20"/>
              </w:rPr>
              <w:t>23</w:t>
            </w:r>
          </w:p>
        </w:tc>
        <w:tc>
          <w:tcPr>
            <w:tcW w:w="1338" w:type="dxa"/>
          </w:tcPr>
          <w:p w:rsidR="001B3DA9" w:rsidRPr="001B3DA9" w:rsidRDefault="001B3DA9" w:rsidP="001B3DA9">
            <w:pPr>
              <w:ind w:firstLine="0"/>
              <w:jc w:val="center"/>
              <w:rPr>
                <w:color w:val="auto"/>
                <w:sz w:val="20"/>
              </w:rPr>
            </w:pPr>
            <w:r w:rsidRPr="001B3DA9">
              <w:rPr>
                <w:color w:val="auto"/>
                <w:sz w:val="20"/>
              </w:rPr>
              <w:t>42</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Послуги перевезення майна</w:t>
            </w:r>
          </w:p>
        </w:tc>
        <w:tc>
          <w:tcPr>
            <w:tcW w:w="1338" w:type="dxa"/>
          </w:tcPr>
          <w:p w:rsidR="001B3DA9" w:rsidRPr="001B3DA9" w:rsidRDefault="001B3DA9" w:rsidP="001B3DA9">
            <w:pPr>
              <w:ind w:firstLine="0"/>
              <w:jc w:val="center"/>
              <w:rPr>
                <w:color w:val="auto"/>
                <w:sz w:val="20"/>
              </w:rPr>
            </w:pPr>
            <w:r w:rsidRPr="001B3DA9">
              <w:rPr>
                <w:color w:val="auto"/>
                <w:sz w:val="20"/>
              </w:rPr>
              <w:t>243</w:t>
            </w:r>
          </w:p>
        </w:tc>
        <w:tc>
          <w:tcPr>
            <w:tcW w:w="1338" w:type="dxa"/>
          </w:tcPr>
          <w:p w:rsidR="001B3DA9" w:rsidRPr="001B3DA9" w:rsidRDefault="001B3DA9" w:rsidP="001B3DA9">
            <w:pPr>
              <w:ind w:firstLine="0"/>
              <w:jc w:val="center"/>
              <w:rPr>
                <w:color w:val="auto"/>
                <w:sz w:val="20"/>
              </w:rPr>
            </w:pPr>
            <w:r w:rsidRPr="001B3DA9">
              <w:rPr>
                <w:color w:val="auto"/>
                <w:sz w:val="20"/>
              </w:rPr>
              <w:t>55</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Відрядження</w:t>
            </w:r>
          </w:p>
        </w:tc>
        <w:tc>
          <w:tcPr>
            <w:tcW w:w="1338" w:type="dxa"/>
          </w:tcPr>
          <w:p w:rsidR="001B3DA9" w:rsidRPr="001B3DA9" w:rsidRDefault="001B3DA9" w:rsidP="001B3DA9">
            <w:pPr>
              <w:ind w:firstLine="0"/>
              <w:jc w:val="center"/>
              <w:rPr>
                <w:color w:val="auto"/>
                <w:sz w:val="20"/>
              </w:rPr>
            </w:pPr>
            <w:r w:rsidRPr="001B3DA9">
              <w:rPr>
                <w:color w:val="auto"/>
                <w:sz w:val="20"/>
              </w:rPr>
              <w:t>32</w:t>
            </w:r>
          </w:p>
        </w:tc>
        <w:tc>
          <w:tcPr>
            <w:tcW w:w="1338" w:type="dxa"/>
          </w:tcPr>
          <w:p w:rsidR="001B3DA9" w:rsidRPr="001B3DA9" w:rsidRDefault="001B3DA9" w:rsidP="001B3DA9">
            <w:pPr>
              <w:ind w:firstLine="0"/>
              <w:jc w:val="center"/>
              <w:rPr>
                <w:color w:val="auto"/>
                <w:sz w:val="20"/>
              </w:rPr>
            </w:pPr>
            <w:r w:rsidRPr="001B3DA9">
              <w:rPr>
                <w:color w:val="auto"/>
                <w:sz w:val="20"/>
              </w:rPr>
              <w:t>72</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Витрати на страхування</w:t>
            </w:r>
          </w:p>
        </w:tc>
        <w:tc>
          <w:tcPr>
            <w:tcW w:w="1338" w:type="dxa"/>
          </w:tcPr>
          <w:p w:rsidR="001B3DA9" w:rsidRPr="001B3DA9" w:rsidRDefault="001B3DA9" w:rsidP="001B3DA9">
            <w:pPr>
              <w:ind w:firstLine="0"/>
              <w:jc w:val="center"/>
              <w:rPr>
                <w:color w:val="auto"/>
                <w:sz w:val="20"/>
              </w:rPr>
            </w:pPr>
            <w:r w:rsidRPr="001B3DA9">
              <w:rPr>
                <w:color w:val="auto"/>
                <w:sz w:val="20"/>
              </w:rPr>
              <w:t>68</w:t>
            </w:r>
          </w:p>
        </w:tc>
        <w:tc>
          <w:tcPr>
            <w:tcW w:w="1338" w:type="dxa"/>
          </w:tcPr>
          <w:p w:rsidR="001B3DA9" w:rsidRPr="001B3DA9" w:rsidRDefault="001B3DA9" w:rsidP="001B3DA9">
            <w:pPr>
              <w:ind w:firstLine="0"/>
              <w:jc w:val="center"/>
              <w:rPr>
                <w:color w:val="auto"/>
                <w:sz w:val="20"/>
              </w:rPr>
            </w:pPr>
            <w:r w:rsidRPr="001B3DA9">
              <w:rPr>
                <w:color w:val="auto"/>
                <w:sz w:val="20"/>
              </w:rPr>
              <w:t>190</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Інші послуги</w:t>
            </w:r>
          </w:p>
        </w:tc>
        <w:tc>
          <w:tcPr>
            <w:tcW w:w="1338" w:type="dxa"/>
          </w:tcPr>
          <w:p w:rsidR="001B3DA9" w:rsidRPr="001B3DA9" w:rsidRDefault="001B3DA9" w:rsidP="001B3DA9">
            <w:pPr>
              <w:ind w:firstLine="0"/>
              <w:jc w:val="center"/>
              <w:rPr>
                <w:color w:val="auto"/>
                <w:sz w:val="20"/>
              </w:rPr>
            </w:pPr>
            <w:r w:rsidRPr="001B3DA9">
              <w:rPr>
                <w:color w:val="auto"/>
                <w:sz w:val="20"/>
              </w:rPr>
              <w:t>273</w:t>
            </w:r>
          </w:p>
        </w:tc>
        <w:tc>
          <w:tcPr>
            <w:tcW w:w="1338" w:type="dxa"/>
          </w:tcPr>
          <w:p w:rsidR="001B3DA9" w:rsidRPr="001B3DA9" w:rsidRDefault="001B3DA9" w:rsidP="001B3DA9">
            <w:pPr>
              <w:ind w:firstLine="0"/>
              <w:jc w:val="center"/>
              <w:rPr>
                <w:color w:val="auto"/>
                <w:sz w:val="20"/>
              </w:rPr>
            </w:pPr>
            <w:r w:rsidRPr="001B3DA9">
              <w:rPr>
                <w:color w:val="auto"/>
                <w:sz w:val="20"/>
              </w:rPr>
              <w:t>510</w:t>
            </w:r>
          </w:p>
        </w:tc>
      </w:tr>
      <w:tr w:rsidR="001B3DA9" w:rsidRPr="003232D8" w:rsidTr="002E68B4">
        <w:tc>
          <w:tcPr>
            <w:tcW w:w="6708" w:type="dxa"/>
          </w:tcPr>
          <w:p w:rsidR="001B3DA9" w:rsidRPr="001B3DA9" w:rsidRDefault="001B3DA9" w:rsidP="001B3DA9">
            <w:pPr>
              <w:ind w:firstLine="0"/>
              <w:rPr>
                <w:color w:val="auto"/>
                <w:sz w:val="20"/>
              </w:rPr>
            </w:pPr>
            <w:r w:rsidRPr="001B3DA9">
              <w:rPr>
                <w:color w:val="auto"/>
                <w:sz w:val="20"/>
              </w:rPr>
              <w:t>Разом:</w:t>
            </w:r>
          </w:p>
        </w:tc>
        <w:tc>
          <w:tcPr>
            <w:tcW w:w="1338" w:type="dxa"/>
          </w:tcPr>
          <w:p w:rsidR="001B3DA9" w:rsidRPr="001B3DA9" w:rsidRDefault="001B3DA9" w:rsidP="001B3DA9">
            <w:pPr>
              <w:ind w:firstLine="0"/>
              <w:jc w:val="center"/>
              <w:rPr>
                <w:color w:val="auto"/>
                <w:sz w:val="20"/>
              </w:rPr>
            </w:pPr>
            <w:r w:rsidRPr="001B3DA9">
              <w:rPr>
                <w:color w:val="auto"/>
                <w:sz w:val="20"/>
              </w:rPr>
              <w:t>6 427</w:t>
            </w:r>
          </w:p>
        </w:tc>
        <w:tc>
          <w:tcPr>
            <w:tcW w:w="1338" w:type="dxa"/>
          </w:tcPr>
          <w:p w:rsidR="001B3DA9" w:rsidRPr="001B3DA9" w:rsidRDefault="001B3DA9" w:rsidP="001B3DA9">
            <w:pPr>
              <w:ind w:firstLine="0"/>
              <w:jc w:val="center"/>
              <w:rPr>
                <w:color w:val="auto"/>
                <w:sz w:val="20"/>
              </w:rPr>
            </w:pPr>
            <w:r w:rsidRPr="001B3DA9">
              <w:rPr>
                <w:color w:val="auto"/>
                <w:sz w:val="20"/>
              </w:rPr>
              <w:t>6 710</w:t>
            </w:r>
          </w:p>
        </w:tc>
      </w:tr>
    </w:tbl>
    <w:p w:rsidR="00C37417" w:rsidRDefault="00C37417" w:rsidP="00C37417">
      <w:pPr>
        <w:contextualSpacing/>
        <w:jc w:val="center"/>
        <w:rPr>
          <w:b/>
          <w:color w:val="auto"/>
          <w:sz w:val="20"/>
          <w:lang w:val="uk-UA"/>
        </w:rPr>
      </w:pPr>
    </w:p>
    <w:p w:rsidR="002F5734" w:rsidRPr="0018493C" w:rsidRDefault="002F5734" w:rsidP="00C37417">
      <w:pPr>
        <w:ind w:firstLine="708"/>
        <w:rPr>
          <w:b/>
          <w:color w:val="auto"/>
          <w:sz w:val="20"/>
        </w:rPr>
      </w:pPr>
    </w:p>
    <w:p w:rsidR="00C37417" w:rsidRPr="0018493C" w:rsidRDefault="00C37417" w:rsidP="002F5734">
      <w:pPr>
        <w:pStyle w:val="2"/>
        <w:ind w:left="567" w:hanging="567"/>
      </w:pPr>
      <w:bookmarkStart w:id="38" w:name="_Toc511835076"/>
      <w:r w:rsidRPr="0018493C">
        <w:t>Витрати на збут</w:t>
      </w:r>
      <w:bookmarkEnd w:id="38"/>
    </w:p>
    <w:p w:rsidR="00C37417" w:rsidRPr="0018493C" w:rsidRDefault="00C37417" w:rsidP="002F5734">
      <w:pPr>
        <w:ind w:firstLine="0"/>
        <w:contextualSpacing/>
        <w:rPr>
          <w:color w:val="auto"/>
          <w:sz w:val="20"/>
        </w:rPr>
      </w:pPr>
      <w:r w:rsidRPr="0018493C">
        <w:rPr>
          <w:color w:val="auto"/>
          <w:sz w:val="20"/>
        </w:rPr>
        <w:t>Витрати на збут послуг протягом 201</w:t>
      </w:r>
      <w:r w:rsidR="0065087B">
        <w:rPr>
          <w:color w:val="auto"/>
          <w:sz w:val="20"/>
          <w:lang w:val="uk-UA"/>
        </w:rPr>
        <w:t>7</w:t>
      </w:r>
      <w:r w:rsidRPr="0018493C">
        <w:rPr>
          <w:color w:val="auto"/>
          <w:sz w:val="20"/>
        </w:rPr>
        <w:t xml:space="preserve"> року складались з</w:t>
      </w:r>
      <w:proofErr w:type="gramStart"/>
      <w:r w:rsidRPr="0018493C">
        <w:rPr>
          <w:color w:val="auto"/>
          <w:sz w:val="20"/>
        </w:rPr>
        <w:t xml:space="preserve">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65087B" w:rsidRPr="0065087B" w:rsidTr="00E065A5">
        <w:tc>
          <w:tcPr>
            <w:tcW w:w="6708" w:type="dxa"/>
          </w:tcPr>
          <w:p w:rsidR="0065087B" w:rsidRPr="0065087B" w:rsidRDefault="0065087B" w:rsidP="0065087B">
            <w:pPr>
              <w:ind w:firstLine="0"/>
              <w:contextualSpacing/>
              <w:rPr>
                <w:color w:val="auto"/>
                <w:sz w:val="20"/>
              </w:rPr>
            </w:pPr>
          </w:p>
        </w:tc>
        <w:tc>
          <w:tcPr>
            <w:tcW w:w="1338" w:type="dxa"/>
          </w:tcPr>
          <w:p w:rsidR="0065087B" w:rsidRPr="0065087B" w:rsidRDefault="0065087B" w:rsidP="0065087B">
            <w:pPr>
              <w:ind w:firstLine="0"/>
              <w:contextualSpacing/>
              <w:rPr>
                <w:color w:val="auto"/>
                <w:sz w:val="20"/>
              </w:rPr>
            </w:pPr>
            <w:r w:rsidRPr="0065087B">
              <w:rPr>
                <w:color w:val="auto"/>
                <w:sz w:val="20"/>
              </w:rPr>
              <w:t xml:space="preserve">2016 </w:t>
            </w:r>
            <w:proofErr w:type="gramStart"/>
            <w:r w:rsidRPr="0065087B">
              <w:rPr>
                <w:color w:val="auto"/>
                <w:sz w:val="20"/>
              </w:rPr>
              <w:t>р</w:t>
            </w:r>
            <w:proofErr w:type="gramEnd"/>
            <w:r w:rsidRPr="0065087B">
              <w:rPr>
                <w:color w:val="auto"/>
                <w:sz w:val="20"/>
              </w:rPr>
              <w:t>ік</w:t>
            </w:r>
          </w:p>
        </w:tc>
        <w:tc>
          <w:tcPr>
            <w:tcW w:w="1338" w:type="dxa"/>
          </w:tcPr>
          <w:p w:rsidR="0065087B" w:rsidRPr="0065087B" w:rsidRDefault="0065087B" w:rsidP="0065087B">
            <w:pPr>
              <w:ind w:firstLine="0"/>
              <w:contextualSpacing/>
              <w:rPr>
                <w:color w:val="auto"/>
                <w:sz w:val="20"/>
              </w:rPr>
            </w:pPr>
            <w:r w:rsidRPr="0065087B">
              <w:rPr>
                <w:color w:val="auto"/>
                <w:sz w:val="20"/>
              </w:rPr>
              <w:t xml:space="preserve">2017 </w:t>
            </w:r>
            <w:proofErr w:type="gramStart"/>
            <w:r w:rsidRPr="0065087B">
              <w:rPr>
                <w:color w:val="auto"/>
                <w:sz w:val="20"/>
              </w:rPr>
              <w:t>р</w:t>
            </w:r>
            <w:proofErr w:type="gramEnd"/>
            <w:r w:rsidRPr="0065087B">
              <w:rPr>
                <w:color w:val="auto"/>
                <w:sz w:val="20"/>
              </w:rPr>
              <w:t>ік</w:t>
            </w:r>
          </w:p>
        </w:tc>
      </w:tr>
      <w:tr w:rsidR="0065087B" w:rsidRPr="0065087B" w:rsidTr="002E68B4">
        <w:tc>
          <w:tcPr>
            <w:tcW w:w="6708" w:type="dxa"/>
          </w:tcPr>
          <w:p w:rsidR="0065087B" w:rsidRPr="0065087B" w:rsidRDefault="0065087B" w:rsidP="0065087B">
            <w:pPr>
              <w:ind w:firstLine="0"/>
              <w:contextualSpacing/>
              <w:rPr>
                <w:color w:val="auto"/>
                <w:sz w:val="20"/>
              </w:rPr>
            </w:pPr>
            <w:r w:rsidRPr="0065087B">
              <w:rPr>
                <w:color w:val="auto"/>
                <w:sz w:val="20"/>
              </w:rPr>
              <w:t>Агентська винагорода</w:t>
            </w:r>
          </w:p>
        </w:tc>
        <w:tc>
          <w:tcPr>
            <w:tcW w:w="1338" w:type="dxa"/>
          </w:tcPr>
          <w:p w:rsidR="0065087B" w:rsidRPr="0065087B" w:rsidRDefault="0065087B" w:rsidP="0065087B">
            <w:pPr>
              <w:ind w:firstLine="0"/>
              <w:contextualSpacing/>
              <w:rPr>
                <w:color w:val="auto"/>
                <w:sz w:val="20"/>
              </w:rPr>
            </w:pPr>
            <w:r w:rsidRPr="0065087B">
              <w:rPr>
                <w:color w:val="auto"/>
                <w:sz w:val="20"/>
              </w:rPr>
              <w:t>63 499</w:t>
            </w:r>
          </w:p>
        </w:tc>
        <w:tc>
          <w:tcPr>
            <w:tcW w:w="1338" w:type="dxa"/>
            <w:vAlign w:val="center"/>
          </w:tcPr>
          <w:p w:rsidR="0065087B" w:rsidRPr="0065087B" w:rsidRDefault="0065087B" w:rsidP="0065087B">
            <w:pPr>
              <w:ind w:firstLine="0"/>
              <w:contextualSpacing/>
              <w:rPr>
                <w:color w:val="auto"/>
                <w:sz w:val="20"/>
              </w:rPr>
            </w:pPr>
            <w:r w:rsidRPr="0065087B">
              <w:rPr>
                <w:color w:val="auto"/>
                <w:sz w:val="20"/>
              </w:rPr>
              <w:t>41 643</w:t>
            </w:r>
          </w:p>
        </w:tc>
      </w:tr>
      <w:tr w:rsidR="0065087B" w:rsidRPr="0065087B" w:rsidTr="002E68B4">
        <w:tc>
          <w:tcPr>
            <w:tcW w:w="6708" w:type="dxa"/>
          </w:tcPr>
          <w:p w:rsidR="0065087B" w:rsidRPr="0065087B" w:rsidRDefault="0065087B" w:rsidP="0065087B">
            <w:pPr>
              <w:ind w:firstLine="0"/>
              <w:contextualSpacing/>
              <w:rPr>
                <w:color w:val="auto"/>
                <w:sz w:val="20"/>
              </w:rPr>
            </w:pPr>
            <w:r w:rsidRPr="0065087B">
              <w:rPr>
                <w:color w:val="auto"/>
                <w:sz w:val="20"/>
              </w:rPr>
              <w:t>Витрати на рекламу та інші</w:t>
            </w:r>
          </w:p>
        </w:tc>
        <w:tc>
          <w:tcPr>
            <w:tcW w:w="1338" w:type="dxa"/>
          </w:tcPr>
          <w:p w:rsidR="0065087B" w:rsidRPr="0065087B" w:rsidRDefault="0065087B" w:rsidP="0065087B">
            <w:pPr>
              <w:ind w:firstLine="0"/>
              <w:contextualSpacing/>
              <w:rPr>
                <w:color w:val="auto"/>
                <w:sz w:val="20"/>
              </w:rPr>
            </w:pPr>
            <w:r w:rsidRPr="0065087B">
              <w:rPr>
                <w:color w:val="auto"/>
                <w:sz w:val="20"/>
              </w:rPr>
              <w:t>296</w:t>
            </w:r>
          </w:p>
        </w:tc>
        <w:tc>
          <w:tcPr>
            <w:tcW w:w="1338" w:type="dxa"/>
            <w:vAlign w:val="center"/>
          </w:tcPr>
          <w:p w:rsidR="0065087B" w:rsidRPr="0065087B" w:rsidRDefault="0065087B" w:rsidP="0065087B">
            <w:pPr>
              <w:ind w:firstLine="0"/>
              <w:contextualSpacing/>
              <w:rPr>
                <w:color w:val="auto"/>
                <w:sz w:val="20"/>
              </w:rPr>
            </w:pPr>
            <w:r w:rsidRPr="0065087B">
              <w:rPr>
                <w:color w:val="auto"/>
                <w:sz w:val="20"/>
              </w:rPr>
              <w:t>597</w:t>
            </w:r>
          </w:p>
        </w:tc>
      </w:tr>
      <w:tr w:rsidR="0065087B" w:rsidRPr="0065087B" w:rsidTr="002E68B4">
        <w:tc>
          <w:tcPr>
            <w:tcW w:w="6708" w:type="dxa"/>
          </w:tcPr>
          <w:p w:rsidR="0065087B" w:rsidRPr="0065087B" w:rsidRDefault="0065087B" w:rsidP="0065087B">
            <w:pPr>
              <w:ind w:firstLine="0"/>
              <w:contextualSpacing/>
              <w:rPr>
                <w:color w:val="auto"/>
                <w:sz w:val="20"/>
              </w:rPr>
            </w:pPr>
            <w:r w:rsidRPr="0065087B">
              <w:rPr>
                <w:color w:val="auto"/>
                <w:sz w:val="20"/>
              </w:rPr>
              <w:t>Разом:</w:t>
            </w:r>
          </w:p>
        </w:tc>
        <w:tc>
          <w:tcPr>
            <w:tcW w:w="1338" w:type="dxa"/>
          </w:tcPr>
          <w:p w:rsidR="0065087B" w:rsidRPr="0065087B" w:rsidRDefault="0065087B" w:rsidP="0065087B">
            <w:pPr>
              <w:ind w:firstLine="0"/>
              <w:contextualSpacing/>
              <w:rPr>
                <w:color w:val="auto"/>
                <w:sz w:val="20"/>
              </w:rPr>
            </w:pPr>
            <w:r w:rsidRPr="0065087B">
              <w:rPr>
                <w:color w:val="auto"/>
                <w:sz w:val="20"/>
              </w:rPr>
              <w:t>63 795</w:t>
            </w:r>
          </w:p>
        </w:tc>
        <w:tc>
          <w:tcPr>
            <w:tcW w:w="1338" w:type="dxa"/>
            <w:vAlign w:val="center"/>
          </w:tcPr>
          <w:p w:rsidR="0065087B" w:rsidRPr="0065087B" w:rsidRDefault="0065087B" w:rsidP="0065087B">
            <w:pPr>
              <w:ind w:firstLine="0"/>
              <w:contextualSpacing/>
              <w:rPr>
                <w:color w:val="auto"/>
                <w:sz w:val="20"/>
              </w:rPr>
            </w:pPr>
            <w:r w:rsidRPr="0065087B">
              <w:rPr>
                <w:color w:val="auto"/>
                <w:sz w:val="20"/>
              </w:rPr>
              <w:t>42 240</w:t>
            </w:r>
          </w:p>
        </w:tc>
      </w:tr>
    </w:tbl>
    <w:p w:rsidR="00C37417" w:rsidRPr="0018493C" w:rsidRDefault="00C37417" w:rsidP="0065087B">
      <w:pPr>
        <w:ind w:firstLine="0"/>
        <w:contextualSpacing/>
        <w:rPr>
          <w:color w:val="auto"/>
          <w:sz w:val="20"/>
        </w:rPr>
      </w:pPr>
      <w:r w:rsidRPr="0018493C">
        <w:rPr>
          <w:color w:val="auto"/>
          <w:sz w:val="20"/>
        </w:rPr>
        <w:lastRenderedPageBreak/>
        <w:tab/>
      </w:r>
    </w:p>
    <w:p w:rsidR="00C37417" w:rsidRPr="0018493C" w:rsidRDefault="00C37417" w:rsidP="002F5734">
      <w:pPr>
        <w:pStyle w:val="2"/>
        <w:ind w:left="567" w:hanging="567"/>
      </w:pPr>
      <w:bookmarkStart w:id="39" w:name="_Toc511835077"/>
      <w:r w:rsidRPr="0018493C">
        <w:t>Гудвіл</w:t>
      </w:r>
      <w:bookmarkEnd w:id="39"/>
    </w:p>
    <w:p w:rsidR="00C37417" w:rsidRPr="0018493C" w:rsidRDefault="00C37417" w:rsidP="002F5734">
      <w:pPr>
        <w:ind w:firstLine="0"/>
        <w:contextualSpacing/>
        <w:rPr>
          <w:color w:val="auto"/>
          <w:sz w:val="20"/>
        </w:rPr>
      </w:pPr>
      <w:r w:rsidRPr="0018493C">
        <w:rPr>
          <w:color w:val="auto"/>
          <w:sz w:val="20"/>
        </w:rPr>
        <w:t xml:space="preserve">В результаті придбання </w:t>
      </w:r>
      <w:r w:rsidR="002F583E">
        <w:rPr>
          <w:color w:val="auto"/>
          <w:sz w:val="20"/>
          <w:lang w:val="uk-UA"/>
        </w:rPr>
        <w:t xml:space="preserve">у 2016 році </w:t>
      </w:r>
      <w:r w:rsidRPr="0018493C">
        <w:rPr>
          <w:color w:val="auto"/>
          <w:sz w:val="20"/>
        </w:rPr>
        <w:t xml:space="preserve">Товариством 99,9828% акцій ПрАТ «Страхова компанія «Довіра та Гарантія» (код ЄДРПОУ 34240804), внаслідок чого Товариство стало материнською компанією </w:t>
      </w:r>
      <w:proofErr w:type="gramStart"/>
      <w:r w:rsidRPr="0018493C">
        <w:rPr>
          <w:color w:val="auto"/>
          <w:sz w:val="20"/>
        </w:rPr>
        <w:t>по</w:t>
      </w:r>
      <w:proofErr w:type="gramEnd"/>
      <w:r w:rsidRPr="0018493C">
        <w:rPr>
          <w:color w:val="auto"/>
          <w:sz w:val="20"/>
        </w:rPr>
        <w:t xml:space="preserve"> відношенню до ПрАТ «Страхова компанія «Довіра та Гарантія». Отриманий від’ємний гудвіл у сумі 17 952 тис</w:t>
      </w:r>
      <w:proofErr w:type="gramStart"/>
      <w:r w:rsidRPr="0018493C">
        <w:rPr>
          <w:color w:val="auto"/>
          <w:sz w:val="20"/>
        </w:rPr>
        <w:t>.</w:t>
      </w:r>
      <w:proofErr w:type="gramEnd"/>
      <w:r w:rsidRPr="0018493C">
        <w:rPr>
          <w:color w:val="auto"/>
          <w:sz w:val="20"/>
        </w:rPr>
        <w:t xml:space="preserve"> </w:t>
      </w:r>
      <w:proofErr w:type="gramStart"/>
      <w:r w:rsidRPr="0018493C">
        <w:rPr>
          <w:color w:val="auto"/>
          <w:sz w:val="20"/>
        </w:rPr>
        <w:t>г</w:t>
      </w:r>
      <w:proofErr w:type="gramEnd"/>
      <w:r w:rsidRPr="0018493C">
        <w:rPr>
          <w:color w:val="auto"/>
          <w:sz w:val="20"/>
        </w:rPr>
        <w:t xml:space="preserve">рн. відображений Товариством </w:t>
      </w:r>
      <w:r w:rsidR="002F583E">
        <w:rPr>
          <w:color w:val="auto"/>
          <w:sz w:val="20"/>
          <w:lang w:val="uk-UA"/>
        </w:rPr>
        <w:t xml:space="preserve">в 2016 році </w:t>
      </w:r>
      <w:r w:rsidRPr="0018493C">
        <w:rPr>
          <w:color w:val="auto"/>
          <w:sz w:val="20"/>
        </w:rPr>
        <w:t>у складі доходів.</w:t>
      </w:r>
    </w:p>
    <w:p w:rsidR="00C37417" w:rsidRPr="0018493C" w:rsidRDefault="00C37417" w:rsidP="00C37417">
      <w:pPr>
        <w:contextualSpacing/>
        <w:jc w:val="center"/>
        <w:rPr>
          <w:b/>
          <w:color w:val="auto"/>
          <w:sz w:val="20"/>
        </w:rPr>
      </w:pPr>
    </w:p>
    <w:p w:rsidR="00C37417" w:rsidRPr="0018493C" w:rsidRDefault="00C37417" w:rsidP="002F5734">
      <w:pPr>
        <w:pStyle w:val="2"/>
        <w:ind w:left="567" w:hanging="567"/>
      </w:pPr>
      <w:bookmarkStart w:id="40" w:name="_Toc511835078"/>
      <w:r w:rsidRPr="0018493C">
        <w:t>Інші операційні доходи й витрати</w:t>
      </w:r>
      <w:bookmarkEnd w:id="40"/>
    </w:p>
    <w:p w:rsidR="00C37417" w:rsidRPr="0018493C" w:rsidRDefault="00C37417" w:rsidP="00C37417">
      <w:pPr>
        <w:contextualSpacing/>
        <w:rPr>
          <w:color w:val="auto"/>
          <w:sz w:val="20"/>
        </w:rPr>
      </w:pPr>
    </w:p>
    <w:p w:rsidR="00C37417" w:rsidRPr="0018493C" w:rsidRDefault="00C37417" w:rsidP="002F5734">
      <w:pPr>
        <w:ind w:firstLine="0"/>
        <w:jc w:val="left"/>
        <w:rPr>
          <w:b/>
          <w:color w:val="auto"/>
          <w:sz w:val="20"/>
        </w:rPr>
      </w:pPr>
      <w:r w:rsidRPr="0018493C">
        <w:rPr>
          <w:b/>
          <w:color w:val="auto"/>
          <w:sz w:val="20"/>
        </w:rPr>
        <w:t xml:space="preserve">Інші операційні доходи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E668C5" w:rsidRPr="0018493C" w:rsidTr="00E065A5">
        <w:tc>
          <w:tcPr>
            <w:tcW w:w="6708" w:type="dxa"/>
          </w:tcPr>
          <w:p w:rsidR="00E668C5" w:rsidRPr="00E668C5" w:rsidRDefault="00E668C5" w:rsidP="00E668C5">
            <w:pPr>
              <w:ind w:firstLine="0"/>
              <w:contextualSpacing/>
              <w:rPr>
                <w:color w:val="auto"/>
                <w:sz w:val="20"/>
              </w:rPr>
            </w:pPr>
          </w:p>
        </w:tc>
        <w:tc>
          <w:tcPr>
            <w:tcW w:w="1338" w:type="dxa"/>
          </w:tcPr>
          <w:p w:rsidR="00E668C5" w:rsidRPr="00E668C5" w:rsidRDefault="00E668C5" w:rsidP="00E668C5">
            <w:pPr>
              <w:ind w:firstLine="0"/>
              <w:contextualSpacing/>
              <w:jc w:val="center"/>
              <w:rPr>
                <w:color w:val="auto"/>
                <w:sz w:val="20"/>
              </w:rPr>
            </w:pPr>
            <w:r w:rsidRPr="00E668C5">
              <w:rPr>
                <w:color w:val="auto"/>
                <w:sz w:val="20"/>
              </w:rPr>
              <w:t xml:space="preserve">2016 </w:t>
            </w:r>
            <w:proofErr w:type="gramStart"/>
            <w:r w:rsidRPr="00E668C5">
              <w:rPr>
                <w:color w:val="auto"/>
                <w:sz w:val="20"/>
              </w:rPr>
              <w:t>р</w:t>
            </w:r>
            <w:proofErr w:type="gramEnd"/>
            <w:r w:rsidRPr="00E668C5">
              <w:rPr>
                <w:color w:val="auto"/>
                <w:sz w:val="20"/>
              </w:rPr>
              <w:t>ік</w:t>
            </w:r>
          </w:p>
        </w:tc>
        <w:tc>
          <w:tcPr>
            <w:tcW w:w="1338" w:type="dxa"/>
          </w:tcPr>
          <w:p w:rsidR="00E668C5" w:rsidRPr="00E668C5" w:rsidRDefault="00E668C5" w:rsidP="00E668C5">
            <w:pPr>
              <w:ind w:firstLine="0"/>
              <w:contextualSpacing/>
              <w:jc w:val="center"/>
              <w:rPr>
                <w:color w:val="auto"/>
                <w:sz w:val="20"/>
              </w:rPr>
            </w:pPr>
            <w:r w:rsidRPr="00E668C5">
              <w:rPr>
                <w:color w:val="auto"/>
                <w:sz w:val="20"/>
              </w:rPr>
              <w:t xml:space="preserve">2017 </w:t>
            </w:r>
            <w:proofErr w:type="gramStart"/>
            <w:r w:rsidRPr="00E668C5">
              <w:rPr>
                <w:color w:val="auto"/>
                <w:sz w:val="20"/>
              </w:rPr>
              <w:t>р</w:t>
            </w:r>
            <w:proofErr w:type="gramEnd"/>
            <w:r w:rsidRPr="00E668C5">
              <w:rPr>
                <w:color w:val="auto"/>
                <w:sz w:val="20"/>
              </w:rPr>
              <w:t>ік</w:t>
            </w:r>
          </w:p>
        </w:tc>
      </w:tr>
      <w:tr w:rsidR="00E668C5" w:rsidRPr="0018493C" w:rsidTr="00E065A5">
        <w:tc>
          <w:tcPr>
            <w:tcW w:w="6708" w:type="dxa"/>
            <w:vAlign w:val="bottom"/>
          </w:tcPr>
          <w:p w:rsidR="00E668C5" w:rsidRPr="00E668C5" w:rsidRDefault="00E668C5" w:rsidP="00E668C5">
            <w:pPr>
              <w:ind w:firstLine="0"/>
              <w:contextualSpacing/>
              <w:rPr>
                <w:color w:val="auto"/>
                <w:sz w:val="20"/>
              </w:rPr>
            </w:pPr>
            <w:r w:rsidRPr="00E668C5">
              <w:rPr>
                <w:color w:val="auto"/>
                <w:sz w:val="20"/>
              </w:rPr>
              <w:t>Дохід в</w:t>
            </w:r>
            <w:proofErr w:type="gramStart"/>
            <w:r w:rsidRPr="00E668C5">
              <w:rPr>
                <w:color w:val="auto"/>
                <w:sz w:val="20"/>
              </w:rPr>
              <w:t>i</w:t>
            </w:r>
            <w:proofErr w:type="gramEnd"/>
            <w:r w:rsidRPr="00E668C5">
              <w:rPr>
                <w:color w:val="auto"/>
                <w:sz w:val="20"/>
              </w:rPr>
              <w:t>д операційної курсової рiзницi</w:t>
            </w:r>
          </w:p>
        </w:tc>
        <w:tc>
          <w:tcPr>
            <w:tcW w:w="1338" w:type="dxa"/>
            <w:vAlign w:val="bottom"/>
          </w:tcPr>
          <w:p w:rsidR="00E668C5" w:rsidRPr="00E668C5" w:rsidRDefault="00E668C5" w:rsidP="00E668C5">
            <w:pPr>
              <w:ind w:firstLine="0"/>
              <w:contextualSpacing/>
              <w:jc w:val="center"/>
              <w:rPr>
                <w:color w:val="auto"/>
                <w:sz w:val="20"/>
              </w:rPr>
            </w:pPr>
            <w:r w:rsidRPr="00E668C5">
              <w:rPr>
                <w:color w:val="auto"/>
                <w:sz w:val="20"/>
              </w:rPr>
              <w:t>14</w:t>
            </w:r>
          </w:p>
        </w:tc>
        <w:tc>
          <w:tcPr>
            <w:tcW w:w="1338" w:type="dxa"/>
          </w:tcPr>
          <w:p w:rsidR="00E668C5" w:rsidRPr="00E668C5" w:rsidRDefault="00E668C5" w:rsidP="00E668C5">
            <w:pPr>
              <w:ind w:firstLine="0"/>
              <w:contextualSpacing/>
              <w:jc w:val="center"/>
              <w:rPr>
                <w:color w:val="auto"/>
                <w:sz w:val="20"/>
              </w:rPr>
            </w:pPr>
            <w:r w:rsidRPr="00E668C5">
              <w:rPr>
                <w:color w:val="auto"/>
                <w:sz w:val="20"/>
              </w:rPr>
              <w:t>173</w:t>
            </w:r>
          </w:p>
        </w:tc>
      </w:tr>
      <w:tr w:rsidR="00E668C5" w:rsidRPr="0018493C" w:rsidTr="00E065A5">
        <w:tc>
          <w:tcPr>
            <w:tcW w:w="6708" w:type="dxa"/>
          </w:tcPr>
          <w:p w:rsidR="00E668C5" w:rsidRPr="00E668C5" w:rsidRDefault="00E668C5" w:rsidP="00E668C5">
            <w:pPr>
              <w:ind w:firstLine="0"/>
              <w:contextualSpacing/>
              <w:rPr>
                <w:color w:val="auto"/>
                <w:sz w:val="20"/>
              </w:rPr>
            </w:pPr>
            <w:r w:rsidRPr="00E668C5">
              <w:rPr>
                <w:color w:val="auto"/>
                <w:sz w:val="20"/>
              </w:rPr>
              <w:t>Дохід в</w:t>
            </w:r>
            <w:proofErr w:type="gramStart"/>
            <w:r w:rsidRPr="00E668C5">
              <w:rPr>
                <w:color w:val="auto"/>
                <w:sz w:val="20"/>
              </w:rPr>
              <w:t>i</w:t>
            </w:r>
            <w:proofErr w:type="gramEnd"/>
            <w:r w:rsidRPr="00E668C5">
              <w:rPr>
                <w:color w:val="auto"/>
                <w:sz w:val="20"/>
              </w:rPr>
              <w:t>д списання кредиторської заборгованості</w:t>
            </w:r>
          </w:p>
        </w:tc>
        <w:tc>
          <w:tcPr>
            <w:tcW w:w="1338" w:type="dxa"/>
          </w:tcPr>
          <w:p w:rsidR="00E668C5" w:rsidRPr="00E668C5" w:rsidRDefault="00E668C5" w:rsidP="00E668C5">
            <w:pPr>
              <w:ind w:firstLine="0"/>
              <w:contextualSpacing/>
              <w:jc w:val="center"/>
              <w:rPr>
                <w:color w:val="auto"/>
                <w:sz w:val="20"/>
              </w:rPr>
            </w:pPr>
            <w:r w:rsidRPr="00E668C5">
              <w:rPr>
                <w:color w:val="auto"/>
                <w:sz w:val="20"/>
              </w:rPr>
              <w:t>2</w:t>
            </w:r>
          </w:p>
        </w:tc>
        <w:tc>
          <w:tcPr>
            <w:tcW w:w="1338" w:type="dxa"/>
          </w:tcPr>
          <w:p w:rsidR="00E668C5" w:rsidRPr="00E668C5" w:rsidRDefault="00E668C5" w:rsidP="00E668C5">
            <w:pPr>
              <w:ind w:firstLine="0"/>
              <w:contextualSpacing/>
              <w:jc w:val="center"/>
              <w:rPr>
                <w:color w:val="auto"/>
                <w:sz w:val="20"/>
              </w:rPr>
            </w:pPr>
            <w:r w:rsidRPr="00E668C5">
              <w:rPr>
                <w:color w:val="auto"/>
                <w:sz w:val="20"/>
              </w:rPr>
              <w:t>12</w:t>
            </w:r>
          </w:p>
        </w:tc>
      </w:tr>
      <w:tr w:rsidR="00E668C5" w:rsidRPr="0018493C" w:rsidTr="00E065A5">
        <w:tc>
          <w:tcPr>
            <w:tcW w:w="6708" w:type="dxa"/>
          </w:tcPr>
          <w:p w:rsidR="00E668C5" w:rsidRPr="00E668C5" w:rsidRDefault="00E668C5" w:rsidP="00E668C5">
            <w:pPr>
              <w:ind w:firstLine="0"/>
              <w:contextualSpacing/>
              <w:rPr>
                <w:color w:val="auto"/>
                <w:sz w:val="20"/>
              </w:rPr>
            </w:pPr>
            <w:r w:rsidRPr="00E668C5">
              <w:rPr>
                <w:color w:val="auto"/>
                <w:sz w:val="20"/>
              </w:rPr>
              <w:t>Інші доходи</w:t>
            </w:r>
          </w:p>
        </w:tc>
        <w:tc>
          <w:tcPr>
            <w:tcW w:w="1338" w:type="dxa"/>
          </w:tcPr>
          <w:p w:rsidR="00E668C5" w:rsidRPr="00E668C5" w:rsidRDefault="00E668C5" w:rsidP="00E668C5">
            <w:pPr>
              <w:ind w:firstLine="0"/>
              <w:contextualSpacing/>
              <w:jc w:val="center"/>
              <w:rPr>
                <w:color w:val="auto"/>
                <w:sz w:val="20"/>
              </w:rPr>
            </w:pPr>
            <w:r w:rsidRPr="00E668C5">
              <w:rPr>
                <w:color w:val="auto"/>
                <w:sz w:val="20"/>
              </w:rPr>
              <w:t>586</w:t>
            </w:r>
          </w:p>
        </w:tc>
        <w:tc>
          <w:tcPr>
            <w:tcW w:w="1338" w:type="dxa"/>
          </w:tcPr>
          <w:p w:rsidR="00E668C5" w:rsidRPr="00E668C5" w:rsidRDefault="00E668C5" w:rsidP="00E668C5">
            <w:pPr>
              <w:ind w:firstLine="0"/>
              <w:contextualSpacing/>
              <w:jc w:val="center"/>
              <w:rPr>
                <w:color w:val="auto"/>
                <w:sz w:val="20"/>
              </w:rPr>
            </w:pPr>
            <w:r w:rsidRPr="00E668C5">
              <w:rPr>
                <w:color w:val="auto"/>
                <w:sz w:val="20"/>
              </w:rPr>
              <w:t>771</w:t>
            </w:r>
          </w:p>
        </w:tc>
      </w:tr>
      <w:tr w:rsidR="00E668C5" w:rsidRPr="0018493C" w:rsidTr="00E065A5">
        <w:tc>
          <w:tcPr>
            <w:tcW w:w="6708" w:type="dxa"/>
          </w:tcPr>
          <w:p w:rsidR="00E668C5" w:rsidRPr="00E668C5" w:rsidRDefault="00E668C5" w:rsidP="00E668C5">
            <w:pPr>
              <w:ind w:firstLine="0"/>
              <w:contextualSpacing/>
              <w:rPr>
                <w:color w:val="auto"/>
                <w:sz w:val="20"/>
              </w:rPr>
            </w:pPr>
            <w:r w:rsidRPr="00E668C5">
              <w:rPr>
                <w:color w:val="auto"/>
                <w:sz w:val="20"/>
              </w:rPr>
              <w:t xml:space="preserve">Разом: </w:t>
            </w:r>
          </w:p>
        </w:tc>
        <w:tc>
          <w:tcPr>
            <w:tcW w:w="1338" w:type="dxa"/>
          </w:tcPr>
          <w:p w:rsidR="00E668C5" w:rsidRPr="00E668C5" w:rsidRDefault="00E668C5" w:rsidP="00E668C5">
            <w:pPr>
              <w:ind w:firstLine="0"/>
              <w:contextualSpacing/>
              <w:jc w:val="center"/>
              <w:rPr>
                <w:color w:val="auto"/>
                <w:sz w:val="20"/>
              </w:rPr>
            </w:pPr>
            <w:r w:rsidRPr="00E668C5">
              <w:rPr>
                <w:color w:val="auto"/>
                <w:sz w:val="20"/>
              </w:rPr>
              <w:t>602</w:t>
            </w:r>
          </w:p>
        </w:tc>
        <w:tc>
          <w:tcPr>
            <w:tcW w:w="1338" w:type="dxa"/>
          </w:tcPr>
          <w:p w:rsidR="00E668C5" w:rsidRPr="00E668C5" w:rsidRDefault="00E668C5" w:rsidP="00E668C5">
            <w:pPr>
              <w:ind w:firstLine="0"/>
              <w:contextualSpacing/>
              <w:jc w:val="center"/>
              <w:rPr>
                <w:color w:val="auto"/>
                <w:sz w:val="20"/>
              </w:rPr>
            </w:pPr>
            <w:r w:rsidRPr="00E668C5">
              <w:rPr>
                <w:color w:val="auto"/>
                <w:sz w:val="20"/>
              </w:rPr>
              <w:t>956</w:t>
            </w:r>
          </w:p>
        </w:tc>
      </w:tr>
    </w:tbl>
    <w:p w:rsidR="00C37417" w:rsidRPr="0018493C" w:rsidRDefault="00C37417" w:rsidP="002F5734">
      <w:pPr>
        <w:ind w:firstLine="0"/>
        <w:jc w:val="left"/>
        <w:rPr>
          <w:b/>
          <w:color w:val="auto"/>
          <w:sz w:val="20"/>
        </w:rPr>
      </w:pPr>
      <w:r w:rsidRPr="0018493C">
        <w:rPr>
          <w:b/>
          <w:color w:val="auto"/>
          <w:sz w:val="20"/>
        </w:rPr>
        <w:t xml:space="preserve">Інші операційні витрати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E668C5" w:rsidRPr="0018493C" w:rsidTr="00E065A5">
        <w:tc>
          <w:tcPr>
            <w:tcW w:w="6708" w:type="dxa"/>
          </w:tcPr>
          <w:p w:rsidR="00E668C5" w:rsidRPr="00E668C5" w:rsidRDefault="00E668C5" w:rsidP="00E668C5">
            <w:pPr>
              <w:ind w:firstLine="0"/>
              <w:contextualSpacing/>
              <w:rPr>
                <w:color w:val="auto"/>
                <w:sz w:val="20"/>
              </w:rPr>
            </w:pPr>
          </w:p>
        </w:tc>
        <w:tc>
          <w:tcPr>
            <w:tcW w:w="1338" w:type="dxa"/>
          </w:tcPr>
          <w:p w:rsidR="00E668C5" w:rsidRPr="00E668C5" w:rsidRDefault="00E668C5" w:rsidP="00E668C5">
            <w:pPr>
              <w:ind w:firstLine="0"/>
              <w:contextualSpacing/>
              <w:jc w:val="center"/>
              <w:rPr>
                <w:color w:val="auto"/>
                <w:sz w:val="20"/>
              </w:rPr>
            </w:pPr>
            <w:r w:rsidRPr="00E668C5">
              <w:rPr>
                <w:color w:val="auto"/>
                <w:sz w:val="20"/>
              </w:rPr>
              <w:t xml:space="preserve">2016 </w:t>
            </w:r>
            <w:proofErr w:type="gramStart"/>
            <w:r w:rsidRPr="00E668C5">
              <w:rPr>
                <w:color w:val="auto"/>
                <w:sz w:val="20"/>
              </w:rPr>
              <w:t>р</w:t>
            </w:r>
            <w:proofErr w:type="gramEnd"/>
            <w:r w:rsidRPr="00E668C5">
              <w:rPr>
                <w:color w:val="auto"/>
                <w:sz w:val="20"/>
              </w:rPr>
              <w:t>ік</w:t>
            </w:r>
          </w:p>
        </w:tc>
        <w:tc>
          <w:tcPr>
            <w:tcW w:w="1338" w:type="dxa"/>
          </w:tcPr>
          <w:p w:rsidR="00E668C5" w:rsidRPr="00E668C5" w:rsidRDefault="00E668C5" w:rsidP="00E668C5">
            <w:pPr>
              <w:ind w:firstLine="0"/>
              <w:contextualSpacing/>
              <w:jc w:val="center"/>
              <w:rPr>
                <w:color w:val="auto"/>
                <w:sz w:val="20"/>
              </w:rPr>
            </w:pPr>
            <w:r w:rsidRPr="00E668C5">
              <w:rPr>
                <w:color w:val="auto"/>
                <w:sz w:val="20"/>
              </w:rPr>
              <w:t xml:space="preserve">2017 </w:t>
            </w:r>
            <w:proofErr w:type="gramStart"/>
            <w:r w:rsidRPr="00E668C5">
              <w:rPr>
                <w:color w:val="auto"/>
                <w:sz w:val="20"/>
              </w:rPr>
              <w:t>р</w:t>
            </w:r>
            <w:proofErr w:type="gramEnd"/>
            <w:r w:rsidRPr="00E668C5">
              <w:rPr>
                <w:color w:val="auto"/>
                <w:sz w:val="20"/>
              </w:rPr>
              <w:t>ік</w:t>
            </w:r>
          </w:p>
        </w:tc>
      </w:tr>
      <w:tr w:rsidR="00E668C5" w:rsidRPr="0018493C" w:rsidTr="00E065A5">
        <w:tc>
          <w:tcPr>
            <w:tcW w:w="6708" w:type="dxa"/>
            <w:vAlign w:val="bottom"/>
          </w:tcPr>
          <w:p w:rsidR="00E668C5" w:rsidRPr="00E668C5" w:rsidRDefault="00E668C5" w:rsidP="00E668C5">
            <w:pPr>
              <w:ind w:firstLine="0"/>
              <w:contextualSpacing/>
              <w:rPr>
                <w:color w:val="auto"/>
                <w:sz w:val="20"/>
              </w:rPr>
            </w:pPr>
            <w:r w:rsidRPr="00E668C5">
              <w:rPr>
                <w:color w:val="auto"/>
                <w:sz w:val="20"/>
              </w:rPr>
              <w:t>Нарахований резерв сумнівних боргі</w:t>
            </w:r>
            <w:proofErr w:type="gramStart"/>
            <w:r w:rsidRPr="00E668C5">
              <w:rPr>
                <w:color w:val="auto"/>
                <w:sz w:val="20"/>
              </w:rPr>
              <w:t>в</w:t>
            </w:r>
            <w:proofErr w:type="gramEnd"/>
          </w:p>
        </w:tc>
        <w:tc>
          <w:tcPr>
            <w:tcW w:w="1338" w:type="dxa"/>
            <w:vAlign w:val="bottom"/>
          </w:tcPr>
          <w:p w:rsidR="00E668C5" w:rsidRPr="00E668C5" w:rsidRDefault="00E668C5" w:rsidP="00E668C5">
            <w:pPr>
              <w:ind w:firstLine="0"/>
              <w:contextualSpacing/>
              <w:jc w:val="center"/>
              <w:rPr>
                <w:color w:val="auto"/>
                <w:sz w:val="20"/>
              </w:rPr>
            </w:pPr>
            <w:r w:rsidRPr="00E668C5">
              <w:rPr>
                <w:color w:val="auto"/>
                <w:sz w:val="20"/>
              </w:rPr>
              <w:t>3 732</w:t>
            </w:r>
          </w:p>
        </w:tc>
        <w:tc>
          <w:tcPr>
            <w:tcW w:w="1338" w:type="dxa"/>
          </w:tcPr>
          <w:p w:rsidR="00E668C5" w:rsidRPr="00E668C5" w:rsidRDefault="00E668C5" w:rsidP="00E668C5">
            <w:pPr>
              <w:ind w:firstLine="0"/>
              <w:contextualSpacing/>
              <w:jc w:val="center"/>
              <w:rPr>
                <w:color w:val="auto"/>
                <w:sz w:val="20"/>
              </w:rPr>
            </w:pPr>
            <w:r w:rsidRPr="00E668C5">
              <w:rPr>
                <w:color w:val="auto"/>
                <w:sz w:val="20"/>
              </w:rPr>
              <w:t>15 000</w:t>
            </w:r>
          </w:p>
        </w:tc>
      </w:tr>
      <w:tr w:rsidR="00E668C5" w:rsidRPr="0018493C" w:rsidTr="00E065A5">
        <w:tc>
          <w:tcPr>
            <w:tcW w:w="6708" w:type="dxa"/>
            <w:vAlign w:val="bottom"/>
          </w:tcPr>
          <w:p w:rsidR="00E668C5" w:rsidRPr="00E668C5" w:rsidRDefault="00E668C5" w:rsidP="00E668C5">
            <w:pPr>
              <w:ind w:firstLine="0"/>
              <w:contextualSpacing/>
              <w:rPr>
                <w:color w:val="auto"/>
                <w:sz w:val="20"/>
              </w:rPr>
            </w:pPr>
            <w:r w:rsidRPr="00E668C5">
              <w:rPr>
                <w:color w:val="auto"/>
                <w:sz w:val="20"/>
              </w:rPr>
              <w:t>Втрати в</w:t>
            </w:r>
            <w:proofErr w:type="gramStart"/>
            <w:r w:rsidRPr="00E668C5">
              <w:rPr>
                <w:color w:val="auto"/>
                <w:sz w:val="20"/>
              </w:rPr>
              <w:t>i</w:t>
            </w:r>
            <w:proofErr w:type="gramEnd"/>
            <w:r w:rsidRPr="00E668C5">
              <w:rPr>
                <w:color w:val="auto"/>
                <w:sz w:val="20"/>
              </w:rPr>
              <w:t>д операцiйної курсової рiзницi</w:t>
            </w:r>
          </w:p>
        </w:tc>
        <w:tc>
          <w:tcPr>
            <w:tcW w:w="1338" w:type="dxa"/>
            <w:vAlign w:val="bottom"/>
          </w:tcPr>
          <w:p w:rsidR="00E668C5" w:rsidRPr="00E668C5" w:rsidRDefault="00E668C5" w:rsidP="00E668C5">
            <w:pPr>
              <w:ind w:firstLine="0"/>
              <w:contextualSpacing/>
              <w:jc w:val="center"/>
              <w:rPr>
                <w:color w:val="auto"/>
                <w:sz w:val="20"/>
              </w:rPr>
            </w:pPr>
            <w:r w:rsidRPr="00E668C5">
              <w:rPr>
                <w:color w:val="auto"/>
                <w:sz w:val="20"/>
              </w:rPr>
              <w:t>451</w:t>
            </w:r>
          </w:p>
        </w:tc>
        <w:tc>
          <w:tcPr>
            <w:tcW w:w="1338" w:type="dxa"/>
          </w:tcPr>
          <w:p w:rsidR="00E668C5" w:rsidRPr="00E668C5" w:rsidRDefault="00E668C5" w:rsidP="00E668C5">
            <w:pPr>
              <w:ind w:firstLine="0"/>
              <w:contextualSpacing/>
              <w:jc w:val="center"/>
              <w:rPr>
                <w:color w:val="auto"/>
                <w:sz w:val="20"/>
              </w:rPr>
            </w:pPr>
            <w:r w:rsidRPr="00E668C5">
              <w:rPr>
                <w:color w:val="auto"/>
                <w:sz w:val="20"/>
              </w:rPr>
              <w:t>115</w:t>
            </w:r>
          </w:p>
        </w:tc>
      </w:tr>
      <w:tr w:rsidR="00E668C5" w:rsidRPr="0018493C" w:rsidTr="00E065A5">
        <w:tc>
          <w:tcPr>
            <w:tcW w:w="6708" w:type="dxa"/>
            <w:vAlign w:val="bottom"/>
          </w:tcPr>
          <w:p w:rsidR="00E668C5" w:rsidRPr="00E668C5" w:rsidRDefault="00E668C5" w:rsidP="00E668C5">
            <w:pPr>
              <w:ind w:firstLine="0"/>
              <w:contextualSpacing/>
              <w:rPr>
                <w:color w:val="auto"/>
                <w:sz w:val="20"/>
              </w:rPr>
            </w:pPr>
            <w:r w:rsidRPr="00E668C5">
              <w:rPr>
                <w:color w:val="auto"/>
                <w:sz w:val="20"/>
              </w:rPr>
              <w:t>Визнані штрафи</w:t>
            </w:r>
          </w:p>
        </w:tc>
        <w:tc>
          <w:tcPr>
            <w:tcW w:w="1338" w:type="dxa"/>
            <w:vAlign w:val="bottom"/>
          </w:tcPr>
          <w:p w:rsidR="00E668C5" w:rsidRPr="00E668C5" w:rsidRDefault="00E668C5" w:rsidP="00E668C5">
            <w:pPr>
              <w:ind w:firstLine="0"/>
              <w:contextualSpacing/>
              <w:jc w:val="center"/>
              <w:rPr>
                <w:color w:val="auto"/>
                <w:sz w:val="20"/>
              </w:rPr>
            </w:pPr>
            <w:r w:rsidRPr="00E668C5">
              <w:rPr>
                <w:color w:val="auto"/>
                <w:sz w:val="20"/>
              </w:rPr>
              <w:t>-</w:t>
            </w:r>
          </w:p>
        </w:tc>
        <w:tc>
          <w:tcPr>
            <w:tcW w:w="1338" w:type="dxa"/>
          </w:tcPr>
          <w:p w:rsidR="00E668C5" w:rsidRPr="00E668C5" w:rsidRDefault="00E668C5" w:rsidP="00E668C5">
            <w:pPr>
              <w:ind w:firstLine="0"/>
              <w:contextualSpacing/>
              <w:jc w:val="center"/>
              <w:rPr>
                <w:color w:val="auto"/>
                <w:sz w:val="20"/>
              </w:rPr>
            </w:pPr>
            <w:r w:rsidRPr="00E668C5">
              <w:rPr>
                <w:color w:val="auto"/>
                <w:sz w:val="20"/>
              </w:rPr>
              <w:t>242</w:t>
            </w:r>
          </w:p>
        </w:tc>
      </w:tr>
      <w:tr w:rsidR="00E668C5" w:rsidRPr="0018493C" w:rsidTr="00E065A5">
        <w:tc>
          <w:tcPr>
            <w:tcW w:w="6708" w:type="dxa"/>
            <w:vAlign w:val="bottom"/>
          </w:tcPr>
          <w:p w:rsidR="00E668C5" w:rsidRPr="00E668C5" w:rsidRDefault="00E668C5" w:rsidP="00E668C5">
            <w:pPr>
              <w:ind w:firstLine="0"/>
              <w:contextualSpacing/>
              <w:rPr>
                <w:color w:val="auto"/>
                <w:sz w:val="20"/>
              </w:rPr>
            </w:pPr>
            <w:r w:rsidRPr="00E668C5">
              <w:rPr>
                <w:color w:val="auto"/>
                <w:sz w:val="20"/>
              </w:rPr>
              <w:t>Інші операційні витати</w:t>
            </w:r>
          </w:p>
        </w:tc>
        <w:tc>
          <w:tcPr>
            <w:tcW w:w="1338" w:type="dxa"/>
            <w:vAlign w:val="bottom"/>
          </w:tcPr>
          <w:p w:rsidR="00E668C5" w:rsidRPr="00E668C5" w:rsidRDefault="00E668C5" w:rsidP="00E668C5">
            <w:pPr>
              <w:ind w:firstLine="0"/>
              <w:contextualSpacing/>
              <w:jc w:val="center"/>
              <w:rPr>
                <w:color w:val="auto"/>
                <w:sz w:val="20"/>
              </w:rPr>
            </w:pPr>
            <w:r w:rsidRPr="00E668C5">
              <w:rPr>
                <w:color w:val="auto"/>
                <w:sz w:val="20"/>
              </w:rPr>
              <w:t>52</w:t>
            </w:r>
          </w:p>
        </w:tc>
        <w:tc>
          <w:tcPr>
            <w:tcW w:w="1338" w:type="dxa"/>
          </w:tcPr>
          <w:p w:rsidR="00E668C5" w:rsidRPr="00E668C5" w:rsidRDefault="00E668C5" w:rsidP="00E668C5">
            <w:pPr>
              <w:ind w:firstLine="0"/>
              <w:contextualSpacing/>
              <w:jc w:val="center"/>
              <w:rPr>
                <w:color w:val="auto"/>
                <w:sz w:val="20"/>
              </w:rPr>
            </w:pPr>
            <w:r w:rsidRPr="00E668C5">
              <w:rPr>
                <w:color w:val="auto"/>
                <w:sz w:val="20"/>
              </w:rPr>
              <w:t>2</w:t>
            </w:r>
          </w:p>
        </w:tc>
      </w:tr>
      <w:tr w:rsidR="00C37417" w:rsidRPr="0018493C" w:rsidTr="00E065A5">
        <w:tc>
          <w:tcPr>
            <w:tcW w:w="6708" w:type="dxa"/>
          </w:tcPr>
          <w:p w:rsidR="00C37417" w:rsidRPr="00E668C5" w:rsidRDefault="00C37417" w:rsidP="001C22D3">
            <w:pPr>
              <w:ind w:firstLine="0"/>
              <w:contextualSpacing/>
              <w:rPr>
                <w:color w:val="auto"/>
                <w:sz w:val="20"/>
              </w:rPr>
            </w:pPr>
            <w:r w:rsidRPr="00E668C5">
              <w:rPr>
                <w:color w:val="auto"/>
                <w:sz w:val="20"/>
              </w:rPr>
              <w:t>Разом:</w:t>
            </w:r>
          </w:p>
        </w:tc>
        <w:tc>
          <w:tcPr>
            <w:tcW w:w="1338" w:type="dxa"/>
          </w:tcPr>
          <w:p w:rsidR="00C37417" w:rsidRPr="00E668C5" w:rsidRDefault="00C37417" w:rsidP="00FD1F0A">
            <w:pPr>
              <w:ind w:firstLine="0"/>
              <w:contextualSpacing/>
              <w:jc w:val="center"/>
              <w:rPr>
                <w:color w:val="auto"/>
                <w:sz w:val="20"/>
              </w:rPr>
            </w:pPr>
            <w:r w:rsidRPr="00E668C5">
              <w:rPr>
                <w:color w:val="auto"/>
                <w:sz w:val="20"/>
              </w:rPr>
              <w:t>4 235</w:t>
            </w:r>
          </w:p>
        </w:tc>
        <w:tc>
          <w:tcPr>
            <w:tcW w:w="1338" w:type="dxa"/>
          </w:tcPr>
          <w:p w:rsidR="00C37417" w:rsidRPr="00E668C5" w:rsidRDefault="00C37417" w:rsidP="00FD1F0A">
            <w:pPr>
              <w:contextualSpacing/>
              <w:jc w:val="center"/>
              <w:rPr>
                <w:color w:val="auto"/>
                <w:sz w:val="20"/>
              </w:rPr>
            </w:pPr>
            <w:r w:rsidRPr="00E668C5">
              <w:rPr>
                <w:color w:val="auto"/>
                <w:sz w:val="20"/>
              </w:rPr>
              <w:t>-</w:t>
            </w:r>
          </w:p>
        </w:tc>
      </w:tr>
    </w:tbl>
    <w:p w:rsidR="00C37417" w:rsidRPr="0018493C" w:rsidRDefault="00C37417" w:rsidP="00C37417">
      <w:pPr>
        <w:ind w:firstLine="708"/>
        <w:rPr>
          <w:b/>
          <w:color w:val="auto"/>
          <w:sz w:val="20"/>
        </w:rPr>
      </w:pPr>
    </w:p>
    <w:p w:rsidR="00C37417" w:rsidRPr="0018493C" w:rsidRDefault="00C37417" w:rsidP="002F5734">
      <w:pPr>
        <w:pStyle w:val="2"/>
        <w:ind w:left="567" w:hanging="567"/>
      </w:pPr>
      <w:bookmarkStart w:id="41" w:name="_Toc511835079"/>
      <w:r w:rsidRPr="0018493C">
        <w:t>Фінансові доходи</w:t>
      </w:r>
      <w:bookmarkEnd w:id="41"/>
      <w:r w:rsidRPr="0018493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6C323E" w:rsidRPr="0018493C" w:rsidTr="00E065A5">
        <w:tc>
          <w:tcPr>
            <w:tcW w:w="6708" w:type="dxa"/>
          </w:tcPr>
          <w:p w:rsidR="006C323E" w:rsidRPr="006C323E" w:rsidRDefault="006C323E" w:rsidP="006C323E">
            <w:pPr>
              <w:ind w:firstLine="0"/>
              <w:contextualSpacing/>
              <w:rPr>
                <w:color w:val="auto"/>
                <w:sz w:val="20"/>
              </w:rPr>
            </w:pPr>
          </w:p>
        </w:tc>
        <w:tc>
          <w:tcPr>
            <w:tcW w:w="1338" w:type="dxa"/>
          </w:tcPr>
          <w:p w:rsidR="006C323E" w:rsidRPr="006C323E" w:rsidRDefault="006C323E" w:rsidP="006C323E">
            <w:pPr>
              <w:ind w:firstLine="0"/>
              <w:contextualSpacing/>
              <w:jc w:val="center"/>
              <w:rPr>
                <w:color w:val="auto"/>
                <w:sz w:val="20"/>
              </w:rPr>
            </w:pPr>
            <w:r w:rsidRPr="006C323E">
              <w:rPr>
                <w:color w:val="auto"/>
                <w:sz w:val="20"/>
              </w:rPr>
              <w:t xml:space="preserve">2016 </w:t>
            </w:r>
            <w:proofErr w:type="gramStart"/>
            <w:r w:rsidRPr="006C323E">
              <w:rPr>
                <w:color w:val="auto"/>
                <w:sz w:val="20"/>
              </w:rPr>
              <w:t>р</w:t>
            </w:r>
            <w:proofErr w:type="gramEnd"/>
            <w:r w:rsidRPr="006C323E">
              <w:rPr>
                <w:color w:val="auto"/>
                <w:sz w:val="20"/>
              </w:rPr>
              <w:t>ік</w:t>
            </w:r>
          </w:p>
        </w:tc>
        <w:tc>
          <w:tcPr>
            <w:tcW w:w="1338" w:type="dxa"/>
          </w:tcPr>
          <w:p w:rsidR="006C323E" w:rsidRPr="006C323E" w:rsidRDefault="006C323E" w:rsidP="006C323E">
            <w:pPr>
              <w:ind w:firstLine="0"/>
              <w:contextualSpacing/>
              <w:jc w:val="center"/>
              <w:rPr>
                <w:color w:val="auto"/>
                <w:sz w:val="20"/>
              </w:rPr>
            </w:pPr>
            <w:r w:rsidRPr="006C323E">
              <w:rPr>
                <w:color w:val="auto"/>
                <w:sz w:val="20"/>
              </w:rPr>
              <w:t xml:space="preserve">2017 </w:t>
            </w:r>
            <w:proofErr w:type="gramStart"/>
            <w:r w:rsidRPr="006C323E">
              <w:rPr>
                <w:color w:val="auto"/>
                <w:sz w:val="20"/>
              </w:rPr>
              <w:t>р</w:t>
            </w:r>
            <w:proofErr w:type="gramEnd"/>
            <w:r w:rsidRPr="006C323E">
              <w:rPr>
                <w:color w:val="auto"/>
                <w:sz w:val="20"/>
              </w:rPr>
              <w:t>ік</w:t>
            </w:r>
          </w:p>
        </w:tc>
      </w:tr>
      <w:tr w:rsidR="006C323E" w:rsidRPr="0018493C" w:rsidTr="00E065A5">
        <w:tc>
          <w:tcPr>
            <w:tcW w:w="6708" w:type="dxa"/>
            <w:vAlign w:val="bottom"/>
          </w:tcPr>
          <w:p w:rsidR="006C323E" w:rsidRPr="006C323E" w:rsidRDefault="006C323E" w:rsidP="006C323E">
            <w:pPr>
              <w:ind w:firstLine="0"/>
              <w:contextualSpacing/>
              <w:rPr>
                <w:color w:val="auto"/>
                <w:sz w:val="20"/>
              </w:rPr>
            </w:pPr>
            <w:r w:rsidRPr="006C323E">
              <w:rPr>
                <w:color w:val="auto"/>
                <w:sz w:val="20"/>
              </w:rPr>
              <w:t>Відсотки нараховані</w:t>
            </w:r>
          </w:p>
        </w:tc>
        <w:tc>
          <w:tcPr>
            <w:tcW w:w="1338" w:type="dxa"/>
            <w:vAlign w:val="bottom"/>
          </w:tcPr>
          <w:p w:rsidR="006C323E" w:rsidRPr="006C323E" w:rsidRDefault="006C323E" w:rsidP="006C323E">
            <w:pPr>
              <w:ind w:firstLine="0"/>
              <w:contextualSpacing/>
              <w:jc w:val="center"/>
              <w:rPr>
                <w:color w:val="auto"/>
                <w:sz w:val="20"/>
              </w:rPr>
            </w:pPr>
            <w:r w:rsidRPr="006C323E">
              <w:rPr>
                <w:color w:val="auto"/>
                <w:sz w:val="20"/>
              </w:rPr>
              <w:t>3 386</w:t>
            </w:r>
          </w:p>
        </w:tc>
        <w:tc>
          <w:tcPr>
            <w:tcW w:w="1338" w:type="dxa"/>
          </w:tcPr>
          <w:p w:rsidR="006C323E" w:rsidRPr="006C323E" w:rsidRDefault="006C323E" w:rsidP="006C323E">
            <w:pPr>
              <w:ind w:firstLine="0"/>
              <w:contextualSpacing/>
              <w:jc w:val="center"/>
              <w:rPr>
                <w:color w:val="auto"/>
                <w:sz w:val="20"/>
              </w:rPr>
            </w:pPr>
            <w:r w:rsidRPr="006C323E">
              <w:rPr>
                <w:color w:val="auto"/>
                <w:sz w:val="20"/>
              </w:rPr>
              <w:t>1 921</w:t>
            </w:r>
          </w:p>
        </w:tc>
      </w:tr>
    </w:tbl>
    <w:p w:rsidR="00C37417" w:rsidRDefault="00C37417" w:rsidP="00C37417">
      <w:pPr>
        <w:contextualSpacing/>
        <w:rPr>
          <w:color w:val="auto"/>
          <w:sz w:val="20"/>
          <w:lang w:val="uk-UA"/>
        </w:rPr>
      </w:pPr>
    </w:p>
    <w:p w:rsidR="006C323E" w:rsidRDefault="006C323E" w:rsidP="00C37417">
      <w:pPr>
        <w:contextualSpacing/>
        <w:rPr>
          <w:color w:val="auto"/>
          <w:sz w:val="20"/>
          <w:lang w:val="uk-UA"/>
        </w:rPr>
      </w:pPr>
    </w:p>
    <w:p w:rsidR="006C323E" w:rsidRDefault="006C323E" w:rsidP="00C37417">
      <w:pPr>
        <w:contextualSpacing/>
        <w:rPr>
          <w:color w:val="auto"/>
          <w:sz w:val="20"/>
          <w:lang w:val="uk-UA"/>
        </w:rPr>
      </w:pPr>
    </w:p>
    <w:p w:rsidR="006C323E" w:rsidRPr="006C323E" w:rsidRDefault="006C323E" w:rsidP="00C37417">
      <w:pPr>
        <w:contextualSpacing/>
        <w:rPr>
          <w:color w:val="auto"/>
          <w:sz w:val="20"/>
          <w:lang w:val="uk-UA"/>
        </w:rPr>
      </w:pPr>
    </w:p>
    <w:p w:rsidR="00C37417" w:rsidRPr="0018493C" w:rsidRDefault="00C37417" w:rsidP="002F5734">
      <w:pPr>
        <w:pStyle w:val="2"/>
        <w:ind w:left="567" w:hanging="567"/>
      </w:pPr>
      <w:bookmarkStart w:id="42" w:name="_Toc511835080"/>
      <w:r w:rsidRPr="0018493C">
        <w:t>Інші доходи та витрати</w:t>
      </w:r>
      <w:bookmarkEnd w:id="42"/>
    </w:p>
    <w:p w:rsidR="00C37417" w:rsidRPr="0018493C" w:rsidRDefault="00C37417" w:rsidP="002F5734">
      <w:pPr>
        <w:ind w:firstLine="0"/>
        <w:jc w:val="left"/>
        <w:rPr>
          <w:b/>
          <w:color w:val="auto"/>
          <w:sz w:val="20"/>
        </w:rPr>
      </w:pPr>
      <w:r w:rsidRPr="0018493C">
        <w:rPr>
          <w:b/>
          <w:color w:val="auto"/>
          <w:sz w:val="20"/>
        </w:rPr>
        <w:t xml:space="preserve">Інші доходи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455472" w:rsidRPr="0018493C" w:rsidTr="00E065A5">
        <w:tc>
          <w:tcPr>
            <w:tcW w:w="6708" w:type="dxa"/>
          </w:tcPr>
          <w:p w:rsidR="00455472" w:rsidRPr="00455472" w:rsidRDefault="00455472" w:rsidP="00455472">
            <w:pPr>
              <w:ind w:firstLine="0"/>
              <w:rPr>
                <w:color w:val="auto"/>
                <w:sz w:val="20"/>
              </w:rPr>
            </w:pPr>
          </w:p>
        </w:tc>
        <w:tc>
          <w:tcPr>
            <w:tcW w:w="1338" w:type="dxa"/>
          </w:tcPr>
          <w:p w:rsidR="00455472" w:rsidRPr="00455472" w:rsidRDefault="00455472" w:rsidP="00455472">
            <w:pPr>
              <w:ind w:firstLine="0"/>
              <w:jc w:val="center"/>
              <w:rPr>
                <w:color w:val="auto"/>
                <w:sz w:val="20"/>
              </w:rPr>
            </w:pPr>
            <w:r w:rsidRPr="00455472">
              <w:rPr>
                <w:color w:val="auto"/>
                <w:sz w:val="20"/>
              </w:rPr>
              <w:t xml:space="preserve">2016 </w:t>
            </w:r>
            <w:proofErr w:type="gramStart"/>
            <w:r w:rsidRPr="00455472">
              <w:rPr>
                <w:color w:val="auto"/>
                <w:sz w:val="20"/>
              </w:rPr>
              <w:t>р</w:t>
            </w:r>
            <w:proofErr w:type="gramEnd"/>
            <w:r w:rsidRPr="00455472">
              <w:rPr>
                <w:color w:val="auto"/>
                <w:sz w:val="20"/>
              </w:rPr>
              <w:t>ік</w:t>
            </w:r>
          </w:p>
        </w:tc>
        <w:tc>
          <w:tcPr>
            <w:tcW w:w="1338" w:type="dxa"/>
          </w:tcPr>
          <w:p w:rsidR="00455472" w:rsidRPr="00455472" w:rsidRDefault="00455472" w:rsidP="00455472">
            <w:pPr>
              <w:ind w:firstLine="0"/>
              <w:jc w:val="center"/>
              <w:rPr>
                <w:color w:val="auto"/>
                <w:sz w:val="20"/>
              </w:rPr>
            </w:pPr>
            <w:r w:rsidRPr="00455472">
              <w:rPr>
                <w:color w:val="auto"/>
                <w:sz w:val="20"/>
              </w:rPr>
              <w:t xml:space="preserve">2017 </w:t>
            </w:r>
            <w:proofErr w:type="gramStart"/>
            <w:r w:rsidRPr="00455472">
              <w:rPr>
                <w:color w:val="auto"/>
                <w:sz w:val="20"/>
              </w:rPr>
              <w:t>р</w:t>
            </w:r>
            <w:proofErr w:type="gramEnd"/>
            <w:r w:rsidRPr="00455472">
              <w:rPr>
                <w:color w:val="auto"/>
                <w:sz w:val="20"/>
              </w:rPr>
              <w:t>ік</w:t>
            </w:r>
          </w:p>
        </w:tc>
      </w:tr>
      <w:tr w:rsidR="00455472" w:rsidRPr="0018493C" w:rsidTr="00E065A5">
        <w:tc>
          <w:tcPr>
            <w:tcW w:w="6708" w:type="dxa"/>
          </w:tcPr>
          <w:p w:rsidR="00455472" w:rsidRPr="00455472" w:rsidRDefault="00455472" w:rsidP="00455472">
            <w:pPr>
              <w:ind w:firstLine="0"/>
              <w:rPr>
                <w:color w:val="auto"/>
                <w:sz w:val="20"/>
              </w:rPr>
            </w:pPr>
            <w:r w:rsidRPr="00455472">
              <w:rPr>
                <w:color w:val="auto"/>
                <w:sz w:val="20"/>
              </w:rPr>
              <w:t xml:space="preserve">Неопераційна курсова </w:t>
            </w:r>
            <w:proofErr w:type="gramStart"/>
            <w:r w:rsidRPr="00455472">
              <w:rPr>
                <w:color w:val="auto"/>
                <w:sz w:val="20"/>
              </w:rPr>
              <w:t>р</w:t>
            </w:r>
            <w:proofErr w:type="gramEnd"/>
            <w:r w:rsidRPr="00455472">
              <w:rPr>
                <w:color w:val="auto"/>
                <w:sz w:val="20"/>
              </w:rPr>
              <w:t>ізниця</w:t>
            </w:r>
          </w:p>
        </w:tc>
        <w:tc>
          <w:tcPr>
            <w:tcW w:w="1338" w:type="dxa"/>
          </w:tcPr>
          <w:p w:rsidR="00455472" w:rsidRPr="00455472" w:rsidRDefault="00455472" w:rsidP="00455472">
            <w:pPr>
              <w:ind w:firstLine="0"/>
              <w:jc w:val="center"/>
              <w:rPr>
                <w:color w:val="auto"/>
                <w:sz w:val="20"/>
              </w:rPr>
            </w:pPr>
            <w:r w:rsidRPr="00455472">
              <w:rPr>
                <w:color w:val="auto"/>
                <w:sz w:val="20"/>
              </w:rPr>
              <w:t>2 080</w:t>
            </w:r>
          </w:p>
        </w:tc>
        <w:tc>
          <w:tcPr>
            <w:tcW w:w="1338" w:type="dxa"/>
          </w:tcPr>
          <w:p w:rsidR="00455472" w:rsidRPr="00455472" w:rsidRDefault="00455472" w:rsidP="00455472">
            <w:pPr>
              <w:ind w:firstLine="0"/>
              <w:jc w:val="center"/>
              <w:rPr>
                <w:color w:val="auto"/>
                <w:sz w:val="20"/>
              </w:rPr>
            </w:pPr>
            <w:r w:rsidRPr="00455472">
              <w:rPr>
                <w:color w:val="auto"/>
                <w:sz w:val="20"/>
              </w:rPr>
              <w:t>1 124</w:t>
            </w:r>
          </w:p>
        </w:tc>
      </w:tr>
      <w:tr w:rsidR="00455472" w:rsidRPr="0018493C" w:rsidTr="00E065A5">
        <w:tc>
          <w:tcPr>
            <w:tcW w:w="6708" w:type="dxa"/>
          </w:tcPr>
          <w:p w:rsidR="00455472" w:rsidRPr="00455472" w:rsidRDefault="00455472" w:rsidP="00455472">
            <w:pPr>
              <w:ind w:firstLine="0"/>
              <w:rPr>
                <w:color w:val="auto"/>
                <w:sz w:val="20"/>
              </w:rPr>
            </w:pPr>
            <w:r w:rsidRPr="00455472">
              <w:rPr>
                <w:color w:val="auto"/>
                <w:sz w:val="20"/>
              </w:rPr>
              <w:t>Разом:</w:t>
            </w:r>
          </w:p>
        </w:tc>
        <w:tc>
          <w:tcPr>
            <w:tcW w:w="1338" w:type="dxa"/>
          </w:tcPr>
          <w:p w:rsidR="00455472" w:rsidRPr="00455472" w:rsidRDefault="00455472" w:rsidP="00455472">
            <w:pPr>
              <w:ind w:firstLine="0"/>
              <w:jc w:val="center"/>
              <w:rPr>
                <w:color w:val="auto"/>
                <w:sz w:val="20"/>
              </w:rPr>
            </w:pPr>
            <w:r w:rsidRPr="00455472">
              <w:rPr>
                <w:color w:val="auto"/>
                <w:sz w:val="20"/>
              </w:rPr>
              <w:t>2 080</w:t>
            </w:r>
          </w:p>
        </w:tc>
        <w:tc>
          <w:tcPr>
            <w:tcW w:w="1338" w:type="dxa"/>
          </w:tcPr>
          <w:p w:rsidR="00455472" w:rsidRPr="00455472" w:rsidRDefault="00455472" w:rsidP="00455472">
            <w:pPr>
              <w:ind w:firstLine="0"/>
              <w:jc w:val="center"/>
              <w:rPr>
                <w:color w:val="auto"/>
                <w:sz w:val="20"/>
              </w:rPr>
            </w:pPr>
            <w:r w:rsidRPr="00455472">
              <w:rPr>
                <w:color w:val="auto"/>
                <w:sz w:val="20"/>
              </w:rPr>
              <w:t>1 124</w:t>
            </w:r>
          </w:p>
        </w:tc>
      </w:tr>
    </w:tbl>
    <w:p w:rsidR="00C37417" w:rsidRPr="0018493C" w:rsidRDefault="00C37417" w:rsidP="00C37417">
      <w:pPr>
        <w:contextualSpacing/>
        <w:rPr>
          <w:color w:val="auto"/>
          <w:sz w:val="20"/>
        </w:rPr>
      </w:pPr>
    </w:p>
    <w:p w:rsidR="00FD1F0A" w:rsidRPr="0018493C" w:rsidRDefault="00FD1F0A" w:rsidP="00C37417">
      <w:pPr>
        <w:contextualSpacing/>
        <w:rPr>
          <w:color w:val="auto"/>
          <w:sz w:val="20"/>
        </w:rPr>
      </w:pPr>
    </w:p>
    <w:p w:rsidR="00C37417" w:rsidRPr="0018493C" w:rsidRDefault="00C37417" w:rsidP="002F5734">
      <w:pPr>
        <w:ind w:firstLine="0"/>
        <w:jc w:val="left"/>
        <w:rPr>
          <w:b/>
          <w:color w:val="auto"/>
          <w:sz w:val="20"/>
        </w:rPr>
      </w:pPr>
      <w:r w:rsidRPr="0018493C">
        <w:rPr>
          <w:b/>
          <w:color w:val="auto"/>
          <w:sz w:val="20"/>
        </w:rPr>
        <w:t xml:space="preserve">Інші витрати </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1338"/>
        <w:gridCol w:w="1338"/>
      </w:tblGrid>
      <w:tr w:rsidR="00455472" w:rsidRPr="0018493C" w:rsidTr="00E065A5">
        <w:tc>
          <w:tcPr>
            <w:tcW w:w="6708" w:type="dxa"/>
          </w:tcPr>
          <w:p w:rsidR="00455472" w:rsidRPr="00455472" w:rsidRDefault="00455472" w:rsidP="00455472">
            <w:pPr>
              <w:ind w:firstLine="0"/>
              <w:rPr>
                <w:color w:val="auto"/>
                <w:sz w:val="20"/>
              </w:rPr>
            </w:pPr>
          </w:p>
        </w:tc>
        <w:tc>
          <w:tcPr>
            <w:tcW w:w="1338" w:type="dxa"/>
          </w:tcPr>
          <w:p w:rsidR="00455472" w:rsidRPr="00455472" w:rsidRDefault="00455472" w:rsidP="00455472">
            <w:pPr>
              <w:ind w:firstLine="0"/>
              <w:jc w:val="center"/>
              <w:rPr>
                <w:color w:val="auto"/>
                <w:sz w:val="20"/>
              </w:rPr>
            </w:pPr>
            <w:r w:rsidRPr="00455472">
              <w:rPr>
                <w:color w:val="auto"/>
                <w:sz w:val="20"/>
              </w:rPr>
              <w:t xml:space="preserve">2016 </w:t>
            </w:r>
            <w:proofErr w:type="gramStart"/>
            <w:r w:rsidRPr="00455472">
              <w:rPr>
                <w:color w:val="auto"/>
                <w:sz w:val="20"/>
              </w:rPr>
              <w:t>р</w:t>
            </w:r>
            <w:proofErr w:type="gramEnd"/>
            <w:r w:rsidRPr="00455472">
              <w:rPr>
                <w:color w:val="auto"/>
                <w:sz w:val="20"/>
              </w:rPr>
              <w:t>ік</w:t>
            </w:r>
          </w:p>
        </w:tc>
        <w:tc>
          <w:tcPr>
            <w:tcW w:w="1338" w:type="dxa"/>
          </w:tcPr>
          <w:p w:rsidR="00455472" w:rsidRPr="00455472" w:rsidRDefault="00455472" w:rsidP="00455472">
            <w:pPr>
              <w:ind w:firstLine="0"/>
              <w:jc w:val="center"/>
              <w:rPr>
                <w:color w:val="auto"/>
                <w:sz w:val="20"/>
              </w:rPr>
            </w:pPr>
            <w:r w:rsidRPr="00455472">
              <w:rPr>
                <w:color w:val="auto"/>
                <w:sz w:val="20"/>
              </w:rPr>
              <w:t xml:space="preserve">2017 </w:t>
            </w:r>
            <w:proofErr w:type="gramStart"/>
            <w:r w:rsidRPr="00455472">
              <w:rPr>
                <w:color w:val="auto"/>
                <w:sz w:val="20"/>
              </w:rPr>
              <w:t>р</w:t>
            </w:r>
            <w:proofErr w:type="gramEnd"/>
            <w:r w:rsidRPr="00455472">
              <w:rPr>
                <w:color w:val="auto"/>
                <w:sz w:val="20"/>
              </w:rPr>
              <w:t>ік</w:t>
            </w:r>
          </w:p>
        </w:tc>
      </w:tr>
      <w:tr w:rsidR="00455472" w:rsidRPr="0018493C" w:rsidTr="00E065A5">
        <w:tc>
          <w:tcPr>
            <w:tcW w:w="6708" w:type="dxa"/>
            <w:vAlign w:val="bottom"/>
          </w:tcPr>
          <w:p w:rsidR="00455472" w:rsidRPr="00455472" w:rsidRDefault="00455472" w:rsidP="00455472">
            <w:pPr>
              <w:ind w:firstLine="0"/>
              <w:rPr>
                <w:color w:val="auto"/>
                <w:sz w:val="20"/>
              </w:rPr>
            </w:pPr>
            <w:r w:rsidRPr="00455472">
              <w:rPr>
                <w:color w:val="auto"/>
                <w:sz w:val="20"/>
              </w:rPr>
              <w:t xml:space="preserve">Неопераційна курсова </w:t>
            </w:r>
            <w:proofErr w:type="gramStart"/>
            <w:r w:rsidRPr="00455472">
              <w:rPr>
                <w:color w:val="auto"/>
                <w:sz w:val="20"/>
              </w:rPr>
              <w:t>р</w:t>
            </w:r>
            <w:proofErr w:type="gramEnd"/>
            <w:r w:rsidRPr="00455472">
              <w:rPr>
                <w:color w:val="auto"/>
                <w:sz w:val="20"/>
              </w:rPr>
              <w:t>ізниця</w:t>
            </w:r>
          </w:p>
        </w:tc>
        <w:tc>
          <w:tcPr>
            <w:tcW w:w="1338" w:type="dxa"/>
            <w:vAlign w:val="bottom"/>
          </w:tcPr>
          <w:p w:rsidR="00455472" w:rsidRPr="00455472" w:rsidRDefault="00455472" w:rsidP="00455472">
            <w:pPr>
              <w:ind w:firstLine="0"/>
              <w:jc w:val="center"/>
              <w:rPr>
                <w:color w:val="auto"/>
                <w:sz w:val="20"/>
              </w:rPr>
            </w:pPr>
            <w:r w:rsidRPr="00455472">
              <w:rPr>
                <w:color w:val="auto"/>
                <w:sz w:val="20"/>
              </w:rPr>
              <w:t>240</w:t>
            </w:r>
          </w:p>
        </w:tc>
        <w:tc>
          <w:tcPr>
            <w:tcW w:w="1338" w:type="dxa"/>
          </w:tcPr>
          <w:p w:rsidR="00455472" w:rsidRPr="00455472" w:rsidRDefault="00455472" w:rsidP="00455472">
            <w:pPr>
              <w:ind w:firstLine="0"/>
              <w:jc w:val="center"/>
              <w:rPr>
                <w:color w:val="auto"/>
                <w:sz w:val="20"/>
              </w:rPr>
            </w:pPr>
            <w:r w:rsidRPr="00455472">
              <w:rPr>
                <w:color w:val="auto"/>
                <w:sz w:val="20"/>
              </w:rPr>
              <w:t>706</w:t>
            </w:r>
          </w:p>
        </w:tc>
      </w:tr>
      <w:tr w:rsidR="00455472" w:rsidRPr="0018493C" w:rsidTr="00E065A5">
        <w:tc>
          <w:tcPr>
            <w:tcW w:w="6708" w:type="dxa"/>
            <w:vAlign w:val="bottom"/>
          </w:tcPr>
          <w:p w:rsidR="00455472" w:rsidRPr="00455472" w:rsidRDefault="00455472" w:rsidP="00455472">
            <w:pPr>
              <w:ind w:firstLine="0"/>
              <w:rPr>
                <w:color w:val="auto"/>
                <w:sz w:val="20"/>
              </w:rPr>
            </w:pPr>
            <w:r w:rsidRPr="00455472">
              <w:rPr>
                <w:color w:val="auto"/>
                <w:sz w:val="20"/>
              </w:rPr>
              <w:t>Інші витрати</w:t>
            </w:r>
          </w:p>
        </w:tc>
        <w:tc>
          <w:tcPr>
            <w:tcW w:w="1338" w:type="dxa"/>
            <w:vAlign w:val="bottom"/>
          </w:tcPr>
          <w:p w:rsidR="00455472" w:rsidRPr="00455472" w:rsidRDefault="00455472" w:rsidP="00455472">
            <w:pPr>
              <w:ind w:firstLine="0"/>
              <w:jc w:val="center"/>
              <w:rPr>
                <w:color w:val="auto"/>
                <w:sz w:val="20"/>
              </w:rPr>
            </w:pPr>
            <w:r w:rsidRPr="00455472">
              <w:rPr>
                <w:color w:val="auto"/>
                <w:sz w:val="20"/>
              </w:rPr>
              <w:t>506</w:t>
            </w:r>
          </w:p>
        </w:tc>
        <w:tc>
          <w:tcPr>
            <w:tcW w:w="1338" w:type="dxa"/>
          </w:tcPr>
          <w:p w:rsidR="00455472" w:rsidRPr="00455472" w:rsidRDefault="00455472" w:rsidP="00455472">
            <w:pPr>
              <w:ind w:firstLine="0"/>
              <w:jc w:val="center"/>
              <w:rPr>
                <w:color w:val="auto"/>
                <w:sz w:val="20"/>
              </w:rPr>
            </w:pPr>
            <w:r w:rsidRPr="00455472">
              <w:rPr>
                <w:color w:val="auto"/>
                <w:sz w:val="20"/>
              </w:rPr>
              <w:t>198</w:t>
            </w:r>
          </w:p>
        </w:tc>
      </w:tr>
      <w:tr w:rsidR="00455472" w:rsidRPr="0018493C" w:rsidTr="00E065A5">
        <w:tc>
          <w:tcPr>
            <w:tcW w:w="6708" w:type="dxa"/>
            <w:vAlign w:val="bottom"/>
          </w:tcPr>
          <w:p w:rsidR="00455472" w:rsidRPr="00455472" w:rsidRDefault="00455472" w:rsidP="00455472">
            <w:pPr>
              <w:ind w:firstLine="0"/>
              <w:rPr>
                <w:color w:val="auto"/>
                <w:sz w:val="20"/>
              </w:rPr>
            </w:pPr>
            <w:r w:rsidRPr="00455472">
              <w:rPr>
                <w:color w:val="auto"/>
                <w:sz w:val="20"/>
              </w:rPr>
              <w:t>Безповоротна фінансова допомога</w:t>
            </w:r>
          </w:p>
        </w:tc>
        <w:tc>
          <w:tcPr>
            <w:tcW w:w="1338" w:type="dxa"/>
            <w:vAlign w:val="bottom"/>
          </w:tcPr>
          <w:p w:rsidR="00455472" w:rsidRPr="00455472" w:rsidRDefault="00455472" w:rsidP="00455472">
            <w:pPr>
              <w:ind w:firstLine="0"/>
              <w:jc w:val="center"/>
              <w:rPr>
                <w:color w:val="auto"/>
                <w:sz w:val="20"/>
              </w:rPr>
            </w:pPr>
            <w:r w:rsidRPr="00455472">
              <w:rPr>
                <w:color w:val="auto"/>
                <w:sz w:val="20"/>
              </w:rPr>
              <w:t>-</w:t>
            </w:r>
          </w:p>
        </w:tc>
        <w:tc>
          <w:tcPr>
            <w:tcW w:w="1338" w:type="dxa"/>
          </w:tcPr>
          <w:p w:rsidR="00455472" w:rsidRPr="00455472" w:rsidRDefault="00455472" w:rsidP="00455472">
            <w:pPr>
              <w:ind w:firstLine="0"/>
              <w:jc w:val="center"/>
              <w:rPr>
                <w:color w:val="auto"/>
                <w:sz w:val="20"/>
              </w:rPr>
            </w:pPr>
            <w:r w:rsidRPr="00455472">
              <w:rPr>
                <w:color w:val="auto"/>
                <w:sz w:val="20"/>
              </w:rPr>
              <w:t>7 000</w:t>
            </w:r>
          </w:p>
        </w:tc>
      </w:tr>
    </w:tbl>
    <w:p w:rsidR="00C37417" w:rsidRPr="0018493C" w:rsidRDefault="00C37417" w:rsidP="00C37417">
      <w:pPr>
        <w:contextualSpacing/>
        <w:rPr>
          <w:color w:val="auto"/>
          <w:sz w:val="20"/>
        </w:rPr>
      </w:pPr>
    </w:p>
    <w:p w:rsidR="00C37417" w:rsidRPr="0018493C" w:rsidRDefault="00C37417" w:rsidP="002F5734">
      <w:pPr>
        <w:pStyle w:val="2"/>
        <w:ind w:left="567" w:hanging="567"/>
      </w:pPr>
      <w:bookmarkStart w:id="43" w:name="_Toc511835081"/>
      <w:r w:rsidRPr="0018493C">
        <w:t>Видатки по податкові на прибуток</w:t>
      </w:r>
      <w:bookmarkEnd w:id="43"/>
    </w:p>
    <w:p w:rsidR="00C37417" w:rsidRDefault="00C37417" w:rsidP="00C37417">
      <w:pPr>
        <w:ind w:firstLine="0"/>
        <w:contextualSpacing/>
        <w:rPr>
          <w:color w:val="auto"/>
          <w:sz w:val="20"/>
          <w:lang w:val="uk-UA"/>
        </w:rPr>
      </w:pPr>
      <w:r w:rsidRPr="0018493C">
        <w:rPr>
          <w:color w:val="auto"/>
          <w:sz w:val="20"/>
        </w:rPr>
        <w:t xml:space="preserve">Видатки по податкові на прибуток від </w:t>
      </w:r>
      <w:proofErr w:type="gramStart"/>
      <w:r w:rsidRPr="0018493C">
        <w:rPr>
          <w:color w:val="auto"/>
          <w:sz w:val="20"/>
        </w:rPr>
        <w:t>страхової й</w:t>
      </w:r>
      <w:proofErr w:type="gramEnd"/>
      <w:r w:rsidRPr="0018493C">
        <w:rPr>
          <w:color w:val="auto"/>
          <w:sz w:val="20"/>
        </w:rPr>
        <w:t xml:space="preserve"> іншої діяльності протягом 2016 року складались з:</w:t>
      </w:r>
    </w:p>
    <w:p w:rsidR="002E68B4" w:rsidRPr="002E68B4" w:rsidRDefault="002E68B4" w:rsidP="00C37417">
      <w:pPr>
        <w:ind w:firstLine="0"/>
        <w:contextualSpacing/>
        <w:rPr>
          <w:color w:val="auto"/>
          <w:sz w:val="20"/>
          <w:lang w:val="uk-UA"/>
        </w:rPr>
      </w:pPr>
    </w:p>
    <w:tbl>
      <w:tblPr>
        <w:tblStyle w:val="ac"/>
        <w:tblW w:w="0" w:type="auto"/>
        <w:tblLook w:val="04A0" w:firstRow="1" w:lastRow="0" w:firstColumn="1" w:lastColumn="0" w:noHBand="0" w:noVBand="1"/>
      </w:tblPr>
      <w:tblGrid>
        <w:gridCol w:w="6771"/>
        <w:gridCol w:w="1275"/>
        <w:gridCol w:w="1275"/>
      </w:tblGrid>
      <w:tr w:rsidR="002E63F3" w:rsidRPr="0018493C" w:rsidTr="00E065A5">
        <w:tc>
          <w:tcPr>
            <w:tcW w:w="6771" w:type="dxa"/>
          </w:tcPr>
          <w:p w:rsidR="002E63F3" w:rsidRPr="002E63F3" w:rsidRDefault="002E63F3" w:rsidP="002E63F3">
            <w:pPr>
              <w:ind w:firstLine="0"/>
              <w:contextualSpacing/>
              <w:rPr>
                <w:color w:val="auto"/>
                <w:sz w:val="20"/>
              </w:rPr>
            </w:pPr>
          </w:p>
        </w:tc>
        <w:tc>
          <w:tcPr>
            <w:tcW w:w="1275" w:type="dxa"/>
          </w:tcPr>
          <w:p w:rsidR="002E63F3" w:rsidRPr="002E63F3" w:rsidRDefault="002E63F3" w:rsidP="002E63F3">
            <w:pPr>
              <w:ind w:firstLine="0"/>
              <w:contextualSpacing/>
              <w:jc w:val="center"/>
              <w:rPr>
                <w:color w:val="auto"/>
                <w:sz w:val="20"/>
              </w:rPr>
            </w:pPr>
            <w:r w:rsidRPr="002E63F3">
              <w:rPr>
                <w:color w:val="auto"/>
                <w:sz w:val="20"/>
              </w:rPr>
              <w:t xml:space="preserve">2016 </w:t>
            </w:r>
            <w:proofErr w:type="gramStart"/>
            <w:r w:rsidRPr="002E63F3">
              <w:rPr>
                <w:color w:val="auto"/>
                <w:sz w:val="20"/>
              </w:rPr>
              <w:t>р</w:t>
            </w:r>
            <w:proofErr w:type="gramEnd"/>
            <w:r w:rsidRPr="002E63F3">
              <w:rPr>
                <w:color w:val="auto"/>
                <w:sz w:val="20"/>
              </w:rPr>
              <w:t>ік</w:t>
            </w:r>
          </w:p>
        </w:tc>
        <w:tc>
          <w:tcPr>
            <w:tcW w:w="1275" w:type="dxa"/>
          </w:tcPr>
          <w:p w:rsidR="002E63F3" w:rsidRPr="002E63F3" w:rsidRDefault="002E63F3" w:rsidP="002E63F3">
            <w:pPr>
              <w:ind w:firstLine="0"/>
              <w:contextualSpacing/>
              <w:jc w:val="center"/>
              <w:rPr>
                <w:color w:val="auto"/>
                <w:sz w:val="20"/>
              </w:rPr>
            </w:pPr>
            <w:r w:rsidRPr="002E63F3">
              <w:rPr>
                <w:color w:val="auto"/>
                <w:sz w:val="20"/>
              </w:rPr>
              <w:t xml:space="preserve">2017 </w:t>
            </w:r>
            <w:proofErr w:type="gramStart"/>
            <w:r w:rsidRPr="002E63F3">
              <w:rPr>
                <w:color w:val="auto"/>
                <w:sz w:val="20"/>
              </w:rPr>
              <w:t>р</w:t>
            </w:r>
            <w:proofErr w:type="gramEnd"/>
            <w:r w:rsidRPr="002E63F3">
              <w:rPr>
                <w:color w:val="auto"/>
                <w:sz w:val="20"/>
              </w:rPr>
              <w:t>ік</w:t>
            </w:r>
          </w:p>
        </w:tc>
      </w:tr>
      <w:tr w:rsidR="002E63F3" w:rsidRPr="0018493C" w:rsidTr="00E065A5">
        <w:tc>
          <w:tcPr>
            <w:tcW w:w="6771" w:type="dxa"/>
          </w:tcPr>
          <w:p w:rsidR="002E63F3" w:rsidRPr="002E63F3" w:rsidRDefault="002E63F3" w:rsidP="002E63F3">
            <w:pPr>
              <w:ind w:firstLine="0"/>
              <w:contextualSpacing/>
              <w:rPr>
                <w:color w:val="auto"/>
                <w:sz w:val="20"/>
              </w:rPr>
            </w:pPr>
            <w:r w:rsidRPr="002E63F3">
              <w:rPr>
                <w:color w:val="auto"/>
                <w:sz w:val="20"/>
              </w:rPr>
              <w:t>Податок на прибуток за ставкою 3 %</w:t>
            </w:r>
          </w:p>
        </w:tc>
        <w:tc>
          <w:tcPr>
            <w:tcW w:w="1275" w:type="dxa"/>
          </w:tcPr>
          <w:p w:rsidR="002E63F3" w:rsidRPr="002E63F3" w:rsidRDefault="002E63F3" w:rsidP="002E63F3">
            <w:pPr>
              <w:ind w:firstLine="0"/>
              <w:contextualSpacing/>
              <w:jc w:val="center"/>
              <w:rPr>
                <w:color w:val="auto"/>
                <w:sz w:val="20"/>
              </w:rPr>
            </w:pPr>
            <w:r w:rsidRPr="002E63F3">
              <w:rPr>
                <w:color w:val="auto"/>
                <w:sz w:val="20"/>
              </w:rPr>
              <w:t>2 329</w:t>
            </w:r>
          </w:p>
        </w:tc>
        <w:tc>
          <w:tcPr>
            <w:tcW w:w="1275" w:type="dxa"/>
          </w:tcPr>
          <w:p w:rsidR="002E63F3" w:rsidRPr="002E63F3" w:rsidRDefault="002E63F3" w:rsidP="002E63F3">
            <w:pPr>
              <w:ind w:firstLine="0"/>
              <w:contextualSpacing/>
              <w:jc w:val="center"/>
              <w:rPr>
                <w:color w:val="auto"/>
                <w:sz w:val="20"/>
              </w:rPr>
            </w:pPr>
            <w:r w:rsidRPr="002E63F3">
              <w:rPr>
                <w:color w:val="auto"/>
                <w:sz w:val="20"/>
              </w:rPr>
              <w:t>2 186</w:t>
            </w:r>
          </w:p>
        </w:tc>
      </w:tr>
      <w:tr w:rsidR="002E63F3" w:rsidRPr="0018493C" w:rsidTr="00E065A5">
        <w:tc>
          <w:tcPr>
            <w:tcW w:w="6771" w:type="dxa"/>
          </w:tcPr>
          <w:p w:rsidR="002E63F3" w:rsidRPr="002E63F3" w:rsidRDefault="002E63F3" w:rsidP="002E63F3">
            <w:pPr>
              <w:ind w:firstLine="0"/>
              <w:contextualSpacing/>
              <w:rPr>
                <w:color w:val="auto"/>
                <w:sz w:val="20"/>
              </w:rPr>
            </w:pPr>
            <w:r w:rsidRPr="002E63F3">
              <w:rPr>
                <w:color w:val="auto"/>
                <w:sz w:val="20"/>
              </w:rPr>
              <w:t>Податок на прибуток по ставці від не страхової діяльності</w:t>
            </w:r>
          </w:p>
        </w:tc>
        <w:tc>
          <w:tcPr>
            <w:tcW w:w="1275" w:type="dxa"/>
          </w:tcPr>
          <w:p w:rsidR="002E63F3" w:rsidRPr="002E63F3" w:rsidRDefault="002E63F3" w:rsidP="002E63F3">
            <w:pPr>
              <w:ind w:firstLine="0"/>
              <w:contextualSpacing/>
              <w:jc w:val="center"/>
              <w:rPr>
                <w:color w:val="auto"/>
                <w:sz w:val="20"/>
              </w:rPr>
            </w:pPr>
            <w:r w:rsidRPr="002E63F3">
              <w:rPr>
                <w:color w:val="auto"/>
                <w:sz w:val="20"/>
              </w:rPr>
              <w:t>1 002</w:t>
            </w:r>
          </w:p>
        </w:tc>
        <w:tc>
          <w:tcPr>
            <w:tcW w:w="1275" w:type="dxa"/>
          </w:tcPr>
          <w:p w:rsidR="002E63F3" w:rsidRPr="002E63F3" w:rsidRDefault="002E63F3" w:rsidP="002E63F3">
            <w:pPr>
              <w:ind w:firstLine="0"/>
              <w:contextualSpacing/>
              <w:jc w:val="center"/>
              <w:rPr>
                <w:color w:val="auto"/>
                <w:sz w:val="20"/>
              </w:rPr>
            </w:pPr>
            <w:r w:rsidRPr="002E63F3">
              <w:rPr>
                <w:color w:val="auto"/>
                <w:sz w:val="20"/>
              </w:rPr>
              <w:t>561</w:t>
            </w:r>
          </w:p>
        </w:tc>
      </w:tr>
      <w:tr w:rsidR="002E63F3" w:rsidRPr="0018493C" w:rsidTr="00E065A5">
        <w:tc>
          <w:tcPr>
            <w:tcW w:w="6771" w:type="dxa"/>
          </w:tcPr>
          <w:p w:rsidR="002E63F3" w:rsidRPr="002E63F3" w:rsidRDefault="002E63F3" w:rsidP="002E63F3">
            <w:pPr>
              <w:ind w:firstLine="0"/>
              <w:contextualSpacing/>
              <w:rPr>
                <w:color w:val="auto"/>
                <w:sz w:val="20"/>
              </w:rPr>
            </w:pPr>
            <w:r w:rsidRPr="002E63F3">
              <w:rPr>
                <w:color w:val="auto"/>
                <w:sz w:val="20"/>
              </w:rPr>
              <w:t>Усього з податку на прибуток</w:t>
            </w:r>
          </w:p>
        </w:tc>
        <w:tc>
          <w:tcPr>
            <w:tcW w:w="1275" w:type="dxa"/>
          </w:tcPr>
          <w:p w:rsidR="002E63F3" w:rsidRPr="002E63F3" w:rsidRDefault="002E63F3" w:rsidP="002E63F3">
            <w:pPr>
              <w:ind w:firstLine="0"/>
              <w:contextualSpacing/>
              <w:jc w:val="center"/>
              <w:rPr>
                <w:color w:val="auto"/>
                <w:sz w:val="20"/>
              </w:rPr>
            </w:pPr>
            <w:r w:rsidRPr="002E63F3">
              <w:rPr>
                <w:color w:val="auto"/>
                <w:sz w:val="20"/>
              </w:rPr>
              <w:t>3 331</w:t>
            </w:r>
          </w:p>
        </w:tc>
        <w:tc>
          <w:tcPr>
            <w:tcW w:w="1275" w:type="dxa"/>
          </w:tcPr>
          <w:p w:rsidR="002E63F3" w:rsidRPr="002E63F3" w:rsidRDefault="002E63F3" w:rsidP="002E63F3">
            <w:pPr>
              <w:ind w:firstLine="0"/>
              <w:contextualSpacing/>
              <w:jc w:val="center"/>
              <w:rPr>
                <w:color w:val="auto"/>
                <w:sz w:val="20"/>
              </w:rPr>
            </w:pPr>
            <w:r w:rsidRPr="002E63F3">
              <w:rPr>
                <w:color w:val="auto"/>
                <w:sz w:val="20"/>
              </w:rPr>
              <w:t>2 747</w:t>
            </w:r>
          </w:p>
        </w:tc>
      </w:tr>
    </w:tbl>
    <w:p w:rsidR="00C37417" w:rsidRPr="0018493C" w:rsidRDefault="00C37417" w:rsidP="002F5734">
      <w:pPr>
        <w:pStyle w:val="2"/>
        <w:numPr>
          <w:ilvl w:val="0"/>
          <w:numId w:val="0"/>
        </w:numPr>
        <w:ind w:left="567"/>
      </w:pPr>
    </w:p>
    <w:p w:rsidR="00C37417" w:rsidRPr="0018493C" w:rsidRDefault="00C37417" w:rsidP="002F5734">
      <w:pPr>
        <w:pStyle w:val="2"/>
        <w:ind w:left="567" w:hanging="567"/>
      </w:pPr>
      <w:bookmarkStart w:id="44" w:name="_Toc480878946"/>
      <w:bookmarkStart w:id="45" w:name="_Toc511835082"/>
      <w:r w:rsidRPr="0018493C">
        <w:t>Оренда</w:t>
      </w:r>
      <w:bookmarkEnd w:id="44"/>
      <w:bookmarkEnd w:id="45"/>
    </w:p>
    <w:p w:rsidR="00C37417" w:rsidRPr="0018493C" w:rsidRDefault="00C37417" w:rsidP="002F5734">
      <w:pPr>
        <w:spacing w:after="200"/>
        <w:ind w:firstLine="0"/>
        <w:contextualSpacing/>
        <w:rPr>
          <w:color w:val="auto"/>
          <w:sz w:val="20"/>
        </w:rPr>
      </w:pPr>
      <w:r w:rsidRPr="0018493C">
        <w:rPr>
          <w:color w:val="auto"/>
          <w:sz w:val="20"/>
        </w:rPr>
        <w:t xml:space="preserve">Товариство уклало договори операційної оренди нерухомості. Строк дії цих договорів складає один </w:t>
      </w:r>
      <w:proofErr w:type="gramStart"/>
      <w:r w:rsidRPr="0018493C">
        <w:rPr>
          <w:color w:val="auto"/>
          <w:sz w:val="20"/>
        </w:rPr>
        <w:t>р</w:t>
      </w:r>
      <w:proofErr w:type="gramEnd"/>
      <w:r w:rsidRPr="0018493C">
        <w:rPr>
          <w:color w:val="auto"/>
          <w:sz w:val="20"/>
        </w:rPr>
        <w:t>ік з можливістю їх подовження. При укладанні цих договорі</w:t>
      </w:r>
      <w:proofErr w:type="gramStart"/>
      <w:r w:rsidRPr="0018493C">
        <w:rPr>
          <w:color w:val="auto"/>
          <w:sz w:val="20"/>
        </w:rPr>
        <w:t>в</w:t>
      </w:r>
      <w:proofErr w:type="gramEnd"/>
      <w:r w:rsidRPr="0018493C">
        <w:rPr>
          <w:color w:val="auto"/>
          <w:sz w:val="20"/>
        </w:rPr>
        <w:t xml:space="preserve"> на Товариство не накладались будь які обмеження.</w:t>
      </w:r>
    </w:p>
    <w:p w:rsidR="00C37417" w:rsidRDefault="00C37417" w:rsidP="00C37417">
      <w:pPr>
        <w:contextualSpacing/>
        <w:rPr>
          <w:color w:val="auto"/>
          <w:sz w:val="20"/>
          <w:lang w:val="uk-UA"/>
        </w:rPr>
      </w:pPr>
    </w:p>
    <w:p w:rsidR="002E63F3" w:rsidRPr="002E63F3" w:rsidRDefault="002E63F3" w:rsidP="002E63F3">
      <w:pPr>
        <w:pStyle w:val="2"/>
        <w:ind w:left="567" w:hanging="567"/>
        <w:rPr>
          <w:lang w:val="ru-RU"/>
        </w:rPr>
      </w:pPr>
      <w:bookmarkStart w:id="46" w:name="_Toc511835083"/>
      <w:r w:rsidRPr="002E63F3">
        <w:rPr>
          <w:lang w:val="ru-RU"/>
        </w:rPr>
        <w:t>Відстрочені податкові активи й зобов'язання</w:t>
      </w:r>
      <w:bookmarkEnd w:id="46"/>
    </w:p>
    <w:p w:rsidR="002E63F3" w:rsidRPr="002E63F3" w:rsidRDefault="002E63F3" w:rsidP="002E63F3">
      <w:pPr>
        <w:spacing w:after="200"/>
        <w:ind w:firstLine="0"/>
        <w:contextualSpacing/>
        <w:rPr>
          <w:color w:val="auto"/>
          <w:sz w:val="20"/>
        </w:rPr>
      </w:pPr>
      <w:r>
        <w:rPr>
          <w:color w:val="auto"/>
          <w:sz w:val="20"/>
          <w:lang w:val="uk-UA"/>
        </w:rPr>
        <w:t>25</w:t>
      </w:r>
      <w:r w:rsidRPr="002E63F3">
        <w:rPr>
          <w:color w:val="auto"/>
          <w:sz w:val="20"/>
        </w:rPr>
        <w:t>.1 Відстрочені податкові зобов’язання були розраховані по тимчасовій податковій різниці за операціями з основними засобами, як різниця між первісною вартістю, амортизацією в податковому обліку та балансовою вартістю активів, врахованих при обчисленні податку на прибуток:</w:t>
      </w:r>
    </w:p>
    <w:tbl>
      <w:tblPr>
        <w:tblW w:w="8379" w:type="dxa"/>
        <w:tblInd w:w="93" w:type="dxa"/>
        <w:tblLook w:val="04A0" w:firstRow="1" w:lastRow="0" w:firstColumn="1" w:lastColumn="0" w:noHBand="0" w:noVBand="1"/>
      </w:tblPr>
      <w:tblGrid>
        <w:gridCol w:w="4410"/>
        <w:gridCol w:w="2126"/>
        <w:gridCol w:w="1843"/>
      </w:tblGrid>
      <w:tr w:rsidR="002E63F3" w:rsidRPr="002E63F3" w:rsidTr="00C407A0">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2017</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2016</w:t>
            </w:r>
          </w:p>
        </w:tc>
      </w:tr>
      <w:tr w:rsidR="002E63F3" w:rsidRPr="002E63F3" w:rsidTr="00C407A0">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Первісна вартість</w:t>
            </w:r>
          </w:p>
        </w:tc>
        <w:tc>
          <w:tcPr>
            <w:tcW w:w="2126"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 xml:space="preserve">426 </w:t>
            </w:r>
          </w:p>
        </w:tc>
        <w:tc>
          <w:tcPr>
            <w:tcW w:w="1843"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r>
      <w:tr w:rsidR="002E63F3" w:rsidRPr="002E63F3" w:rsidTr="00C407A0">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 xml:space="preserve">Амортизація в бухгалтерському </w:t>
            </w:r>
            <w:proofErr w:type="gramStart"/>
            <w:r w:rsidRPr="002E63F3">
              <w:rPr>
                <w:color w:val="auto"/>
                <w:sz w:val="20"/>
              </w:rPr>
              <w:t>обл</w:t>
            </w:r>
            <w:proofErr w:type="gramEnd"/>
            <w:r w:rsidRPr="002E63F3">
              <w:rPr>
                <w:color w:val="auto"/>
                <w:sz w:val="20"/>
              </w:rPr>
              <w:t>іку</w:t>
            </w:r>
          </w:p>
        </w:tc>
        <w:tc>
          <w:tcPr>
            <w:tcW w:w="2126"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226</w:t>
            </w:r>
          </w:p>
        </w:tc>
        <w:tc>
          <w:tcPr>
            <w:tcW w:w="1843"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r>
      <w:tr w:rsidR="002E63F3" w:rsidRPr="002E63F3" w:rsidTr="00C407A0">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Балансова вартість</w:t>
            </w:r>
          </w:p>
        </w:tc>
        <w:tc>
          <w:tcPr>
            <w:tcW w:w="2126"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200</w:t>
            </w:r>
          </w:p>
        </w:tc>
        <w:tc>
          <w:tcPr>
            <w:tcW w:w="1843"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r>
      <w:tr w:rsidR="002E63F3" w:rsidRPr="002E63F3" w:rsidTr="00C407A0">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 xml:space="preserve">Амортизація в податковому </w:t>
            </w:r>
            <w:proofErr w:type="gramStart"/>
            <w:r w:rsidRPr="002E63F3">
              <w:rPr>
                <w:color w:val="auto"/>
                <w:sz w:val="20"/>
              </w:rPr>
              <w:t>обл</w:t>
            </w:r>
            <w:proofErr w:type="gramEnd"/>
            <w:r w:rsidRPr="002E63F3">
              <w:rPr>
                <w:color w:val="auto"/>
                <w:sz w:val="20"/>
              </w:rPr>
              <w:t>іку</w:t>
            </w:r>
          </w:p>
        </w:tc>
        <w:tc>
          <w:tcPr>
            <w:tcW w:w="2126"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100</w:t>
            </w:r>
          </w:p>
        </w:tc>
        <w:tc>
          <w:tcPr>
            <w:tcW w:w="1843"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r>
      <w:tr w:rsidR="002E63F3" w:rsidRPr="002E63F3" w:rsidTr="00C407A0">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 xml:space="preserve">Тимчасова </w:t>
            </w:r>
            <w:proofErr w:type="gramStart"/>
            <w:r w:rsidRPr="002E63F3">
              <w:rPr>
                <w:color w:val="auto"/>
                <w:sz w:val="20"/>
              </w:rPr>
              <w:t>р</w:t>
            </w:r>
            <w:proofErr w:type="gramEnd"/>
            <w:r w:rsidRPr="002E63F3">
              <w:rPr>
                <w:color w:val="auto"/>
                <w:sz w:val="20"/>
              </w:rPr>
              <w:t>ізниця</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126</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r>
      <w:tr w:rsidR="002E63F3" w:rsidRPr="002E63F3" w:rsidTr="00C407A0">
        <w:trPr>
          <w:trHeight w:val="300"/>
        </w:trPr>
        <w:tc>
          <w:tcPr>
            <w:tcW w:w="4410"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c>
          <w:tcPr>
            <w:tcW w:w="2126"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c>
          <w:tcPr>
            <w:tcW w:w="1843"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r>
      <w:tr w:rsidR="002E63F3" w:rsidRPr="002E63F3" w:rsidTr="00C407A0">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r w:rsidRPr="002E63F3">
              <w:rPr>
                <w:color w:val="auto"/>
                <w:sz w:val="20"/>
              </w:rPr>
              <w:t>Ставка податку</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r w:rsidRPr="002E63F3">
              <w:rPr>
                <w:color w:val="auto"/>
                <w:sz w:val="20"/>
              </w:rPr>
              <w:t>18%</w:t>
            </w:r>
          </w:p>
        </w:tc>
        <w:tc>
          <w:tcPr>
            <w:tcW w:w="1843" w:type="dxa"/>
            <w:tcBorders>
              <w:top w:val="single" w:sz="4" w:space="0" w:color="auto"/>
              <w:left w:val="nil"/>
              <w:bottom w:val="single" w:sz="4" w:space="0" w:color="auto"/>
              <w:right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r w:rsidRPr="002E63F3">
              <w:rPr>
                <w:color w:val="auto"/>
                <w:sz w:val="20"/>
              </w:rPr>
              <w:t>18%</w:t>
            </w:r>
          </w:p>
        </w:tc>
      </w:tr>
      <w:tr w:rsidR="002E63F3" w:rsidRPr="002E63F3" w:rsidTr="00C407A0">
        <w:trPr>
          <w:trHeight w:val="300"/>
        </w:trPr>
        <w:tc>
          <w:tcPr>
            <w:tcW w:w="4410" w:type="dxa"/>
            <w:tcBorders>
              <w:top w:val="nil"/>
              <w:left w:val="nil"/>
              <w:bottom w:val="nil"/>
              <w:right w:val="nil"/>
            </w:tcBorders>
            <w:shd w:val="clear" w:color="auto" w:fill="auto"/>
            <w:noWrap/>
            <w:vAlign w:val="bottom"/>
            <w:hideMark/>
          </w:tcPr>
          <w:p w:rsidR="002E63F3" w:rsidRPr="002E63F3" w:rsidRDefault="002E63F3" w:rsidP="002E63F3">
            <w:pPr>
              <w:spacing w:after="200"/>
              <w:ind w:firstLine="0"/>
              <w:contextualSpacing/>
              <w:rPr>
                <w:color w:val="auto"/>
                <w:sz w:val="20"/>
              </w:rPr>
            </w:pPr>
          </w:p>
        </w:tc>
        <w:tc>
          <w:tcPr>
            <w:tcW w:w="2126" w:type="dxa"/>
            <w:tcBorders>
              <w:top w:val="nil"/>
              <w:left w:val="nil"/>
              <w:bottom w:val="nil"/>
              <w:right w:val="nil"/>
            </w:tcBorders>
            <w:shd w:val="clear" w:color="auto" w:fill="auto"/>
            <w:noWrap/>
            <w:vAlign w:val="bottom"/>
          </w:tcPr>
          <w:p w:rsidR="002E63F3" w:rsidRPr="002E63F3" w:rsidRDefault="002E63F3" w:rsidP="002E63F3">
            <w:pPr>
              <w:spacing w:after="200"/>
              <w:ind w:firstLine="0"/>
              <w:contextualSpacing/>
              <w:rPr>
                <w:color w:val="auto"/>
                <w:sz w:val="20"/>
              </w:rPr>
            </w:pPr>
          </w:p>
        </w:tc>
        <w:tc>
          <w:tcPr>
            <w:tcW w:w="1843" w:type="dxa"/>
            <w:tcBorders>
              <w:top w:val="nil"/>
              <w:left w:val="nil"/>
              <w:bottom w:val="nil"/>
              <w:right w:val="nil"/>
            </w:tcBorders>
            <w:shd w:val="clear" w:color="auto" w:fill="auto"/>
            <w:noWrap/>
            <w:vAlign w:val="bottom"/>
          </w:tcPr>
          <w:p w:rsidR="002E63F3" w:rsidRPr="002E63F3" w:rsidRDefault="002E63F3" w:rsidP="002E63F3">
            <w:pPr>
              <w:spacing w:after="200"/>
              <w:ind w:firstLine="0"/>
              <w:contextualSpacing/>
              <w:rPr>
                <w:color w:val="auto"/>
                <w:sz w:val="20"/>
              </w:rPr>
            </w:pPr>
          </w:p>
        </w:tc>
      </w:tr>
      <w:tr w:rsidR="002E63F3" w:rsidRPr="002E63F3" w:rsidTr="00C407A0">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Відстрочені податкові зобов'язання</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23</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r>
    </w:tbl>
    <w:p w:rsidR="002E63F3" w:rsidRDefault="002E63F3" w:rsidP="002E63F3">
      <w:pPr>
        <w:spacing w:after="200"/>
        <w:ind w:firstLine="0"/>
        <w:contextualSpacing/>
        <w:rPr>
          <w:color w:val="auto"/>
          <w:sz w:val="20"/>
          <w:lang w:val="uk-UA"/>
        </w:rPr>
      </w:pPr>
    </w:p>
    <w:p w:rsidR="002E63F3" w:rsidRPr="002E63F3" w:rsidRDefault="002E63F3" w:rsidP="002E63F3">
      <w:pPr>
        <w:spacing w:after="200"/>
        <w:ind w:firstLine="0"/>
        <w:contextualSpacing/>
        <w:rPr>
          <w:color w:val="auto"/>
          <w:sz w:val="20"/>
        </w:rPr>
      </w:pPr>
      <w:r w:rsidRPr="002E63F3">
        <w:rPr>
          <w:color w:val="auto"/>
          <w:sz w:val="20"/>
        </w:rPr>
        <w:t>2</w:t>
      </w:r>
      <w:r>
        <w:rPr>
          <w:color w:val="auto"/>
          <w:sz w:val="20"/>
          <w:lang w:val="uk-UA"/>
        </w:rPr>
        <w:t>5</w:t>
      </w:r>
      <w:r w:rsidRPr="002E63F3">
        <w:rPr>
          <w:color w:val="auto"/>
          <w:sz w:val="20"/>
        </w:rPr>
        <w:t xml:space="preserve">.2 У зв’язку з внесенням змін до Податкового кодексу з 01.01.2017 року в частині віднесення на витрати суми сформованих резервів сумнівних боргів, були розраховані відстрочені податкові активи по таким тимчасовим </w:t>
      </w:r>
      <w:proofErr w:type="gramStart"/>
      <w:r w:rsidRPr="002E63F3">
        <w:rPr>
          <w:color w:val="auto"/>
          <w:sz w:val="20"/>
        </w:rPr>
        <w:t>р</w:t>
      </w:r>
      <w:proofErr w:type="gramEnd"/>
      <w:r w:rsidRPr="002E63F3">
        <w:rPr>
          <w:color w:val="auto"/>
          <w:sz w:val="20"/>
        </w:rPr>
        <w:t>ізницям:</w:t>
      </w:r>
    </w:p>
    <w:tbl>
      <w:tblPr>
        <w:tblW w:w="8379" w:type="dxa"/>
        <w:tblInd w:w="93" w:type="dxa"/>
        <w:tblLook w:val="04A0" w:firstRow="1" w:lastRow="0" w:firstColumn="1" w:lastColumn="0" w:noHBand="0" w:noVBand="1"/>
      </w:tblPr>
      <w:tblGrid>
        <w:gridCol w:w="4410"/>
        <w:gridCol w:w="2126"/>
        <w:gridCol w:w="1843"/>
      </w:tblGrid>
      <w:tr w:rsidR="002E63F3" w:rsidRPr="002E63F3" w:rsidTr="00C407A0">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lastRenderedPageBreak/>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2017</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2016</w:t>
            </w:r>
          </w:p>
        </w:tc>
      </w:tr>
      <w:tr w:rsidR="002E63F3" w:rsidRPr="002E63F3" w:rsidTr="00C407A0">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Сума сформованого резерву сумнівних боргі</w:t>
            </w:r>
            <w:proofErr w:type="gramStart"/>
            <w:r w:rsidRPr="002E63F3">
              <w:rPr>
                <w:color w:val="auto"/>
                <w:sz w:val="20"/>
              </w:rPr>
              <w:t>в</w:t>
            </w:r>
            <w:proofErr w:type="gramEnd"/>
            <w:r w:rsidRPr="002E63F3">
              <w:rPr>
                <w:color w:val="auto"/>
                <w:sz w:val="20"/>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c>
          <w:tcPr>
            <w:tcW w:w="1843"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3708</w:t>
            </w:r>
          </w:p>
        </w:tc>
      </w:tr>
      <w:tr w:rsidR="002E63F3" w:rsidRPr="002E63F3" w:rsidTr="00C407A0">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 xml:space="preserve">Сума сформованого резерву </w:t>
            </w:r>
            <w:proofErr w:type="gramStart"/>
            <w:r w:rsidRPr="002E63F3">
              <w:rPr>
                <w:color w:val="auto"/>
                <w:sz w:val="20"/>
              </w:rPr>
              <w:t>п</w:t>
            </w:r>
            <w:proofErr w:type="gramEnd"/>
            <w:r w:rsidRPr="002E63F3">
              <w:rPr>
                <w:color w:val="auto"/>
                <w:sz w:val="20"/>
              </w:rPr>
              <w:t>ід знецінення цінних паперів</w:t>
            </w:r>
          </w:p>
        </w:tc>
        <w:tc>
          <w:tcPr>
            <w:tcW w:w="2126"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10 000</w:t>
            </w:r>
          </w:p>
        </w:tc>
        <w:tc>
          <w:tcPr>
            <w:tcW w:w="1843" w:type="dxa"/>
            <w:tcBorders>
              <w:top w:val="nil"/>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r>
      <w:tr w:rsidR="002E63F3" w:rsidRPr="002E63F3" w:rsidTr="00C407A0">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r w:rsidRPr="002E63F3">
              <w:rPr>
                <w:color w:val="auto"/>
                <w:sz w:val="20"/>
              </w:rPr>
              <w:t xml:space="preserve">Тимчасова </w:t>
            </w:r>
            <w:proofErr w:type="gramStart"/>
            <w:r w:rsidRPr="002E63F3">
              <w:rPr>
                <w:color w:val="auto"/>
                <w:sz w:val="20"/>
              </w:rPr>
              <w:t>р</w:t>
            </w:r>
            <w:proofErr w:type="gramEnd"/>
            <w:r w:rsidRPr="002E63F3">
              <w:rPr>
                <w:color w:val="auto"/>
                <w:sz w:val="20"/>
              </w:rPr>
              <w:t>ізниця</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r w:rsidRPr="002E63F3">
              <w:rPr>
                <w:color w:val="auto"/>
                <w:sz w:val="20"/>
              </w:rPr>
              <w:t>13 708</w:t>
            </w:r>
          </w:p>
        </w:tc>
        <w:tc>
          <w:tcPr>
            <w:tcW w:w="1843" w:type="dxa"/>
            <w:tcBorders>
              <w:top w:val="single" w:sz="4" w:space="0" w:color="auto"/>
              <w:left w:val="nil"/>
              <w:bottom w:val="single" w:sz="4" w:space="0" w:color="auto"/>
              <w:right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r w:rsidRPr="002E63F3">
              <w:rPr>
                <w:color w:val="auto"/>
                <w:sz w:val="20"/>
              </w:rPr>
              <w:t>-</w:t>
            </w:r>
          </w:p>
        </w:tc>
      </w:tr>
      <w:tr w:rsidR="002E63F3" w:rsidRPr="002E63F3" w:rsidTr="00C407A0">
        <w:trPr>
          <w:trHeight w:val="300"/>
        </w:trPr>
        <w:tc>
          <w:tcPr>
            <w:tcW w:w="4410"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c>
          <w:tcPr>
            <w:tcW w:w="2126"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c>
          <w:tcPr>
            <w:tcW w:w="1843"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r>
      <w:tr w:rsidR="002E63F3" w:rsidRPr="002E63F3" w:rsidTr="00C407A0">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Ставка податку</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18%</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18%</w:t>
            </w:r>
          </w:p>
        </w:tc>
      </w:tr>
      <w:tr w:rsidR="002E63F3" w:rsidRPr="002E63F3" w:rsidTr="00C407A0">
        <w:trPr>
          <w:trHeight w:val="300"/>
        </w:trPr>
        <w:tc>
          <w:tcPr>
            <w:tcW w:w="4410"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c>
          <w:tcPr>
            <w:tcW w:w="2126"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c>
          <w:tcPr>
            <w:tcW w:w="1843" w:type="dxa"/>
            <w:tcBorders>
              <w:top w:val="single" w:sz="4" w:space="0" w:color="auto"/>
              <w:bottom w:val="single" w:sz="4" w:space="0" w:color="auto"/>
            </w:tcBorders>
            <w:shd w:val="clear" w:color="auto" w:fill="auto"/>
            <w:noWrap/>
            <w:vAlign w:val="bottom"/>
          </w:tcPr>
          <w:p w:rsidR="002E63F3" w:rsidRPr="002E63F3" w:rsidRDefault="002E63F3" w:rsidP="002E63F3">
            <w:pPr>
              <w:spacing w:after="200"/>
              <w:ind w:firstLine="0"/>
              <w:contextualSpacing/>
              <w:rPr>
                <w:color w:val="auto"/>
                <w:sz w:val="20"/>
              </w:rPr>
            </w:pPr>
          </w:p>
        </w:tc>
      </w:tr>
      <w:tr w:rsidR="002E63F3" w:rsidRPr="002E63F3" w:rsidTr="00C407A0">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Відстрочені податкові активи</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2 467</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2E63F3" w:rsidRPr="002E63F3" w:rsidRDefault="002E63F3" w:rsidP="002E63F3">
            <w:pPr>
              <w:spacing w:after="200"/>
              <w:ind w:firstLine="0"/>
              <w:contextualSpacing/>
              <w:rPr>
                <w:color w:val="auto"/>
                <w:sz w:val="20"/>
              </w:rPr>
            </w:pPr>
            <w:r w:rsidRPr="002E63F3">
              <w:rPr>
                <w:color w:val="auto"/>
                <w:sz w:val="20"/>
              </w:rPr>
              <w:t>-</w:t>
            </w:r>
          </w:p>
        </w:tc>
      </w:tr>
    </w:tbl>
    <w:p w:rsidR="002E63F3" w:rsidRDefault="002E63F3" w:rsidP="00C37417">
      <w:pPr>
        <w:contextualSpacing/>
        <w:rPr>
          <w:color w:val="auto"/>
          <w:sz w:val="20"/>
          <w:lang w:val="uk-UA"/>
        </w:rPr>
      </w:pPr>
    </w:p>
    <w:p w:rsidR="00C37417" w:rsidRPr="0018493C" w:rsidRDefault="00C37417" w:rsidP="002F5734">
      <w:pPr>
        <w:pStyle w:val="2"/>
        <w:ind w:left="567" w:hanging="567"/>
      </w:pPr>
      <w:bookmarkStart w:id="47" w:name="_Toc511835084"/>
      <w:r w:rsidRPr="0018493C">
        <w:t>Пов'язані сторони</w:t>
      </w:r>
      <w:bookmarkEnd w:id="47"/>
    </w:p>
    <w:p w:rsidR="00C37417" w:rsidRPr="0018493C" w:rsidRDefault="00C37417" w:rsidP="00C37417">
      <w:pPr>
        <w:contextualSpacing/>
        <w:rPr>
          <w:color w:val="auto"/>
          <w:sz w:val="20"/>
        </w:rPr>
      </w:pPr>
    </w:p>
    <w:p w:rsidR="00C37417" w:rsidRPr="0018493C" w:rsidRDefault="00C37417" w:rsidP="002F5734">
      <w:pPr>
        <w:ind w:firstLine="0"/>
        <w:contextualSpacing/>
        <w:rPr>
          <w:color w:val="auto"/>
          <w:sz w:val="20"/>
        </w:rPr>
      </w:pPr>
      <w:r w:rsidRPr="0018493C">
        <w:rPr>
          <w:color w:val="auto"/>
          <w:sz w:val="20"/>
        </w:rPr>
        <w:t>Операції із пов'язаними сторонами</w:t>
      </w:r>
    </w:p>
    <w:p w:rsidR="00C37417" w:rsidRPr="0018493C" w:rsidRDefault="00C37417" w:rsidP="002F5734">
      <w:pPr>
        <w:ind w:firstLine="0"/>
        <w:contextualSpacing/>
        <w:rPr>
          <w:color w:val="auto"/>
          <w:sz w:val="20"/>
        </w:rPr>
      </w:pPr>
      <w:r w:rsidRPr="0018493C">
        <w:rPr>
          <w:color w:val="auto"/>
          <w:sz w:val="20"/>
        </w:rPr>
        <w:t xml:space="preserve">До пов'язаних сторін або операцій зі пов'язаними сторонами, як зазначено у МСБО 24 (переглянутому у 2009 році) "Розкриття інформації про </w:t>
      </w:r>
      <w:proofErr w:type="gramStart"/>
      <w:r w:rsidRPr="0018493C">
        <w:rPr>
          <w:color w:val="auto"/>
          <w:sz w:val="20"/>
        </w:rPr>
        <w:t>пов'язан</w:t>
      </w:r>
      <w:proofErr w:type="gramEnd"/>
      <w:r w:rsidRPr="0018493C">
        <w:rPr>
          <w:color w:val="auto"/>
          <w:sz w:val="20"/>
        </w:rPr>
        <w:t>і сторони", відносяться:</w:t>
      </w:r>
    </w:p>
    <w:p w:rsidR="00C37417" w:rsidRPr="0018493C" w:rsidRDefault="00C37417" w:rsidP="00C37417">
      <w:pPr>
        <w:contextualSpacing/>
        <w:rPr>
          <w:color w:val="auto"/>
          <w:sz w:val="20"/>
        </w:rPr>
      </w:pPr>
      <w:r w:rsidRPr="0018493C">
        <w:rPr>
          <w:color w:val="auto"/>
          <w:sz w:val="20"/>
        </w:rPr>
        <w:t>а) Фізична особа або близький родич такої особи є пов'язаною стороною із суб'єктом господарювання, що звіту</w:t>
      </w:r>
      <w:proofErr w:type="gramStart"/>
      <w:r w:rsidRPr="0018493C">
        <w:rPr>
          <w:color w:val="auto"/>
          <w:sz w:val="20"/>
        </w:rPr>
        <w:t>є,</w:t>
      </w:r>
      <w:proofErr w:type="gramEnd"/>
      <w:r w:rsidRPr="0018493C">
        <w:rPr>
          <w:color w:val="auto"/>
          <w:sz w:val="20"/>
        </w:rPr>
        <w:t xml:space="preserve"> якщо така особа:</w:t>
      </w:r>
    </w:p>
    <w:p w:rsidR="00C37417" w:rsidRPr="0018493C" w:rsidRDefault="00C37417" w:rsidP="00C37417">
      <w:pPr>
        <w:contextualSpacing/>
        <w:rPr>
          <w:color w:val="auto"/>
          <w:sz w:val="20"/>
        </w:rPr>
      </w:pPr>
      <w:r w:rsidRPr="0018493C">
        <w:rPr>
          <w:color w:val="auto"/>
          <w:sz w:val="20"/>
        </w:rPr>
        <w:t>•</w:t>
      </w:r>
      <w:r w:rsidRPr="0018493C">
        <w:rPr>
          <w:color w:val="auto"/>
          <w:sz w:val="20"/>
        </w:rPr>
        <w:tab/>
        <w:t>контролює суб'єкт господарювання, що звіту</w:t>
      </w:r>
      <w:proofErr w:type="gramStart"/>
      <w:r w:rsidRPr="0018493C">
        <w:rPr>
          <w:color w:val="auto"/>
          <w:sz w:val="20"/>
        </w:rPr>
        <w:t>є,</w:t>
      </w:r>
      <w:proofErr w:type="gramEnd"/>
      <w:r w:rsidRPr="0018493C">
        <w:rPr>
          <w:color w:val="auto"/>
          <w:sz w:val="20"/>
        </w:rPr>
        <w:t xml:space="preserve"> або здійснює спільний контроль над ним;</w:t>
      </w:r>
    </w:p>
    <w:p w:rsidR="00C37417" w:rsidRPr="0018493C" w:rsidRDefault="00C37417" w:rsidP="00C37417">
      <w:pPr>
        <w:contextualSpacing/>
        <w:rPr>
          <w:color w:val="auto"/>
          <w:sz w:val="20"/>
        </w:rPr>
      </w:pPr>
      <w:r w:rsidRPr="0018493C">
        <w:rPr>
          <w:color w:val="auto"/>
          <w:sz w:val="20"/>
        </w:rPr>
        <w:t>•</w:t>
      </w:r>
      <w:r w:rsidRPr="0018493C">
        <w:rPr>
          <w:color w:val="auto"/>
          <w:sz w:val="20"/>
        </w:rPr>
        <w:tab/>
        <w:t>має суттєвий вплив на суб'єкт господарювання, що звіту</w:t>
      </w:r>
      <w:proofErr w:type="gramStart"/>
      <w:r w:rsidRPr="0018493C">
        <w:rPr>
          <w:color w:val="auto"/>
          <w:sz w:val="20"/>
        </w:rPr>
        <w:t>є;</w:t>
      </w:r>
      <w:proofErr w:type="gramEnd"/>
    </w:p>
    <w:p w:rsidR="00C37417" w:rsidRPr="0018493C" w:rsidRDefault="00C37417" w:rsidP="00C37417">
      <w:pPr>
        <w:contextualSpacing/>
        <w:rPr>
          <w:color w:val="auto"/>
          <w:sz w:val="20"/>
        </w:rPr>
      </w:pPr>
      <w:r w:rsidRPr="0018493C">
        <w:rPr>
          <w:color w:val="auto"/>
          <w:sz w:val="20"/>
        </w:rPr>
        <w:t>•</w:t>
      </w:r>
      <w:r w:rsidRPr="0018493C">
        <w:rPr>
          <w:color w:val="auto"/>
          <w:sz w:val="20"/>
        </w:rPr>
        <w:tab/>
        <w:t xml:space="preserve">є членом </w:t>
      </w:r>
      <w:proofErr w:type="gramStart"/>
      <w:r w:rsidRPr="0018493C">
        <w:rPr>
          <w:color w:val="auto"/>
          <w:sz w:val="20"/>
        </w:rPr>
        <w:t>пров</w:t>
      </w:r>
      <w:proofErr w:type="gramEnd"/>
      <w:r w:rsidRPr="0018493C">
        <w:rPr>
          <w:color w:val="auto"/>
          <w:sz w:val="20"/>
        </w:rPr>
        <w:t>ідного управлінського персоналу суб'єкта господарювання, що звітує, або материнського підприємства суб'єкта господарювання, що звітує.</w:t>
      </w:r>
    </w:p>
    <w:p w:rsidR="00C37417" w:rsidRPr="0018493C" w:rsidRDefault="00C37417" w:rsidP="00C37417">
      <w:pPr>
        <w:contextualSpacing/>
        <w:rPr>
          <w:color w:val="auto"/>
          <w:sz w:val="20"/>
        </w:rPr>
      </w:pPr>
      <w:r w:rsidRPr="0018493C">
        <w:rPr>
          <w:color w:val="auto"/>
          <w:sz w:val="20"/>
        </w:rPr>
        <w:t>б) Суб'єкт господарювання є пов'язаним із суб'єктом господарювання, що звіту</w:t>
      </w:r>
      <w:proofErr w:type="gramStart"/>
      <w:r w:rsidRPr="0018493C">
        <w:rPr>
          <w:color w:val="auto"/>
          <w:sz w:val="20"/>
        </w:rPr>
        <w:t>є,</w:t>
      </w:r>
      <w:proofErr w:type="gramEnd"/>
      <w:r w:rsidRPr="0018493C">
        <w:rPr>
          <w:color w:val="auto"/>
          <w:sz w:val="20"/>
        </w:rPr>
        <w:t xml:space="preserve"> якщо виконується будь-яка з таких умов:</w:t>
      </w:r>
    </w:p>
    <w:p w:rsidR="00C37417" w:rsidRPr="0018493C" w:rsidRDefault="00C37417" w:rsidP="00C37417">
      <w:pPr>
        <w:contextualSpacing/>
        <w:rPr>
          <w:color w:val="auto"/>
          <w:sz w:val="20"/>
        </w:rPr>
      </w:pPr>
      <w:r w:rsidRPr="0018493C">
        <w:rPr>
          <w:color w:val="auto"/>
          <w:sz w:val="20"/>
        </w:rPr>
        <w:t>•</w:t>
      </w:r>
      <w:r w:rsidRPr="0018493C">
        <w:rPr>
          <w:color w:val="auto"/>
          <w:sz w:val="20"/>
        </w:rPr>
        <w:tab/>
        <w:t>суб'єкт господарювання та суб'єкт господарювання, що звіту</w:t>
      </w:r>
      <w:proofErr w:type="gramStart"/>
      <w:r w:rsidRPr="0018493C">
        <w:rPr>
          <w:color w:val="auto"/>
          <w:sz w:val="20"/>
        </w:rPr>
        <w:t>є,</w:t>
      </w:r>
      <w:proofErr w:type="gramEnd"/>
      <w:r w:rsidRPr="0018493C">
        <w:rPr>
          <w:color w:val="auto"/>
          <w:sz w:val="20"/>
        </w:rPr>
        <w:t xml:space="preserve"> є членами однієї групи (а це означає, що кожне материнське підприємство, дочірнє підприємство або дочірнє підприємство під спільним контролем є пов'язані одне з одним);</w:t>
      </w:r>
    </w:p>
    <w:p w:rsidR="00C37417" w:rsidRPr="0018493C" w:rsidRDefault="00C37417" w:rsidP="00C37417">
      <w:pPr>
        <w:contextualSpacing/>
        <w:rPr>
          <w:color w:val="auto"/>
          <w:sz w:val="20"/>
        </w:rPr>
      </w:pPr>
      <w:r w:rsidRPr="0018493C">
        <w:rPr>
          <w:color w:val="auto"/>
          <w:sz w:val="20"/>
        </w:rPr>
        <w:t>•</w:t>
      </w:r>
      <w:r w:rsidRPr="0018493C">
        <w:rPr>
          <w:color w:val="auto"/>
          <w:sz w:val="20"/>
        </w:rPr>
        <w:tab/>
        <w:t xml:space="preserve">один суб'єкт господарювання є асоційованим </w:t>
      </w:r>
      <w:proofErr w:type="gramStart"/>
      <w:r w:rsidRPr="0018493C">
        <w:rPr>
          <w:color w:val="auto"/>
          <w:sz w:val="20"/>
        </w:rPr>
        <w:t>п</w:t>
      </w:r>
      <w:proofErr w:type="gramEnd"/>
      <w:r w:rsidRPr="0018493C">
        <w:rPr>
          <w:color w:val="auto"/>
          <w:sz w:val="20"/>
        </w:rPr>
        <w:t>ідприємством або спільним підприємством іншого суб'єкта господарювання (або асоційованого підприємства чи спільного підприємства члена групи, до якої належить інший суб'єкт господарювання);</w:t>
      </w:r>
    </w:p>
    <w:p w:rsidR="00C37417" w:rsidRPr="0018493C" w:rsidRDefault="00C37417" w:rsidP="00C37417">
      <w:pPr>
        <w:contextualSpacing/>
        <w:rPr>
          <w:color w:val="auto"/>
          <w:sz w:val="20"/>
        </w:rPr>
      </w:pPr>
      <w:r w:rsidRPr="0018493C">
        <w:rPr>
          <w:color w:val="auto"/>
          <w:sz w:val="20"/>
        </w:rPr>
        <w:t>•</w:t>
      </w:r>
      <w:r w:rsidRPr="0018493C">
        <w:rPr>
          <w:color w:val="auto"/>
          <w:sz w:val="20"/>
        </w:rPr>
        <w:tab/>
        <w:t xml:space="preserve">обидва суб'єкти господарювання є спільними </w:t>
      </w:r>
      <w:proofErr w:type="gramStart"/>
      <w:r w:rsidRPr="0018493C">
        <w:rPr>
          <w:color w:val="auto"/>
          <w:sz w:val="20"/>
        </w:rPr>
        <w:t>п</w:t>
      </w:r>
      <w:proofErr w:type="gramEnd"/>
      <w:r w:rsidRPr="0018493C">
        <w:rPr>
          <w:color w:val="auto"/>
          <w:sz w:val="20"/>
        </w:rPr>
        <w:t>ідприємствами однієї третьої сторони;</w:t>
      </w:r>
    </w:p>
    <w:p w:rsidR="00C37417" w:rsidRPr="0018493C" w:rsidRDefault="00C37417" w:rsidP="00C37417">
      <w:pPr>
        <w:contextualSpacing/>
        <w:rPr>
          <w:color w:val="auto"/>
          <w:sz w:val="20"/>
        </w:rPr>
      </w:pPr>
      <w:r w:rsidRPr="0018493C">
        <w:rPr>
          <w:color w:val="auto"/>
          <w:sz w:val="20"/>
        </w:rPr>
        <w:t>•</w:t>
      </w:r>
      <w:r w:rsidRPr="0018493C">
        <w:rPr>
          <w:color w:val="auto"/>
          <w:sz w:val="20"/>
        </w:rPr>
        <w:tab/>
        <w:t xml:space="preserve">один суб'єкт господарювання є спільним </w:t>
      </w:r>
      <w:proofErr w:type="gramStart"/>
      <w:r w:rsidRPr="0018493C">
        <w:rPr>
          <w:color w:val="auto"/>
          <w:sz w:val="20"/>
        </w:rPr>
        <w:t>п</w:t>
      </w:r>
      <w:proofErr w:type="gramEnd"/>
      <w:r w:rsidRPr="0018493C">
        <w:rPr>
          <w:color w:val="auto"/>
          <w:sz w:val="20"/>
        </w:rPr>
        <w:t>ідприємством третього суб'єкта господарювання, а інший суб'єкт господарювання є асоційованим підприємством цього третього суб'єкта господарювання;</w:t>
      </w:r>
    </w:p>
    <w:p w:rsidR="00C37417" w:rsidRPr="0018493C" w:rsidRDefault="00C37417" w:rsidP="00C37417">
      <w:pPr>
        <w:contextualSpacing/>
        <w:rPr>
          <w:color w:val="auto"/>
          <w:sz w:val="20"/>
        </w:rPr>
      </w:pPr>
      <w:r w:rsidRPr="0018493C">
        <w:rPr>
          <w:color w:val="auto"/>
          <w:sz w:val="20"/>
        </w:rPr>
        <w:t>•</w:t>
      </w:r>
      <w:r w:rsidRPr="0018493C">
        <w:rPr>
          <w:color w:val="auto"/>
          <w:sz w:val="20"/>
        </w:rPr>
        <w:tab/>
        <w:t>суб'єкт господарювання є програмою виплат по закінченні трудової діяльності працівників або суб'єкта господарювання, що звіту</w:t>
      </w:r>
      <w:proofErr w:type="gramStart"/>
      <w:r w:rsidRPr="0018493C">
        <w:rPr>
          <w:color w:val="auto"/>
          <w:sz w:val="20"/>
        </w:rPr>
        <w:t>є,</w:t>
      </w:r>
      <w:proofErr w:type="gramEnd"/>
      <w:r w:rsidRPr="0018493C">
        <w:rPr>
          <w:color w:val="auto"/>
          <w:sz w:val="20"/>
        </w:rPr>
        <w:t xml:space="preserve"> або будь-якого суб'єкта господарювання, який є пов'язаним із суб'єктом господарювання, що звітує.</w:t>
      </w:r>
    </w:p>
    <w:p w:rsidR="00C37417" w:rsidRPr="0018493C" w:rsidRDefault="00C37417" w:rsidP="002F5734">
      <w:pPr>
        <w:ind w:firstLine="0"/>
        <w:contextualSpacing/>
        <w:rPr>
          <w:color w:val="auto"/>
          <w:sz w:val="20"/>
        </w:rPr>
      </w:pPr>
      <w:r w:rsidRPr="0018493C">
        <w:rPr>
          <w:color w:val="auto"/>
          <w:sz w:val="20"/>
        </w:rPr>
        <w:t>Якщо суб'єкт господарювання, що звіту</w:t>
      </w:r>
      <w:proofErr w:type="gramStart"/>
      <w:r w:rsidRPr="0018493C">
        <w:rPr>
          <w:color w:val="auto"/>
          <w:sz w:val="20"/>
        </w:rPr>
        <w:t>є,</w:t>
      </w:r>
      <w:proofErr w:type="gramEnd"/>
      <w:r w:rsidRPr="0018493C">
        <w:rPr>
          <w:color w:val="auto"/>
          <w:sz w:val="20"/>
        </w:rPr>
        <w:t xml:space="preserve"> сам є такою програмою виплат, то працедавці-спонсори також є пов'язаними із суб'єктом господарювання, що звітує;</w:t>
      </w:r>
    </w:p>
    <w:p w:rsidR="00C37417" w:rsidRPr="0018493C" w:rsidRDefault="00C37417" w:rsidP="00C37417">
      <w:pPr>
        <w:contextualSpacing/>
        <w:rPr>
          <w:color w:val="auto"/>
          <w:sz w:val="20"/>
        </w:rPr>
      </w:pPr>
      <w:r w:rsidRPr="0018493C">
        <w:rPr>
          <w:color w:val="auto"/>
          <w:sz w:val="20"/>
        </w:rPr>
        <w:t>•</w:t>
      </w:r>
      <w:r w:rsidRPr="0018493C">
        <w:rPr>
          <w:color w:val="auto"/>
          <w:sz w:val="20"/>
        </w:rPr>
        <w:tab/>
        <w:t xml:space="preserve">суб'єкт господарювання перебуває </w:t>
      </w:r>
      <w:proofErr w:type="gramStart"/>
      <w:r w:rsidRPr="0018493C">
        <w:rPr>
          <w:color w:val="auto"/>
          <w:sz w:val="20"/>
        </w:rPr>
        <w:t>п</w:t>
      </w:r>
      <w:proofErr w:type="gramEnd"/>
      <w:r w:rsidRPr="0018493C">
        <w:rPr>
          <w:color w:val="auto"/>
          <w:sz w:val="20"/>
        </w:rPr>
        <w:t>ід контролем або спільним контролем особи, визначеної в пункті а);</w:t>
      </w:r>
    </w:p>
    <w:p w:rsidR="00C37417" w:rsidRPr="0018493C" w:rsidRDefault="00C37417" w:rsidP="00C37417">
      <w:pPr>
        <w:contextualSpacing/>
        <w:rPr>
          <w:color w:val="auto"/>
          <w:sz w:val="20"/>
        </w:rPr>
      </w:pPr>
      <w:r w:rsidRPr="0018493C">
        <w:rPr>
          <w:color w:val="auto"/>
          <w:sz w:val="20"/>
        </w:rPr>
        <w:t>•</w:t>
      </w:r>
      <w:r w:rsidRPr="0018493C">
        <w:rPr>
          <w:color w:val="auto"/>
          <w:sz w:val="20"/>
        </w:rPr>
        <w:tab/>
        <w:t xml:space="preserve">особа, визначена в </w:t>
      </w:r>
      <w:proofErr w:type="gramStart"/>
      <w:r w:rsidRPr="0018493C">
        <w:rPr>
          <w:color w:val="auto"/>
          <w:sz w:val="20"/>
        </w:rPr>
        <w:t>п</w:t>
      </w:r>
      <w:proofErr w:type="gramEnd"/>
      <w:r w:rsidRPr="0018493C">
        <w:rPr>
          <w:color w:val="auto"/>
          <w:sz w:val="20"/>
        </w:rPr>
        <w:t>ідпункті першому пункту а), має значний вплив на суб'єкт господарювання або є членом провідного управлінського персоналу суб'єкта господарювання (або материнського підприємства суб'єкта господарювання).</w:t>
      </w:r>
    </w:p>
    <w:p w:rsidR="00C37417" w:rsidRPr="0018493C" w:rsidRDefault="00C37417" w:rsidP="002F5734">
      <w:pPr>
        <w:ind w:firstLine="0"/>
        <w:contextualSpacing/>
        <w:rPr>
          <w:color w:val="auto"/>
          <w:sz w:val="20"/>
        </w:rPr>
      </w:pPr>
      <w:r w:rsidRPr="0018493C">
        <w:rPr>
          <w:color w:val="auto"/>
          <w:sz w:val="20"/>
        </w:rPr>
        <w:t xml:space="preserve">При розгляді взаємовідносин кожної можливої </w:t>
      </w:r>
      <w:proofErr w:type="gramStart"/>
      <w:r w:rsidRPr="0018493C">
        <w:rPr>
          <w:color w:val="auto"/>
          <w:sz w:val="20"/>
        </w:rPr>
        <w:t>пов'язано</w:t>
      </w:r>
      <w:proofErr w:type="gramEnd"/>
      <w:r w:rsidRPr="0018493C">
        <w:rPr>
          <w:color w:val="auto"/>
          <w:sz w:val="20"/>
        </w:rPr>
        <w:t>ї сторони особлива увага надається змісту відносин, а не тільки їхній юридичній формі.</w:t>
      </w:r>
    </w:p>
    <w:p w:rsidR="00C37417" w:rsidRPr="0018493C" w:rsidRDefault="00C37417" w:rsidP="00C37417">
      <w:pPr>
        <w:contextualSpacing/>
        <w:rPr>
          <w:color w:val="auto"/>
          <w:sz w:val="20"/>
        </w:rPr>
      </w:pPr>
    </w:p>
    <w:p w:rsidR="009E2052" w:rsidRPr="009E2052" w:rsidRDefault="009E2052" w:rsidP="009E2052">
      <w:pPr>
        <w:ind w:firstLine="0"/>
        <w:contextualSpacing/>
        <w:rPr>
          <w:color w:val="auto"/>
          <w:sz w:val="20"/>
        </w:rPr>
      </w:pPr>
      <w:r w:rsidRPr="009E2052">
        <w:rPr>
          <w:color w:val="auto"/>
          <w:sz w:val="20"/>
        </w:rPr>
        <w:t xml:space="preserve">Протягом року, що закінчився 31 грудня 2017 пов'язаними сторонами Товариства були акціонери та провідний управлінський персонал. </w:t>
      </w:r>
    </w:p>
    <w:p w:rsidR="009E2052" w:rsidRPr="009E2052" w:rsidRDefault="009E2052" w:rsidP="009E2052">
      <w:pPr>
        <w:ind w:firstLine="0"/>
        <w:contextualSpacing/>
        <w:rPr>
          <w:color w:val="auto"/>
          <w:sz w:val="20"/>
        </w:rPr>
      </w:pPr>
      <w:r w:rsidRPr="009E2052">
        <w:rPr>
          <w:color w:val="auto"/>
          <w:sz w:val="20"/>
        </w:rPr>
        <w:t>Пов’язаними особами для Товариства є учасники Товариства та посадові особи Товариства, а саме:</w:t>
      </w:r>
    </w:p>
    <w:p w:rsidR="009E2052" w:rsidRPr="009E2052" w:rsidRDefault="009E2052" w:rsidP="009E2052">
      <w:pPr>
        <w:ind w:firstLine="0"/>
        <w:contextualSpacing/>
        <w:rPr>
          <w:color w:val="auto"/>
          <w:sz w:val="20"/>
        </w:rPr>
      </w:pPr>
      <w:r w:rsidRPr="009E2052">
        <w:rPr>
          <w:color w:val="auto"/>
          <w:sz w:val="20"/>
        </w:rPr>
        <w:t>Компанія «БЕЙОНД СТАНДАРД ЛІМІТЕД» (BEYOND STANDARD LIMITED) – учасник, частка 100%</w:t>
      </w:r>
      <w:proofErr w:type="gramStart"/>
      <w:r w:rsidRPr="009E2052">
        <w:rPr>
          <w:color w:val="auto"/>
          <w:sz w:val="20"/>
        </w:rPr>
        <w:t xml:space="preserve"> ;</w:t>
      </w:r>
      <w:proofErr w:type="gramEnd"/>
    </w:p>
    <w:p w:rsidR="009E2052" w:rsidRPr="009E2052" w:rsidRDefault="009E2052" w:rsidP="009E2052">
      <w:pPr>
        <w:ind w:firstLine="0"/>
        <w:contextualSpacing/>
        <w:rPr>
          <w:color w:val="auto"/>
          <w:sz w:val="20"/>
        </w:rPr>
      </w:pPr>
      <w:r w:rsidRPr="009E2052">
        <w:rPr>
          <w:color w:val="auto"/>
          <w:sz w:val="20"/>
        </w:rPr>
        <w:lastRenderedPageBreak/>
        <w:t>Компанія ПрАТ «СТРАХОВА КОМПАНІ</w:t>
      </w:r>
      <w:proofErr w:type="gramStart"/>
      <w:r w:rsidRPr="009E2052">
        <w:rPr>
          <w:color w:val="auto"/>
          <w:sz w:val="20"/>
        </w:rPr>
        <w:t>Я «ДОВ</w:t>
      </w:r>
      <w:proofErr w:type="gramEnd"/>
      <w:r w:rsidRPr="009E2052">
        <w:rPr>
          <w:color w:val="auto"/>
          <w:sz w:val="20"/>
        </w:rPr>
        <w:t>ІРА ТА ГАРАНТІЯ» (код ЄДРПОУ 34240804), дочірня компанія, частка 99,9828%</w:t>
      </w:r>
    </w:p>
    <w:p w:rsidR="009E2052" w:rsidRPr="009E2052" w:rsidRDefault="009E2052" w:rsidP="009E2052">
      <w:pPr>
        <w:ind w:firstLine="0"/>
        <w:contextualSpacing/>
        <w:rPr>
          <w:color w:val="auto"/>
          <w:sz w:val="20"/>
        </w:rPr>
      </w:pPr>
      <w:r w:rsidRPr="009E2052">
        <w:rPr>
          <w:color w:val="auto"/>
          <w:sz w:val="20"/>
        </w:rPr>
        <w:t>Громадянин України Карпунін Євген Анатолійович – посадова особа, директор Товариства.</w:t>
      </w:r>
    </w:p>
    <w:p w:rsidR="009E2052" w:rsidRPr="009E2052" w:rsidRDefault="009E2052" w:rsidP="009E2052">
      <w:pPr>
        <w:ind w:firstLine="0"/>
        <w:contextualSpacing/>
        <w:rPr>
          <w:color w:val="auto"/>
          <w:sz w:val="20"/>
        </w:rPr>
      </w:pPr>
      <w:r w:rsidRPr="009E2052">
        <w:rPr>
          <w:color w:val="auto"/>
          <w:sz w:val="20"/>
        </w:rPr>
        <w:t>Громадянка України Зимоглядова Олена Миколаївна – посадова особа, головний бухгалтер.</w:t>
      </w:r>
    </w:p>
    <w:p w:rsidR="009E2052" w:rsidRPr="009E2052" w:rsidRDefault="009E2052" w:rsidP="009E2052">
      <w:pPr>
        <w:ind w:firstLine="0"/>
        <w:contextualSpacing/>
        <w:rPr>
          <w:color w:val="auto"/>
          <w:sz w:val="20"/>
        </w:rPr>
      </w:pPr>
      <w:r w:rsidRPr="009E2052">
        <w:rPr>
          <w:color w:val="auto"/>
          <w:sz w:val="20"/>
        </w:rPr>
        <w:t>Громадянин України  Супрун Євген Валерійови</w:t>
      </w:r>
      <w:proofErr w:type="gramStart"/>
      <w:r w:rsidRPr="009E2052">
        <w:rPr>
          <w:color w:val="auto"/>
          <w:sz w:val="20"/>
        </w:rPr>
        <w:t>ч–</w:t>
      </w:r>
      <w:proofErr w:type="gramEnd"/>
      <w:r w:rsidRPr="009E2052">
        <w:rPr>
          <w:color w:val="auto"/>
          <w:sz w:val="20"/>
        </w:rPr>
        <w:t xml:space="preserve"> посадова особа, генеральний директор дочірньої компанії.</w:t>
      </w:r>
    </w:p>
    <w:p w:rsidR="009E2052" w:rsidRPr="009E2052" w:rsidRDefault="009E2052" w:rsidP="009E2052">
      <w:pPr>
        <w:ind w:firstLine="0"/>
        <w:contextualSpacing/>
        <w:rPr>
          <w:color w:val="auto"/>
          <w:sz w:val="20"/>
        </w:rPr>
      </w:pPr>
      <w:r w:rsidRPr="009E2052">
        <w:rPr>
          <w:color w:val="auto"/>
          <w:sz w:val="20"/>
        </w:rPr>
        <w:t>Громадянка України Кондруцька Ірина Олександрівна – посадова особа, головний бухгалтер дочірньої компанії.</w:t>
      </w:r>
    </w:p>
    <w:p w:rsidR="009E2052" w:rsidRPr="009E2052" w:rsidRDefault="009E2052" w:rsidP="009E2052">
      <w:pPr>
        <w:ind w:firstLine="0"/>
        <w:contextualSpacing/>
        <w:rPr>
          <w:color w:val="auto"/>
          <w:sz w:val="20"/>
        </w:rPr>
      </w:pPr>
      <w:r w:rsidRPr="009E2052">
        <w:rPr>
          <w:color w:val="auto"/>
          <w:sz w:val="20"/>
        </w:rPr>
        <w:t>Заборгованості на кінець звітного періоду між Товариством та ПрАТ «СТРАХОВА КОМПАНІ</w:t>
      </w:r>
      <w:proofErr w:type="gramStart"/>
      <w:r w:rsidRPr="009E2052">
        <w:rPr>
          <w:color w:val="auto"/>
          <w:sz w:val="20"/>
        </w:rPr>
        <w:t>Я «ДОВ</w:t>
      </w:r>
      <w:proofErr w:type="gramEnd"/>
      <w:r w:rsidRPr="009E2052">
        <w:rPr>
          <w:color w:val="auto"/>
          <w:sz w:val="20"/>
        </w:rPr>
        <w:t xml:space="preserve">ІРА ТА ГАРАНТІЯ» (код ЄДРПОУ 34240804) відсутні. </w:t>
      </w:r>
    </w:p>
    <w:p w:rsidR="009E2052" w:rsidRPr="009E2052" w:rsidRDefault="009E2052" w:rsidP="009E2052">
      <w:pPr>
        <w:ind w:firstLine="0"/>
        <w:contextualSpacing/>
        <w:rPr>
          <w:color w:val="auto"/>
          <w:sz w:val="20"/>
        </w:rPr>
      </w:pPr>
      <w:proofErr w:type="gramStart"/>
      <w:r w:rsidRPr="009E2052">
        <w:rPr>
          <w:color w:val="auto"/>
          <w:sz w:val="20"/>
        </w:rPr>
        <w:t>Адм</w:t>
      </w:r>
      <w:proofErr w:type="gramEnd"/>
      <w:r w:rsidRPr="009E2052">
        <w:rPr>
          <w:color w:val="auto"/>
          <w:sz w:val="20"/>
        </w:rPr>
        <w:t>іністративні витрати  (витрати на провідний управлінський персонал) становили  – 1 536 тис. грн. (2016- 1416 тис. грн.)</w:t>
      </w:r>
    </w:p>
    <w:p w:rsidR="00C37417" w:rsidRPr="0018493C" w:rsidRDefault="00C37417" w:rsidP="002F5734">
      <w:pPr>
        <w:pStyle w:val="2"/>
        <w:ind w:left="567" w:hanging="567"/>
      </w:pPr>
      <w:bookmarkStart w:id="48" w:name="_Toc511835085"/>
      <w:r w:rsidRPr="0018493C">
        <w:t>Забезпечення виплат персоналу</w:t>
      </w:r>
      <w:bookmarkEnd w:id="48"/>
    </w:p>
    <w:p w:rsidR="00C37417" w:rsidRPr="0018493C" w:rsidRDefault="00C37417" w:rsidP="002F5734">
      <w:pPr>
        <w:ind w:firstLine="0"/>
        <w:contextualSpacing/>
        <w:rPr>
          <w:color w:val="auto"/>
          <w:sz w:val="20"/>
        </w:rPr>
      </w:pPr>
      <w:r w:rsidRPr="0018493C">
        <w:rPr>
          <w:color w:val="auto"/>
          <w:sz w:val="20"/>
        </w:rPr>
        <w:t>Протягом 201</w:t>
      </w:r>
      <w:r w:rsidR="009E2052">
        <w:rPr>
          <w:color w:val="auto"/>
          <w:sz w:val="20"/>
          <w:lang w:val="uk-UA"/>
        </w:rPr>
        <w:t>7</w:t>
      </w:r>
      <w:r w:rsidRPr="0018493C">
        <w:rPr>
          <w:color w:val="auto"/>
          <w:sz w:val="20"/>
        </w:rPr>
        <w:t xml:space="preserve"> року для забезпечення виплат персоналу формувався резерв на виплату відпускних.</w:t>
      </w:r>
    </w:p>
    <w:p w:rsidR="00C37417" w:rsidRPr="0018493C" w:rsidRDefault="00C37417" w:rsidP="002F5734">
      <w:pPr>
        <w:ind w:firstLine="0"/>
        <w:contextualSpacing/>
        <w:rPr>
          <w:color w:val="auto"/>
          <w:sz w:val="20"/>
        </w:rPr>
      </w:pPr>
      <w:r w:rsidRPr="0018493C">
        <w:rPr>
          <w:color w:val="auto"/>
          <w:sz w:val="20"/>
        </w:rPr>
        <w:t>Рух резерву забезпечення витрат на виплату відпускних станом на 31 грудня 2016 року представлений в наступній табличній формі:</w:t>
      </w:r>
    </w:p>
    <w:tbl>
      <w:tblPr>
        <w:tblStyle w:val="ac"/>
        <w:tblW w:w="0" w:type="auto"/>
        <w:tblLook w:val="04A0" w:firstRow="1" w:lastRow="0" w:firstColumn="1" w:lastColumn="0" w:noHBand="0" w:noVBand="1"/>
      </w:tblPr>
      <w:tblGrid>
        <w:gridCol w:w="6628"/>
        <w:gridCol w:w="1559"/>
        <w:gridCol w:w="1667"/>
      </w:tblGrid>
      <w:tr w:rsidR="00C37417" w:rsidRPr="0018493C" w:rsidTr="00E065A5">
        <w:tc>
          <w:tcPr>
            <w:tcW w:w="6629" w:type="dxa"/>
          </w:tcPr>
          <w:p w:rsidR="00C37417" w:rsidRPr="0018493C" w:rsidRDefault="00C37417" w:rsidP="00E065A5">
            <w:pPr>
              <w:contextualSpacing/>
              <w:rPr>
                <w:color w:val="auto"/>
                <w:sz w:val="20"/>
              </w:rPr>
            </w:pPr>
          </w:p>
        </w:tc>
        <w:tc>
          <w:tcPr>
            <w:tcW w:w="1559" w:type="dxa"/>
          </w:tcPr>
          <w:p w:rsidR="00C37417" w:rsidRPr="00E008DA" w:rsidRDefault="00C37417" w:rsidP="00E008DA">
            <w:pPr>
              <w:ind w:firstLine="0"/>
              <w:contextualSpacing/>
              <w:jc w:val="center"/>
              <w:rPr>
                <w:b/>
                <w:color w:val="auto"/>
                <w:sz w:val="20"/>
                <w:lang w:val="uk-UA"/>
              </w:rPr>
            </w:pPr>
            <w:r w:rsidRPr="0018493C">
              <w:rPr>
                <w:b/>
                <w:color w:val="auto"/>
                <w:sz w:val="20"/>
              </w:rPr>
              <w:t>31.12.201</w:t>
            </w:r>
            <w:r w:rsidR="00E008DA">
              <w:rPr>
                <w:b/>
                <w:color w:val="auto"/>
                <w:sz w:val="20"/>
                <w:lang w:val="uk-UA"/>
              </w:rPr>
              <w:t>6</w:t>
            </w:r>
          </w:p>
        </w:tc>
        <w:tc>
          <w:tcPr>
            <w:tcW w:w="1667" w:type="dxa"/>
          </w:tcPr>
          <w:p w:rsidR="00C37417" w:rsidRPr="00E008DA" w:rsidRDefault="00C37417" w:rsidP="00E008DA">
            <w:pPr>
              <w:ind w:firstLine="0"/>
              <w:contextualSpacing/>
              <w:jc w:val="center"/>
              <w:rPr>
                <w:b/>
                <w:color w:val="auto"/>
                <w:sz w:val="20"/>
                <w:lang w:val="uk-UA"/>
              </w:rPr>
            </w:pPr>
            <w:r w:rsidRPr="0018493C">
              <w:rPr>
                <w:b/>
                <w:color w:val="auto"/>
                <w:sz w:val="20"/>
              </w:rPr>
              <w:t>31.12.201</w:t>
            </w:r>
            <w:r w:rsidR="00E008DA">
              <w:rPr>
                <w:b/>
                <w:color w:val="auto"/>
                <w:sz w:val="20"/>
                <w:lang w:val="uk-UA"/>
              </w:rPr>
              <w:t>7</w:t>
            </w:r>
          </w:p>
        </w:tc>
      </w:tr>
      <w:tr w:rsidR="00C37417" w:rsidRPr="0018493C" w:rsidTr="00E065A5">
        <w:trPr>
          <w:trHeight w:val="282"/>
        </w:trPr>
        <w:tc>
          <w:tcPr>
            <w:tcW w:w="6629" w:type="dxa"/>
          </w:tcPr>
          <w:p w:rsidR="00C37417" w:rsidRPr="0018493C" w:rsidRDefault="00C37417" w:rsidP="00FD1F0A">
            <w:pPr>
              <w:ind w:firstLine="0"/>
              <w:contextualSpacing/>
              <w:rPr>
                <w:color w:val="auto"/>
                <w:sz w:val="20"/>
              </w:rPr>
            </w:pPr>
            <w:r w:rsidRPr="0018493C">
              <w:rPr>
                <w:color w:val="auto"/>
                <w:sz w:val="20"/>
              </w:rPr>
              <w:t>Резерв на виплату відпускних</w:t>
            </w:r>
          </w:p>
        </w:tc>
        <w:tc>
          <w:tcPr>
            <w:tcW w:w="1559" w:type="dxa"/>
          </w:tcPr>
          <w:p w:rsidR="00C37417" w:rsidRPr="00E008DA" w:rsidRDefault="00E008DA" w:rsidP="00FD1F0A">
            <w:pPr>
              <w:contextualSpacing/>
              <w:jc w:val="center"/>
              <w:rPr>
                <w:color w:val="auto"/>
                <w:sz w:val="20"/>
                <w:lang w:val="uk-UA"/>
              </w:rPr>
            </w:pPr>
            <w:r w:rsidRPr="00E008DA">
              <w:rPr>
                <w:color w:val="auto"/>
                <w:sz w:val="20"/>
                <w:lang w:val="uk-UA"/>
              </w:rPr>
              <w:t>62</w:t>
            </w:r>
          </w:p>
        </w:tc>
        <w:tc>
          <w:tcPr>
            <w:tcW w:w="1667" w:type="dxa"/>
          </w:tcPr>
          <w:p w:rsidR="00C37417" w:rsidRPr="00E008DA" w:rsidRDefault="00E008DA" w:rsidP="00FD1F0A">
            <w:pPr>
              <w:contextualSpacing/>
              <w:jc w:val="center"/>
              <w:rPr>
                <w:color w:val="auto"/>
                <w:sz w:val="20"/>
                <w:lang w:val="uk-UA"/>
              </w:rPr>
            </w:pPr>
            <w:r>
              <w:rPr>
                <w:color w:val="auto"/>
                <w:sz w:val="20"/>
                <w:lang w:val="uk-UA"/>
              </w:rPr>
              <w:t>92</w:t>
            </w:r>
          </w:p>
        </w:tc>
      </w:tr>
    </w:tbl>
    <w:p w:rsidR="00C37417" w:rsidRPr="0018493C" w:rsidRDefault="00C37417" w:rsidP="00C37417">
      <w:pPr>
        <w:contextualSpacing/>
        <w:rPr>
          <w:color w:val="auto"/>
          <w:sz w:val="20"/>
        </w:rPr>
      </w:pPr>
    </w:p>
    <w:p w:rsidR="00B9356C" w:rsidRPr="0018493C" w:rsidRDefault="00B9356C" w:rsidP="00B9356C">
      <w:pPr>
        <w:pStyle w:val="2"/>
        <w:ind w:left="567" w:hanging="567"/>
      </w:pPr>
      <w:bookmarkStart w:id="49" w:name="_Toc511835086"/>
      <w:r w:rsidRPr="0018493C">
        <w:t>Податкова система</w:t>
      </w:r>
      <w:bookmarkEnd w:id="49"/>
    </w:p>
    <w:p w:rsidR="00B9356C" w:rsidRPr="0018493C" w:rsidRDefault="00B9356C" w:rsidP="00B9356C">
      <w:pPr>
        <w:ind w:firstLine="0"/>
        <w:contextualSpacing/>
        <w:rPr>
          <w:color w:val="auto"/>
          <w:sz w:val="20"/>
        </w:rPr>
      </w:pPr>
      <w:r w:rsidRPr="0018493C">
        <w:rPr>
          <w:color w:val="auto"/>
          <w:sz w:val="20"/>
        </w:rPr>
        <w:t>У цей час в Україні діє Податковий Кодекс, що вміщує в собі всі види податкі</w:t>
      </w:r>
      <w:proofErr w:type="gramStart"/>
      <w:r w:rsidRPr="0018493C">
        <w:rPr>
          <w:color w:val="auto"/>
          <w:sz w:val="20"/>
        </w:rPr>
        <w:t>в</w:t>
      </w:r>
      <w:proofErr w:type="gramEnd"/>
      <w:r w:rsidRPr="0018493C">
        <w:rPr>
          <w:color w:val="auto"/>
          <w:sz w:val="20"/>
        </w:rPr>
        <w:t xml:space="preserve">, а також регулює  їх нарахування і сплату. Але норми Кодексу досі часто змінюються, положення не завжди до кінця відпрацьовані. Також немає достатньої кількості судових прецедентів за </w:t>
      </w:r>
      <w:proofErr w:type="gramStart"/>
      <w:r w:rsidRPr="0018493C">
        <w:rPr>
          <w:color w:val="auto"/>
          <w:sz w:val="20"/>
        </w:rPr>
        <w:t>р</w:t>
      </w:r>
      <w:proofErr w:type="gramEnd"/>
      <w:r w:rsidRPr="0018493C">
        <w:rPr>
          <w:color w:val="auto"/>
          <w:sz w:val="20"/>
        </w:rPr>
        <w:t xml:space="preserve">ішенням таких проблем. Часто існують різні точки зору щодо тлумачення правових норм різними органами, що породжує загальну невизначеність і </w:t>
      </w:r>
      <w:proofErr w:type="gramStart"/>
      <w:r w:rsidRPr="0018493C">
        <w:rPr>
          <w:color w:val="auto"/>
          <w:sz w:val="20"/>
        </w:rPr>
        <w:t>створю</w:t>
      </w:r>
      <w:proofErr w:type="gramEnd"/>
      <w:r w:rsidRPr="0018493C">
        <w:rPr>
          <w:color w:val="auto"/>
          <w:sz w:val="20"/>
        </w:rPr>
        <w:t xml:space="preserve">є приводи для конфліктних ситуацій. Перераховані фактори визначають наявність в Україні податкових ризиків значно більших, ніж ті, які існують у </w:t>
      </w:r>
      <w:proofErr w:type="gramStart"/>
      <w:r w:rsidRPr="0018493C">
        <w:rPr>
          <w:color w:val="auto"/>
          <w:sz w:val="20"/>
        </w:rPr>
        <w:t>країнах</w:t>
      </w:r>
      <w:proofErr w:type="gramEnd"/>
      <w:r w:rsidRPr="0018493C">
        <w:rPr>
          <w:color w:val="auto"/>
          <w:sz w:val="20"/>
        </w:rPr>
        <w:t xml:space="preserve"> з більш розвиненою податковою системою.</w:t>
      </w:r>
    </w:p>
    <w:bookmarkEnd w:id="24"/>
    <w:p w:rsidR="00314E06" w:rsidRPr="0018493C" w:rsidRDefault="00314E06" w:rsidP="00314E06">
      <w:pPr>
        <w:spacing w:before="0" w:after="120" w:line="240" w:lineRule="auto"/>
        <w:ind w:firstLine="0"/>
        <w:rPr>
          <w:b/>
          <w:i/>
          <w:color w:val="auto"/>
          <w:sz w:val="20"/>
          <w:lang w:val="uk-UA"/>
        </w:rPr>
      </w:pPr>
    </w:p>
    <w:p w:rsidR="00E901CE" w:rsidRPr="0018493C" w:rsidRDefault="00E901CE" w:rsidP="007F103E">
      <w:pPr>
        <w:pStyle w:val="2"/>
        <w:ind w:left="567" w:hanging="567"/>
      </w:pPr>
      <w:bookmarkStart w:id="50" w:name="_Toc511835087"/>
      <w:r w:rsidRPr="0018493C">
        <w:t>Події після звітної дати</w:t>
      </w:r>
      <w:bookmarkEnd w:id="50"/>
      <w:r w:rsidRPr="0018493C">
        <w:t xml:space="preserve"> </w:t>
      </w:r>
    </w:p>
    <w:p w:rsidR="003C73F5" w:rsidRPr="0018493C" w:rsidRDefault="003C73F5" w:rsidP="0000323F">
      <w:pPr>
        <w:pStyle w:val="af7"/>
        <w:shd w:val="clear" w:color="auto" w:fill="FFFFFF"/>
        <w:spacing w:before="0" w:beforeAutospacing="0" w:after="120" w:afterAutospacing="0"/>
        <w:jc w:val="both"/>
        <w:rPr>
          <w:sz w:val="20"/>
          <w:szCs w:val="20"/>
          <w:lang w:val="uk-UA"/>
        </w:rPr>
      </w:pPr>
      <w:r w:rsidRPr="0018493C">
        <w:rPr>
          <w:sz w:val="20"/>
          <w:szCs w:val="20"/>
          <w:lang w:val="uk-UA"/>
        </w:rPr>
        <w:t xml:space="preserve">Після звітної дати істотних змін в діяльності або у фінансовому становищі </w:t>
      </w:r>
      <w:r w:rsidR="00BA5FBE" w:rsidRPr="0018493C">
        <w:rPr>
          <w:sz w:val="20"/>
          <w:szCs w:val="20"/>
          <w:lang w:val="uk-UA"/>
        </w:rPr>
        <w:t>Товариства</w:t>
      </w:r>
      <w:r w:rsidR="00424A62" w:rsidRPr="0018493C">
        <w:rPr>
          <w:sz w:val="20"/>
          <w:szCs w:val="20"/>
          <w:lang w:val="uk-UA"/>
        </w:rPr>
        <w:t xml:space="preserve"> </w:t>
      </w:r>
      <w:r w:rsidRPr="0018493C">
        <w:rPr>
          <w:sz w:val="20"/>
          <w:szCs w:val="20"/>
          <w:lang w:val="uk-UA"/>
        </w:rPr>
        <w:t>не відбувалось.</w:t>
      </w:r>
      <w:r w:rsidR="00630537" w:rsidRPr="0018493C">
        <w:rPr>
          <w:sz w:val="20"/>
          <w:szCs w:val="20"/>
          <w:lang w:val="uk-UA"/>
        </w:rPr>
        <w:t xml:space="preserve"> </w:t>
      </w:r>
    </w:p>
    <w:p w:rsidR="005C14DF" w:rsidRPr="0018493C" w:rsidRDefault="005C14DF" w:rsidP="007F103E">
      <w:pPr>
        <w:pStyle w:val="af7"/>
        <w:shd w:val="clear" w:color="auto" w:fill="FFFFFF"/>
        <w:spacing w:before="0" w:beforeAutospacing="0" w:after="120" w:afterAutospacing="0"/>
        <w:jc w:val="both"/>
        <w:rPr>
          <w:sz w:val="20"/>
          <w:szCs w:val="20"/>
          <w:lang w:val="uk-UA"/>
        </w:rPr>
      </w:pPr>
      <w:bookmarkStart w:id="51" w:name="_GoBack"/>
      <w:bookmarkEnd w:id="51"/>
    </w:p>
    <w:p w:rsidR="00763305" w:rsidRPr="0018493C" w:rsidRDefault="00763305" w:rsidP="007F103E">
      <w:pPr>
        <w:pStyle w:val="af7"/>
        <w:shd w:val="clear" w:color="auto" w:fill="FFFFFF"/>
        <w:spacing w:before="0" w:beforeAutospacing="0" w:after="120" w:afterAutospacing="0"/>
        <w:jc w:val="both"/>
        <w:rPr>
          <w:sz w:val="20"/>
          <w:szCs w:val="20"/>
          <w:lang w:val="uk-UA"/>
        </w:rPr>
      </w:pPr>
    </w:p>
    <w:p w:rsidR="00763305" w:rsidRPr="0018493C" w:rsidRDefault="00763305" w:rsidP="007F103E">
      <w:pPr>
        <w:pStyle w:val="af7"/>
        <w:shd w:val="clear" w:color="auto" w:fill="FFFFFF"/>
        <w:spacing w:before="0" w:beforeAutospacing="0" w:after="120" w:afterAutospacing="0"/>
        <w:jc w:val="both"/>
        <w:rPr>
          <w:sz w:val="20"/>
          <w:szCs w:val="20"/>
          <w:lang w:val="uk-UA"/>
        </w:rPr>
      </w:pPr>
    </w:p>
    <w:p w:rsidR="0018493C" w:rsidRPr="0018493C" w:rsidRDefault="0018493C" w:rsidP="0018493C">
      <w:pPr>
        <w:pStyle w:val="StyleABC-paragrahinNotesUnivers45Light1"/>
        <w:widowControl w:val="0"/>
        <w:spacing w:after="0"/>
        <w:jc w:val="left"/>
        <w:rPr>
          <w:rFonts w:ascii="Times New Roman" w:hAnsi="Times New Roman"/>
          <w:b/>
          <w:sz w:val="24"/>
          <w:szCs w:val="24"/>
          <w:lang w:val="uk-UA"/>
        </w:rPr>
      </w:pPr>
      <w:r w:rsidRPr="0018493C">
        <w:rPr>
          <w:rFonts w:ascii="Times New Roman" w:hAnsi="Times New Roman"/>
          <w:b/>
          <w:sz w:val="24"/>
          <w:szCs w:val="24"/>
          <w:lang w:val="uk-UA"/>
        </w:rPr>
        <w:t>Директор                  __________________       Карпунін Є.А.</w:t>
      </w:r>
    </w:p>
    <w:p w:rsidR="0018493C" w:rsidRPr="0018493C" w:rsidRDefault="0018493C" w:rsidP="0018493C">
      <w:pPr>
        <w:pStyle w:val="StyleABC-paragrahinNotesUnivers45Light1"/>
        <w:widowControl w:val="0"/>
        <w:spacing w:after="0"/>
        <w:ind w:left="1701"/>
        <w:jc w:val="left"/>
        <w:rPr>
          <w:rFonts w:ascii="Times New Roman" w:hAnsi="Times New Roman"/>
          <w:b/>
          <w:sz w:val="24"/>
          <w:szCs w:val="24"/>
          <w:lang w:val="uk-UA"/>
        </w:rPr>
      </w:pPr>
    </w:p>
    <w:p w:rsidR="0018493C" w:rsidRPr="0018493C" w:rsidRDefault="0018493C" w:rsidP="0018493C">
      <w:pPr>
        <w:pStyle w:val="StyleABC-paragrahinNotesUnivers45Light1"/>
        <w:widowControl w:val="0"/>
        <w:spacing w:after="0"/>
        <w:jc w:val="left"/>
        <w:rPr>
          <w:rFonts w:ascii="Times New Roman" w:hAnsi="Times New Roman"/>
          <w:b/>
          <w:sz w:val="24"/>
          <w:szCs w:val="24"/>
          <w:lang w:val="uk-UA"/>
        </w:rPr>
      </w:pPr>
      <w:r w:rsidRPr="0018493C">
        <w:rPr>
          <w:rFonts w:ascii="Times New Roman" w:hAnsi="Times New Roman"/>
          <w:b/>
          <w:sz w:val="24"/>
          <w:szCs w:val="24"/>
          <w:lang w:val="uk-UA"/>
        </w:rPr>
        <w:t>Головний бухгалтер _________________    Зимоглядова О.М.</w:t>
      </w:r>
    </w:p>
    <w:p w:rsidR="00763305" w:rsidRPr="0018493C" w:rsidRDefault="00763305" w:rsidP="007F103E">
      <w:pPr>
        <w:pStyle w:val="af7"/>
        <w:shd w:val="clear" w:color="auto" w:fill="FFFFFF"/>
        <w:spacing w:before="0" w:beforeAutospacing="0" w:after="120" w:afterAutospacing="0"/>
        <w:jc w:val="both"/>
        <w:rPr>
          <w:sz w:val="20"/>
          <w:szCs w:val="20"/>
          <w:lang w:val="uk-UA"/>
        </w:rPr>
      </w:pPr>
    </w:p>
    <w:sectPr w:rsidR="00763305" w:rsidRPr="0018493C" w:rsidSect="00D15DC0">
      <w:headerReference w:type="default" r:id="rId13"/>
      <w:pgSz w:w="11906" w:h="16838" w:code="9"/>
      <w:pgMar w:top="1560"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79F" w:rsidRDefault="006D479F">
      <w:r>
        <w:separator/>
      </w:r>
    </w:p>
  </w:endnote>
  <w:endnote w:type="continuationSeparator" w:id="0">
    <w:p w:rsidR="006D479F" w:rsidRDefault="006D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Univers 45 Light">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A0" w:rsidRPr="00B0771F" w:rsidRDefault="00C407A0" w:rsidP="00A55FE6">
    <w:pPr>
      <w:pStyle w:val="a6"/>
      <w:tabs>
        <w:tab w:val="clear" w:pos="4677"/>
        <w:tab w:val="clear" w:pos="9355"/>
      </w:tabs>
      <w:ind w:firstLine="0"/>
      <w:jc w:val="left"/>
      <w:rPr>
        <w:color w:val="auto"/>
        <w:sz w:val="20"/>
        <w:lang w:val="uk-U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A0" w:rsidRPr="00B0771F" w:rsidRDefault="00C407A0" w:rsidP="00A55FE6">
    <w:pPr>
      <w:pStyle w:val="a6"/>
      <w:tabs>
        <w:tab w:val="clear" w:pos="4677"/>
        <w:tab w:val="clear" w:pos="9355"/>
      </w:tabs>
      <w:ind w:firstLine="0"/>
      <w:jc w:val="center"/>
      <w:rPr>
        <w:color w:val="auto"/>
        <w:sz w:val="20"/>
        <w:lang w:val="uk-UA"/>
      </w:rPr>
    </w:pPr>
    <w:r w:rsidRPr="00A55FE6">
      <w:rPr>
        <w:color w:val="auto"/>
        <w:sz w:val="20"/>
        <w:lang w:val="uk-UA"/>
      </w:rPr>
      <w:fldChar w:fldCharType="begin"/>
    </w:r>
    <w:r w:rsidRPr="00A55FE6">
      <w:rPr>
        <w:color w:val="auto"/>
        <w:sz w:val="20"/>
        <w:lang w:val="uk-UA"/>
      </w:rPr>
      <w:instrText>PAGE   \* MERGEFORMAT</w:instrText>
    </w:r>
    <w:r w:rsidRPr="00A55FE6">
      <w:rPr>
        <w:color w:val="auto"/>
        <w:sz w:val="20"/>
        <w:lang w:val="uk-UA"/>
      </w:rPr>
      <w:fldChar w:fldCharType="separate"/>
    </w:r>
    <w:r w:rsidR="0045261D" w:rsidRPr="0045261D">
      <w:rPr>
        <w:noProof/>
        <w:color w:val="auto"/>
        <w:sz w:val="20"/>
      </w:rPr>
      <w:t>35</w:t>
    </w:r>
    <w:r w:rsidRPr="00A55FE6">
      <w:rPr>
        <w:color w:val="auto"/>
        <w:sz w:val="20"/>
        <w:lang w:val="uk-U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79F" w:rsidRDefault="006D479F">
      <w:r>
        <w:separator/>
      </w:r>
    </w:p>
  </w:footnote>
  <w:footnote w:type="continuationSeparator" w:id="0">
    <w:p w:rsidR="006D479F" w:rsidRDefault="006D4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A0" w:rsidRPr="00A55FE6" w:rsidRDefault="00C407A0" w:rsidP="00A55FE6">
    <w:pPr>
      <w:pStyle w:val="a4"/>
      <w:spacing w:before="0" w:after="120"/>
      <w:ind w:firstLine="0"/>
      <w:jc w:val="lef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A0" w:rsidRDefault="00C407A0" w:rsidP="00A55FE6">
    <w:pPr>
      <w:pStyle w:val="a4"/>
      <w:spacing w:before="0" w:after="120"/>
      <w:ind w:firstLine="0"/>
      <w:jc w:val="left"/>
      <w:rPr>
        <w:sz w:val="20"/>
        <w:lang w:val="uk-UA"/>
      </w:rPr>
    </w:pPr>
    <w:r>
      <w:rPr>
        <w:sz w:val="20"/>
        <w:lang w:val="uk-UA"/>
      </w:rPr>
      <w:t>ТОВ «СМАРТФІНАНС»</w:t>
    </w:r>
    <w:r>
      <w:rPr>
        <w:sz w:val="20"/>
        <w:lang w:val="uk-UA"/>
      </w:rPr>
      <w:br/>
      <w:t xml:space="preserve">Консолідована </w:t>
    </w:r>
    <w:r w:rsidRPr="00A55FE6">
      <w:rPr>
        <w:sz w:val="20"/>
        <w:lang w:val="uk-UA"/>
      </w:rPr>
      <w:t>фінансова звітність за рік, що закінчився 31 грудня 201</w:t>
    </w:r>
    <w:r>
      <w:rPr>
        <w:sz w:val="20"/>
        <w:lang w:val="uk-UA"/>
      </w:rPr>
      <w:t>7</w:t>
    </w:r>
  </w:p>
  <w:p w:rsidR="00C407A0" w:rsidRPr="00A55FE6" w:rsidRDefault="00C407A0" w:rsidP="00A55FE6">
    <w:pPr>
      <w:pStyle w:val="a4"/>
      <w:spacing w:before="0" w:after="120"/>
      <w:ind w:firstLine="0"/>
      <w:jc w:val="left"/>
      <w:rPr>
        <w:sz w:val="20"/>
        <w:lang w:val="uk-U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A0" w:rsidRDefault="00C407A0" w:rsidP="00A55FE6">
    <w:pPr>
      <w:pStyle w:val="a4"/>
      <w:spacing w:before="0" w:after="120"/>
      <w:ind w:firstLine="0"/>
      <w:jc w:val="left"/>
      <w:rPr>
        <w:sz w:val="20"/>
        <w:lang w:val="uk-UA"/>
      </w:rPr>
    </w:pPr>
    <w:r>
      <w:rPr>
        <w:sz w:val="20"/>
        <w:lang w:val="uk-UA"/>
      </w:rPr>
      <w:t>ТОВ «СМАРТ ФІНАНС»</w:t>
    </w:r>
    <w:r>
      <w:rPr>
        <w:sz w:val="20"/>
        <w:lang w:val="uk-UA"/>
      </w:rPr>
      <w:br/>
      <w:t xml:space="preserve">Консолідована </w:t>
    </w:r>
    <w:r w:rsidRPr="00A55FE6">
      <w:rPr>
        <w:sz w:val="20"/>
        <w:lang w:val="uk-UA"/>
      </w:rPr>
      <w:t>фінансова звітність за рік, що закінчився 31 грудня 201</w:t>
    </w:r>
    <w:r>
      <w:rPr>
        <w:sz w:val="20"/>
        <w:lang w:val="uk-UA"/>
      </w:rPr>
      <w:t>7</w:t>
    </w:r>
  </w:p>
  <w:p w:rsidR="00C407A0" w:rsidRPr="00A55FE6" w:rsidRDefault="00C407A0" w:rsidP="00A55FE6">
    <w:pPr>
      <w:pStyle w:val="a4"/>
      <w:spacing w:before="0" w:after="120"/>
      <w:ind w:firstLine="0"/>
      <w:jc w:val="left"/>
      <w:rPr>
        <w:i/>
        <w:sz w:val="20"/>
        <w:lang w:val="uk-UA"/>
      </w:rPr>
    </w:pPr>
    <w:r w:rsidRPr="00A55FE6">
      <w:rPr>
        <w:i/>
        <w:sz w:val="20"/>
        <w:lang w:val="uk-UA"/>
      </w:rPr>
      <w:t xml:space="preserve">(в тисячах гривень, якщо не </w:t>
    </w:r>
    <w:r>
      <w:rPr>
        <w:i/>
        <w:sz w:val="20"/>
        <w:lang w:val="uk-UA"/>
      </w:rPr>
      <w:t>зазначено</w:t>
    </w:r>
    <w:r w:rsidRPr="00A55FE6">
      <w:rPr>
        <w:i/>
        <w:sz w:val="20"/>
        <w:lang w:val="uk-UA"/>
      </w:rPr>
      <w:t xml:space="preserve"> інше)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0"/>
    <w:lvl w:ilvl="0">
      <w:start w:val="1"/>
      <w:numFmt w:val="bullet"/>
      <w:lvlText w:val=""/>
      <w:lvlJc w:val="left"/>
      <w:pPr>
        <w:tabs>
          <w:tab w:val="num" w:pos="709"/>
        </w:tabs>
        <w:ind w:left="709" w:firstLine="0"/>
      </w:pPr>
      <w:rPr>
        <w:rFonts w:ascii="Symbol" w:hAnsi="Symbol" w:cs="Times New Roman"/>
      </w:rPr>
    </w:lvl>
    <w:lvl w:ilvl="1">
      <w:numFmt w:val="decimal"/>
      <w:lvlText w:val="%2"/>
      <w:lvlJc w:val="left"/>
      <w:pPr>
        <w:tabs>
          <w:tab w:val="num" w:pos="-11"/>
        </w:tabs>
        <w:ind w:left="-11" w:firstLine="0"/>
      </w:pPr>
    </w:lvl>
    <w:lvl w:ilvl="2">
      <w:numFmt w:val="decimal"/>
      <w:lvlText w:val="%3"/>
      <w:lvlJc w:val="left"/>
      <w:pPr>
        <w:tabs>
          <w:tab w:val="num" w:pos="-11"/>
        </w:tabs>
        <w:ind w:left="-11" w:firstLine="0"/>
      </w:pPr>
    </w:lvl>
    <w:lvl w:ilvl="3">
      <w:numFmt w:val="decimal"/>
      <w:lvlText w:val="%4"/>
      <w:lvlJc w:val="left"/>
      <w:pPr>
        <w:tabs>
          <w:tab w:val="num" w:pos="-11"/>
        </w:tabs>
        <w:ind w:left="-11" w:firstLine="0"/>
      </w:pPr>
    </w:lvl>
    <w:lvl w:ilvl="4">
      <w:numFmt w:val="decimal"/>
      <w:lvlText w:val="%5"/>
      <w:lvlJc w:val="left"/>
      <w:pPr>
        <w:tabs>
          <w:tab w:val="num" w:pos="-11"/>
        </w:tabs>
        <w:ind w:left="-11" w:firstLine="0"/>
      </w:pPr>
    </w:lvl>
    <w:lvl w:ilvl="5">
      <w:numFmt w:val="decimal"/>
      <w:lvlText w:val="%6"/>
      <w:lvlJc w:val="left"/>
      <w:pPr>
        <w:tabs>
          <w:tab w:val="num" w:pos="-11"/>
        </w:tabs>
        <w:ind w:left="-11" w:firstLine="0"/>
      </w:pPr>
    </w:lvl>
    <w:lvl w:ilvl="6">
      <w:numFmt w:val="decimal"/>
      <w:lvlText w:val="%7"/>
      <w:lvlJc w:val="left"/>
      <w:pPr>
        <w:tabs>
          <w:tab w:val="num" w:pos="-11"/>
        </w:tabs>
        <w:ind w:left="-11" w:firstLine="0"/>
      </w:pPr>
    </w:lvl>
    <w:lvl w:ilvl="7">
      <w:numFmt w:val="decimal"/>
      <w:lvlText w:val="%8"/>
      <w:lvlJc w:val="left"/>
      <w:pPr>
        <w:tabs>
          <w:tab w:val="num" w:pos="-11"/>
        </w:tabs>
        <w:ind w:left="-11" w:firstLine="0"/>
      </w:pPr>
    </w:lvl>
    <w:lvl w:ilvl="8">
      <w:numFmt w:val="decimal"/>
      <w:lvlText w:val="%9"/>
      <w:lvlJc w:val="left"/>
      <w:pPr>
        <w:tabs>
          <w:tab w:val="num" w:pos="-11"/>
        </w:tabs>
        <w:ind w:left="-11" w:firstLine="0"/>
      </w:pPr>
    </w:lvl>
  </w:abstractNum>
  <w:abstractNum w:abstractNumId="1">
    <w:nsid w:val="0123519E"/>
    <w:multiLevelType w:val="hybridMultilevel"/>
    <w:tmpl w:val="D31C67A0"/>
    <w:lvl w:ilvl="0" w:tplc="9286A046">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2">
    <w:nsid w:val="124E7C56"/>
    <w:multiLevelType w:val="hybridMultilevel"/>
    <w:tmpl w:val="6AB669B4"/>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
    <w:nsid w:val="1EF264A4"/>
    <w:multiLevelType w:val="hybridMultilevel"/>
    <w:tmpl w:val="0D606AE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B4A67DB"/>
    <w:multiLevelType w:val="hybridMultilevel"/>
    <w:tmpl w:val="38B044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15A0180"/>
    <w:multiLevelType w:val="hybridMultilevel"/>
    <w:tmpl w:val="D3700828"/>
    <w:lvl w:ilvl="0" w:tplc="821E4A8C">
      <w:start w:val="1"/>
      <w:numFmt w:val="russianLower"/>
      <w:lvlText w:val="%1)"/>
      <w:lvlJc w:val="left"/>
      <w:pPr>
        <w:ind w:left="1080" w:hanging="360"/>
      </w:pPr>
      <w:rPr>
        <w:rFonts w:hint="default"/>
      </w:rPr>
    </w:lvl>
    <w:lvl w:ilvl="1" w:tplc="CA3E57EC">
      <w:start w:val="1"/>
      <w:numFmt w:val="lowerRoman"/>
      <w:lvlText w:val="%2)"/>
      <w:lvlJc w:val="left"/>
      <w:pPr>
        <w:ind w:left="2160" w:hanging="72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357510CC"/>
    <w:multiLevelType w:val="hybridMultilevel"/>
    <w:tmpl w:val="3D5A13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82741A1"/>
    <w:multiLevelType w:val="hybridMultilevel"/>
    <w:tmpl w:val="EF48500A"/>
    <w:lvl w:ilvl="0" w:tplc="A70ADA5E">
      <w:start w:val="3"/>
      <w:numFmt w:val="bullet"/>
      <w:lvlText w:val="-"/>
      <w:lvlJc w:val="left"/>
      <w:pPr>
        <w:ind w:left="1428" w:hanging="360"/>
      </w:pPr>
      <w:rPr>
        <w:rFonts w:ascii="Times New Roman" w:eastAsia="Times New Roman" w:hAnsi="Times New Roman" w:cs="Times New Roman" w:hint="default"/>
        <w:color w:val="auto"/>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8">
    <w:nsid w:val="54AD3D83"/>
    <w:multiLevelType w:val="hybridMultilevel"/>
    <w:tmpl w:val="3C9C8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7175388"/>
    <w:multiLevelType w:val="hybridMultilevel"/>
    <w:tmpl w:val="B8485A76"/>
    <w:lvl w:ilvl="0" w:tplc="EF0ADAE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5C6F57D2"/>
    <w:multiLevelType w:val="hybridMultilevel"/>
    <w:tmpl w:val="BB5C59D2"/>
    <w:lvl w:ilvl="0" w:tplc="930007A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634F2BEF"/>
    <w:multiLevelType w:val="multilevel"/>
    <w:tmpl w:val="D9648194"/>
    <w:lvl w:ilvl="0">
      <w:start w:val="1"/>
      <w:numFmt w:val="decimal"/>
      <w:pStyle w:val="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0"/>
  </w:num>
  <w:num w:numId="3">
    <w:abstractNumId w:val="6"/>
  </w:num>
  <w:num w:numId="4">
    <w:abstractNumId w:val="8"/>
  </w:num>
  <w:num w:numId="5">
    <w:abstractNumId w:val="11"/>
  </w:num>
  <w:num w:numId="6">
    <w:abstractNumId w:val="9"/>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5D7"/>
    <w:rsid w:val="00000257"/>
    <w:rsid w:val="000003F1"/>
    <w:rsid w:val="00000887"/>
    <w:rsid w:val="00000A28"/>
    <w:rsid w:val="00000A81"/>
    <w:rsid w:val="00000F40"/>
    <w:rsid w:val="000010DA"/>
    <w:rsid w:val="00002352"/>
    <w:rsid w:val="00002776"/>
    <w:rsid w:val="0000323F"/>
    <w:rsid w:val="000040C5"/>
    <w:rsid w:val="00004F6C"/>
    <w:rsid w:val="0000514F"/>
    <w:rsid w:val="000055E9"/>
    <w:rsid w:val="00005B04"/>
    <w:rsid w:val="0000698F"/>
    <w:rsid w:val="00006CA9"/>
    <w:rsid w:val="00007353"/>
    <w:rsid w:val="00010495"/>
    <w:rsid w:val="0001081B"/>
    <w:rsid w:val="00010A0F"/>
    <w:rsid w:val="000122C3"/>
    <w:rsid w:val="00012D4B"/>
    <w:rsid w:val="00012FCC"/>
    <w:rsid w:val="00013D2E"/>
    <w:rsid w:val="0001484E"/>
    <w:rsid w:val="000149C2"/>
    <w:rsid w:val="00014F69"/>
    <w:rsid w:val="000165EE"/>
    <w:rsid w:val="00020A7E"/>
    <w:rsid w:val="000221FC"/>
    <w:rsid w:val="00022981"/>
    <w:rsid w:val="00026013"/>
    <w:rsid w:val="00030325"/>
    <w:rsid w:val="0003067E"/>
    <w:rsid w:val="00031B5A"/>
    <w:rsid w:val="0003236D"/>
    <w:rsid w:val="000337D1"/>
    <w:rsid w:val="00034FFC"/>
    <w:rsid w:val="00037188"/>
    <w:rsid w:val="00040EB1"/>
    <w:rsid w:val="00044354"/>
    <w:rsid w:val="0004564C"/>
    <w:rsid w:val="0004579A"/>
    <w:rsid w:val="000475E2"/>
    <w:rsid w:val="00050971"/>
    <w:rsid w:val="000520DD"/>
    <w:rsid w:val="00053521"/>
    <w:rsid w:val="000536E1"/>
    <w:rsid w:val="00053B53"/>
    <w:rsid w:val="00054699"/>
    <w:rsid w:val="0005545C"/>
    <w:rsid w:val="000579C1"/>
    <w:rsid w:val="00057D4B"/>
    <w:rsid w:val="00060366"/>
    <w:rsid w:val="00060F87"/>
    <w:rsid w:val="00062A30"/>
    <w:rsid w:val="000639CD"/>
    <w:rsid w:val="0006445D"/>
    <w:rsid w:val="00064721"/>
    <w:rsid w:val="000656FC"/>
    <w:rsid w:val="00066407"/>
    <w:rsid w:val="0007117A"/>
    <w:rsid w:val="00074B44"/>
    <w:rsid w:val="00074FA8"/>
    <w:rsid w:val="00075BF4"/>
    <w:rsid w:val="00080C64"/>
    <w:rsid w:val="00081A3C"/>
    <w:rsid w:val="00082F21"/>
    <w:rsid w:val="000833B7"/>
    <w:rsid w:val="00083B20"/>
    <w:rsid w:val="00085447"/>
    <w:rsid w:val="00085B7B"/>
    <w:rsid w:val="00086A28"/>
    <w:rsid w:val="00087066"/>
    <w:rsid w:val="000903FA"/>
    <w:rsid w:val="0009129C"/>
    <w:rsid w:val="00092F56"/>
    <w:rsid w:val="00093389"/>
    <w:rsid w:val="00094442"/>
    <w:rsid w:val="00094978"/>
    <w:rsid w:val="00094CE9"/>
    <w:rsid w:val="0009550F"/>
    <w:rsid w:val="00096D59"/>
    <w:rsid w:val="000A117A"/>
    <w:rsid w:val="000A2C06"/>
    <w:rsid w:val="000A2CED"/>
    <w:rsid w:val="000A3009"/>
    <w:rsid w:val="000A4036"/>
    <w:rsid w:val="000A413A"/>
    <w:rsid w:val="000A4FE1"/>
    <w:rsid w:val="000A6855"/>
    <w:rsid w:val="000B0DE5"/>
    <w:rsid w:val="000B169E"/>
    <w:rsid w:val="000B2B64"/>
    <w:rsid w:val="000B3701"/>
    <w:rsid w:val="000B3715"/>
    <w:rsid w:val="000B3918"/>
    <w:rsid w:val="000B494C"/>
    <w:rsid w:val="000B4E51"/>
    <w:rsid w:val="000B6960"/>
    <w:rsid w:val="000B6C31"/>
    <w:rsid w:val="000B73D7"/>
    <w:rsid w:val="000C0769"/>
    <w:rsid w:val="000C0B2C"/>
    <w:rsid w:val="000C1040"/>
    <w:rsid w:val="000C2069"/>
    <w:rsid w:val="000C2520"/>
    <w:rsid w:val="000C539A"/>
    <w:rsid w:val="000C6D9F"/>
    <w:rsid w:val="000C7034"/>
    <w:rsid w:val="000C750A"/>
    <w:rsid w:val="000C7FA1"/>
    <w:rsid w:val="000D068F"/>
    <w:rsid w:val="000D131F"/>
    <w:rsid w:val="000D1B9E"/>
    <w:rsid w:val="000D1E6D"/>
    <w:rsid w:val="000D1FE0"/>
    <w:rsid w:val="000D2E84"/>
    <w:rsid w:val="000D2FAC"/>
    <w:rsid w:val="000D38C5"/>
    <w:rsid w:val="000D3B04"/>
    <w:rsid w:val="000D4E3C"/>
    <w:rsid w:val="000D5406"/>
    <w:rsid w:val="000D60A5"/>
    <w:rsid w:val="000D6CD9"/>
    <w:rsid w:val="000D6DCF"/>
    <w:rsid w:val="000D7F1B"/>
    <w:rsid w:val="000E060B"/>
    <w:rsid w:val="000E2AB1"/>
    <w:rsid w:val="000E4E4B"/>
    <w:rsid w:val="000E55CF"/>
    <w:rsid w:val="000E693D"/>
    <w:rsid w:val="000E7012"/>
    <w:rsid w:val="000F03F3"/>
    <w:rsid w:val="000F15C5"/>
    <w:rsid w:val="000F2195"/>
    <w:rsid w:val="000F3400"/>
    <w:rsid w:val="000F4313"/>
    <w:rsid w:val="000F46C3"/>
    <w:rsid w:val="000F661E"/>
    <w:rsid w:val="00100F55"/>
    <w:rsid w:val="00101B18"/>
    <w:rsid w:val="00101F01"/>
    <w:rsid w:val="00103676"/>
    <w:rsid w:val="00103792"/>
    <w:rsid w:val="0010463D"/>
    <w:rsid w:val="001052C9"/>
    <w:rsid w:val="00105C89"/>
    <w:rsid w:val="00106E26"/>
    <w:rsid w:val="00110618"/>
    <w:rsid w:val="00110A25"/>
    <w:rsid w:val="00110AB5"/>
    <w:rsid w:val="00110CD2"/>
    <w:rsid w:val="0011121E"/>
    <w:rsid w:val="0011181D"/>
    <w:rsid w:val="00112D41"/>
    <w:rsid w:val="00112DCC"/>
    <w:rsid w:val="00114AF3"/>
    <w:rsid w:val="001150CE"/>
    <w:rsid w:val="001150E1"/>
    <w:rsid w:val="00115F62"/>
    <w:rsid w:val="001161D2"/>
    <w:rsid w:val="00116525"/>
    <w:rsid w:val="00116CE9"/>
    <w:rsid w:val="00116D69"/>
    <w:rsid w:val="0011790B"/>
    <w:rsid w:val="001223FA"/>
    <w:rsid w:val="00122B33"/>
    <w:rsid w:val="00123EB1"/>
    <w:rsid w:val="0012453A"/>
    <w:rsid w:val="00124601"/>
    <w:rsid w:val="00125679"/>
    <w:rsid w:val="00125767"/>
    <w:rsid w:val="00125953"/>
    <w:rsid w:val="00126A74"/>
    <w:rsid w:val="00127104"/>
    <w:rsid w:val="0013029F"/>
    <w:rsid w:val="00130350"/>
    <w:rsid w:val="00131891"/>
    <w:rsid w:val="00131E6F"/>
    <w:rsid w:val="00132AE8"/>
    <w:rsid w:val="001335A1"/>
    <w:rsid w:val="0013413D"/>
    <w:rsid w:val="0013478E"/>
    <w:rsid w:val="001353C6"/>
    <w:rsid w:val="0013687B"/>
    <w:rsid w:val="00136FDE"/>
    <w:rsid w:val="0013765A"/>
    <w:rsid w:val="001379BC"/>
    <w:rsid w:val="0014020D"/>
    <w:rsid w:val="00141519"/>
    <w:rsid w:val="0014157A"/>
    <w:rsid w:val="00141701"/>
    <w:rsid w:val="0014198B"/>
    <w:rsid w:val="00142398"/>
    <w:rsid w:val="001450ED"/>
    <w:rsid w:val="001454A7"/>
    <w:rsid w:val="00145650"/>
    <w:rsid w:val="00145BA3"/>
    <w:rsid w:val="00147018"/>
    <w:rsid w:val="00147417"/>
    <w:rsid w:val="001506AA"/>
    <w:rsid w:val="001514A3"/>
    <w:rsid w:val="001514BE"/>
    <w:rsid w:val="0015259B"/>
    <w:rsid w:val="00153171"/>
    <w:rsid w:val="001534E0"/>
    <w:rsid w:val="00153D68"/>
    <w:rsid w:val="00157069"/>
    <w:rsid w:val="00160012"/>
    <w:rsid w:val="0016096F"/>
    <w:rsid w:val="00161274"/>
    <w:rsid w:val="001618C2"/>
    <w:rsid w:val="001644D6"/>
    <w:rsid w:val="00164C84"/>
    <w:rsid w:val="00165164"/>
    <w:rsid w:val="001651B3"/>
    <w:rsid w:val="00166452"/>
    <w:rsid w:val="001671EB"/>
    <w:rsid w:val="00167DEA"/>
    <w:rsid w:val="0017007D"/>
    <w:rsid w:val="00170664"/>
    <w:rsid w:val="00170847"/>
    <w:rsid w:val="001708EB"/>
    <w:rsid w:val="00171F59"/>
    <w:rsid w:val="001721AF"/>
    <w:rsid w:val="00173157"/>
    <w:rsid w:val="00174921"/>
    <w:rsid w:val="00174E36"/>
    <w:rsid w:val="001767B9"/>
    <w:rsid w:val="00176C11"/>
    <w:rsid w:val="00176CD5"/>
    <w:rsid w:val="001839D6"/>
    <w:rsid w:val="0018493C"/>
    <w:rsid w:val="001851B3"/>
    <w:rsid w:val="00185576"/>
    <w:rsid w:val="0018560F"/>
    <w:rsid w:val="00185E18"/>
    <w:rsid w:val="00185F67"/>
    <w:rsid w:val="001870BF"/>
    <w:rsid w:val="00187CE6"/>
    <w:rsid w:val="00191564"/>
    <w:rsid w:val="00192DCE"/>
    <w:rsid w:val="00192F30"/>
    <w:rsid w:val="00193676"/>
    <w:rsid w:val="001959D7"/>
    <w:rsid w:val="00196E3C"/>
    <w:rsid w:val="00196F7C"/>
    <w:rsid w:val="001972EE"/>
    <w:rsid w:val="001A05FC"/>
    <w:rsid w:val="001A25D7"/>
    <w:rsid w:val="001A25EB"/>
    <w:rsid w:val="001A3FAE"/>
    <w:rsid w:val="001A4814"/>
    <w:rsid w:val="001A58B9"/>
    <w:rsid w:val="001A781A"/>
    <w:rsid w:val="001A7870"/>
    <w:rsid w:val="001B1127"/>
    <w:rsid w:val="001B16F3"/>
    <w:rsid w:val="001B26EC"/>
    <w:rsid w:val="001B311B"/>
    <w:rsid w:val="001B34A3"/>
    <w:rsid w:val="001B34D6"/>
    <w:rsid w:val="001B3DA9"/>
    <w:rsid w:val="001B4CFD"/>
    <w:rsid w:val="001B4DBE"/>
    <w:rsid w:val="001B61BC"/>
    <w:rsid w:val="001B6524"/>
    <w:rsid w:val="001B7258"/>
    <w:rsid w:val="001C0DB3"/>
    <w:rsid w:val="001C0FAC"/>
    <w:rsid w:val="001C15E4"/>
    <w:rsid w:val="001C18A6"/>
    <w:rsid w:val="001C1937"/>
    <w:rsid w:val="001C1DB1"/>
    <w:rsid w:val="001C1E71"/>
    <w:rsid w:val="001C22D3"/>
    <w:rsid w:val="001C25F9"/>
    <w:rsid w:val="001C2FB8"/>
    <w:rsid w:val="001C3467"/>
    <w:rsid w:val="001C436F"/>
    <w:rsid w:val="001C43D5"/>
    <w:rsid w:val="001C4D2A"/>
    <w:rsid w:val="001C5B54"/>
    <w:rsid w:val="001C5DD6"/>
    <w:rsid w:val="001C6703"/>
    <w:rsid w:val="001C6877"/>
    <w:rsid w:val="001C6B51"/>
    <w:rsid w:val="001C751D"/>
    <w:rsid w:val="001D045A"/>
    <w:rsid w:val="001D08D2"/>
    <w:rsid w:val="001D4E73"/>
    <w:rsid w:val="001D6535"/>
    <w:rsid w:val="001E1248"/>
    <w:rsid w:val="001E1787"/>
    <w:rsid w:val="001E2AD5"/>
    <w:rsid w:val="001E2FF8"/>
    <w:rsid w:val="001E30A8"/>
    <w:rsid w:val="001E3E00"/>
    <w:rsid w:val="001E45B0"/>
    <w:rsid w:val="001E5313"/>
    <w:rsid w:val="001E59B0"/>
    <w:rsid w:val="001E62C7"/>
    <w:rsid w:val="001E735E"/>
    <w:rsid w:val="001F0203"/>
    <w:rsid w:val="001F0596"/>
    <w:rsid w:val="001F09E5"/>
    <w:rsid w:val="001F1056"/>
    <w:rsid w:val="001F1476"/>
    <w:rsid w:val="001F1D51"/>
    <w:rsid w:val="001F258D"/>
    <w:rsid w:val="001F35DE"/>
    <w:rsid w:val="001F3CC3"/>
    <w:rsid w:val="001F3D9D"/>
    <w:rsid w:val="001F3E45"/>
    <w:rsid w:val="001F4AE3"/>
    <w:rsid w:val="001F4CE7"/>
    <w:rsid w:val="001F507A"/>
    <w:rsid w:val="001F61BF"/>
    <w:rsid w:val="001F76DE"/>
    <w:rsid w:val="0020291C"/>
    <w:rsid w:val="00203576"/>
    <w:rsid w:val="00203D15"/>
    <w:rsid w:val="00203F02"/>
    <w:rsid w:val="00206759"/>
    <w:rsid w:val="002073B4"/>
    <w:rsid w:val="0021090F"/>
    <w:rsid w:val="002137A9"/>
    <w:rsid w:val="00213D4C"/>
    <w:rsid w:val="00213FF0"/>
    <w:rsid w:val="00214287"/>
    <w:rsid w:val="002143A3"/>
    <w:rsid w:val="0021453F"/>
    <w:rsid w:val="00214689"/>
    <w:rsid w:val="002159F6"/>
    <w:rsid w:val="002167BB"/>
    <w:rsid w:val="00220C86"/>
    <w:rsid w:val="00220CC2"/>
    <w:rsid w:val="00221FCC"/>
    <w:rsid w:val="002221CB"/>
    <w:rsid w:val="00222D09"/>
    <w:rsid w:val="00222DFC"/>
    <w:rsid w:val="00223E7C"/>
    <w:rsid w:val="00224D05"/>
    <w:rsid w:val="00224DA1"/>
    <w:rsid w:val="00225FEB"/>
    <w:rsid w:val="00226742"/>
    <w:rsid w:val="00230FCA"/>
    <w:rsid w:val="00232C4C"/>
    <w:rsid w:val="00232EBE"/>
    <w:rsid w:val="00233615"/>
    <w:rsid w:val="0023378A"/>
    <w:rsid w:val="00235056"/>
    <w:rsid w:val="00235B51"/>
    <w:rsid w:val="00236C5D"/>
    <w:rsid w:val="00237F81"/>
    <w:rsid w:val="00241143"/>
    <w:rsid w:val="002416AB"/>
    <w:rsid w:val="0024189C"/>
    <w:rsid w:val="00241C25"/>
    <w:rsid w:val="0024498B"/>
    <w:rsid w:val="00244B05"/>
    <w:rsid w:val="002453D2"/>
    <w:rsid w:val="00245C52"/>
    <w:rsid w:val="002468E3"/>
    <w:rsid w:val="0024773E"/>
    <w:rsid w:val="0025204A"/>
    <w:rsid w:val="00252C48"/>
    <w:rsid w:val="00253046"/>
    <w:rsid w:val="00253A76"/>
    <w:rsid w:val="00253A7E"/>
    <w:rsid w:val="00254ED5"/>
    <w:rsid w:val="00256763"/>
    <w:rsid w:val="00256E82"/>
    <w:rsid w:val="00261E1F"/>
    <w:rsid w:val="00263E90"/>
    <w:rsid w:val="00266150"/>
    <w:rsid w:val="00267544"/>
    <w:rsid w:val="0027031A"/>
    <w:rsid w:val="002725A2"/>
    <w:rsid w:val="0027270F"/>
    <w:rsid w:val="002735A1"/>
    <w:rsid w:val="00274A46"/>
    <w:rsid w:val="0027636D"/>
    <w:rsid w:val="0027642E"/>
    <w:rsid w:val="0027777F"/>
    <w:rsid w:val="002801D7"/>
    <w:rsid w:val="002815EA"/>
    <w:rsid w:val="0028199B"/>
    <w:rsid w:val="00281A34"/>
    <w:rsid w:val="00281B20"/>
    <w:rsid w:val="00282710"/>
    <w:rsid w:val="002857C4"/>
    <w:rsid w:val="0028580F"/>
    <w:rsid w:val="00285989"/>
    <w:rsid w:val="002871E8"/>
    <w:rsid w:val="00287A6A"/>
    <w:rsid w:val="0029368B"/>
    <w:rsid w:val="00293E5C"/>
    <w:rsid w:val="002943C1"/>
    <w:rsid w:val="00294999"/>
    <w:rsid w:val="00294E85"/>
    <w:rsid w:val="00295CEB"/>
    <w:rsid w:val="002969B7"/>
    <w:rsid w:val="00296EFC"/>
    <w:rsid w:val="002973AB"/>
    <w:rsid w:val="0029749D"/>
    <w:rsid w:val="00297B47"/>
    <w:rsid w:val="002A0A02"/>
    <w:rsid w:val="002A0EC7"/>
    <w:rsid w:val="002A1D0D"/>
    <w:rsid w:val="002A1E32"/>
    <w:rsid w:val="002A3102"/>
    <w:rsid w:val="002A4615"/>
    <w:rsid w:val="002A4965"/>
    <w:rsid w:val="002A5B75"/>
    <w:rsid w:val="002A5EF9"/>
    <w:rsid w:val="002A6601"/>
    <w:rsid w:val="002A696E"/>
    <w:rsid w:val="002A7B62"/>
    <w:rsid w:val="002A7CAB"/>
    <w:rsid w:val="002B11BB"/>
    <w:rsid w:val="002B1885"/>
    <w:rsid w:val="002B1DD9"/>
    <w:rsid w:val="002B3A32"/>
    <w:rsid w:val="002B43A9"/>
    <w:rsid w:val="002B4645"/>
    <w:rsid w:val="002B5E93"/>
    <w:rsid w:val="002B6377"/>
    <w:rsid w:val="002B64ED"/>
    <w:rsid w:val="002B6C00"/>
    <w:rsid w:val="002B7B7F"/>
    <w:rsid w:val="002C0AF8"/>
    <w:rsid w:val="002C13AC"/>
    <w:rsid w:val="002C165D"/>
    <w:rsid w:val="002C37D1"/>
    <w:rsid w:val="002C5E93"/>
    <w:rsid w:val="002C68AE"/>
    <w:rsid w:val="002C6E50"/>
    <w:rsid w:val="002C6EA6"/>
    <w:rsid w:val="002C6EAC"/>
    <w:rsid w:val="002C7945"/>
    <w:rsid w:val="002C7CB4"/>
    <w:rsid w:val="002D0DE8"/>
    <w:rsid w:val="002D30F5"/>
    <w:rsid w:val="002D33F0"/>
    <w:rsid w:val="002D44C3"/>
    <w:rsid w:val="002D5FF8"/>
    <w:rsid w:val="002E06DC"/>
    <w:rsid w:val="002E3D09"/>
    <w:rsid w:val="002E4EC3"/>
    <w:rsid w:val="002E607B"/>
    <w:rsid w:val="002E60EC"/>
    <w:rsid w:val="002E63F3"/>
    <w:rsid w:val="002E68B4"/>
    <w:rsid w:val="002F1FA7"/>
    <w:rsid w:val="002F2773"/>
    <w:rsid w:val="002F27BA"/>
    <w:rsid w:val="002F2901"/>
    <w:rsid w:val="002F2B45"/>
    <w:rsid w:val="002F411C"/>
    <w:rsid w:val="002F5734"/>
    <w:rsid w:val="002F583E"/>
    <w:rsid w:val="002F668C"/>
    <w:rsid w:val="002F6A76"/>
    <w:rsid w:val="003006D9"/>
    <w:rsid w:val="0030146A"/>
    <w:rsid w:val="00301608"/>
    <w:rsid w:val="003050BD"/>
    <w:rsid w:val="00305D5B"/>
    <w:rsid w:val="00305F3D"/>
    <w:rsid w:val="00306326"/>
    <w:rsid w:val="00306E2B"/>
    <w:rsid w:val="00310C9F"/>
    <w:rsid w:val="00310CAD"/>
    <w:rsid w:val="00312398"/>
    <w:rsid w:val="00312D12"/>
    <w:rsid w:val="00312F42"/>
    <w:rsid w:val="003130FA"/>
    <w:rsid w:val="00313123"/>
    <w:rsid w:val="00314662"/>
    <w:rsid w:val="00314E06"/>
    <w:rsid w:val="003153D4"/>
    <w:rsid w:val="003154D7"/>
    <w:rsid w:val="0031635A"/>
    <w:rsid w:val="00316F3D"/>
    <w:rsid w:val="00317213"/>
    <w:rsid w:val="00317B5D"/>
    <w:rsid w:val="00320073"/>
    <w:rsid w:val="0032042A"/>
    <w:rsid w:val="003213A2"/>
    <w:rsid w:val="00321DB3"/>
    <w:rsid w:val="003222D4"/>
    <w:rsid w:val="00323E9A"/>
    <w:rsid w:val="003247B2"/>
    <w:rsid w:val="003266D5"/>
    <w:rsid w:val="00327198"/>
    <w:rsid w:val="00327868"/>
    <w:rsid w:val="00327EE5"/>
    <w:rsid w:val="00327F7B"/>
    <w:rsid w:val="00331B9B"/>
    <w:rsid w:val="00331C96"/>
    <w:rsid w:val="003321AF"/>
    <w:rsid w:val="0033228F"/>
    <w:rsid w:val="00332C8B"/>
    <w:rsid w:val="003337F6"/>
    <w:rsid w:val="00333D63"/>
    <w:rsid w:val="003346D6"/>
    <w:rsid w:val="00337110"/>
    <w:rsid w:val="00337783"/>
    <w:rsid w:val="00340CF1"/>
    <w:rsid w:val="00342066"/>
    <w:rsid w:val="00342C1D"/>
    <w:rsid w:val="003433FD"/>
    <w:rsid w:val="00343422"/>
    <w:rsid w:val="00343B5C"/>
    <w:rsid w:val="00344739"/>
    <w:rsid w:val="003455E0"/>
    <w:rsid w:val="00345EB6"/>
    <w:rsid w:val="0034607C"/>
    <w:rsid w:val="0034639C"/>
    <w:rsid w:val="003463A4"/>
    <w:rsid w:val="00346869"/>
    <w:rsid w:val="00346C45"/>
    <w:rsid w:val="00346C84"/>
    <w:rsid w:val="003479DC"/>
    <w:rsid w:val="003540C2"/>
    <w:rsid w:val="00354AC7"/>
    <w:rsid w:val="00354EC5"/>
    <w:rsid w:val="00355072"/>
    <w:rsid w:val="00355619"/>
    <w:rsid w:val="003563C8"/>
    <w:rsid w:val="003571B3"/>
    <w:rsid w:val="00361440"/>
    <w:rsid w:val="00364B62"/>
    <w:rsid w:val="00365060"/>
    <w:rsid w:val="00365772"/>
    <w:rsid w:val="00370381"/>
    <w:rsid w:val="00376361"/>
    <w:rsid w:val="00382192"/>
    <w:rsid w:val="00383087"/>
    <w:rsid w:val="003832A3"/>
    <w:rsid w:val="0038354D"/>
    <w:rsid w:val="0038469C"/>
    <w:rsid w:val="00385403"/>
    <w:rsid w:val="003855E6"/>
    <w:rsid w:val="00386AE6"/>
    <w:rsid w:val="00387BDD"/>
    <w:rsid w:val="00390869"/>
    <w:rsid w:val="003909AF"/>
    <w:rsid w:val="00390CAF"/>
    <w:rsid w:val="00393994"/>
    <w:rsid w:val="003944EB"/>
    <w:rsid w:val="00394842"/>
    <w:rsid w:val="00394935"/>
    <w:rsid w:val="00395A74"/>
    <w:rsid w:val="003964D9"/>
    <w:rsid w:val="00396EB7"/>
    <w:rsid w:val="003977EB"/>
    <w:rsid w:val="003A0287"/>
    <w:rsid w:val="003A0DD7"/>
    <w:rsid w:val="003A1D0F"/>
    <w:rsid w:val="003A2A3E"/>
    <w:rsid w:val="003A37A8"/>
    <w:rsid w:val="003A51D6"/>
    <w:rsid w:val="003A5292"/>
    <w:rsid w:val="003A59FE"/>
    <w:rsid w:val="003A5C66"/>
    <w:rsid w:val="003A609A"/>
    <w:rsid w:val="003A69A8"/>
    <w:rsid w:val="003A7499"/>
    <w:rsid w:val="003B1EBE"/>
    <w:rsid w:val="003B7EA8"/>
    <w:rsid w:val="003C027B"/>
    <w:rsid w:val="003C161C"/>
    <w:rsid w:val="003C1F63"/>
    <w:rsid w:val="003C296F"/>
    <w:rsid w:val="003C35B9"/>
    <w:rsid w:val="003C3E07"/>
    <w:rsid w:val="003C455E"/>
    <w:rsid w:val="003C45AE"/>
    <w:rsid w:val="003C4690"/>
    <w:rsid w:val="003C6042"/>
    <w:rsid w:val="003C73F5"/>
    <w:rsid w:val="003C741F"/>
    <w:rsid w:val="003D2C61"/>
    <w:rsid w:val="003D494D"/>
    <w:rsid w:val="003D65F1"/>
    <w:rsid w:val="003D7094"/>
    <w:rsid w:val="003D7C6F"/>
    <w:rsid w:val="003E1B63"/>
    <w:rsid w:val="003E4EF7"/>
    <w:rsid w:val="003E5BFA"/>
    <w:rsid w:val="003E6D13"/>
    <w:rsid w:val="003E6F13"/>
    <w:rsid w:val="003E731B"/>
    <w:rsid w:val="003F06A3"/>
    <w:rsid w:val="003F1791"/>
    <w:rsid w:val="003F1E87"/>
    <w:rsid w:val="003F285E"/>
    <w:rsid w:val="003F301E"/>
    <w:rsid w:val="003F330C"/>
    <w:rsid w:val="003F3341"/>
    <w:rsid w:val="003F371C"/>
    <w:rsid w:val="003F41D6"/>
    <w:rsid w:val="003F476D"/>
    <w:rsid w:val="003F481D"/>
    <w:rsid w:val="003F6616"/>
    <w:rsid w:val="003F7294"/>
    <w:rsid w:val="003F75A4"/>
    <w:rsid w:val="0040064D"/>
    <w:rsid w:val="00400C51"/>
    <w:rsid w:val="00401020"/>
    <w:rsid w:val="004017E4"/>
    <w:rsid w:val="004028D7"/>
    <w:rsid w:val="00403735"/>
    <w:rsid w:val="00403C7C"/>
    <w:rsid w:val="00404A8C"/>
    <w:rsid w:val="004058B5"/>
    <w:rsid w:val="00406261"/>
    <w:rsid w:val="00407406"/>
    <w:rsid w:val="004100B4"/>
    <w:rsid w:val="0041148F"/>
    <w:rsid w:val="00412057"/>
    <w:rsid w:val="004123C7"/>
    <w:rsid w:val="00412B9F"/>
    <w:rsid w:val="00412F74"/>
    <w:rsid w:val="004147CC"/>
    <w:rsid w:val="0041541C"/>
    <w:rsid w:val="0041585E"/>
    <w:rsid w:val="00415EC8"/>
    <w:rsid w:val="00416E64"/>
    <w:rsid w:val="004176DB"/>
    <w:rsid w:val="00417798"/>
    <w:rsid w:val="00420220"/>
    <w:rsid w:val="00420C0B"/>
    <w:rsid w:val="00420DFB"/>
    <w:rsid w:val="00421A6E"/>
    <w:rsid w:val="00421B61"/>
    <w:rsid w:val="00421C39"/>
    <w:rsid w:val="0042208B"/>
    <w:rsid w:val="0042351C"/>
    <w:rsid w:val="004237F7"/>
    <w:rsid w:val="00423838"/>
    <w:rsid w:val="0042469C"/>
    <w:rsid w:val="004249B5"/>
    <w:rsid w:val="00424A62"/>
    <w:rsid w:val="0042505C"/>
    <w:rsid w:val="00425074"/>
    <w:rsid w:val="00426479"/>
    <w:rsid w:val="0042707F"/>
    <w:rsid w:val="00427785"/>
    <w:rsid w:val="00430DE0"/>
    <w:rsid w:val="004315AA"/>
    <w:rsid w:val="00431B59"/>
    <w:rsid w:val="00432E0A"/>
    <w:rsid w:val="00432E9B"/>
    <w:rsid w:val="004339C2"/>
    <w:rsid w:val="004356FF"/>
    <w:rsid w:val="00435776"/>
    <w:rsid w:val="00437508"/>
    <w:rsid w:val="004413C2"/>
    <w:rsid w:val="00443682"/>
    <w:rsid w:val="0044395E"/>
    <w:rsid w:val="00446EB0"/>
    <w:rsid w:val="00447D15"/>
    <w:rsid w:val="00450CED"/>
    <w:rsid w:val="0045261D"/>
    <w:rsid w:val="00454480"/>
    <w:rsid w:val="004551BE"/>
    <w:rsid w:val="00455472"/>
    <w:rsid w:val="00455946"/>
    <w:rsid w:val="004565F0"/>
    <w:rsid w:val="00460459"/>
    <w:rsid w:val="00460EFB"/>
    <w:rsid w:val="00461B43"/>
    <w:rsid w:val="00462DFE"/>
    <w:rsid w:val="00464E3D"/>
    <w:rsid w:val="00465C72"/>
    <w:rsid w:val="00470C39"/>
    <w:rsid w:val="00471777"/>
    <w:rsid w:val="004720CE"/>
    <w:rsid w:val="0047270A"/>
    <w:rsid w:val="00472CF4"/>
    <w:rsid w:val="00475048"/>
    <w:rsid w:val="00475669"/>
    <w:rsid w:val="00475680"/>
    <w:rsid w:val="00476C71"/>
    <w:rsid w:val="0047786A"/>
    <w:rsid w:val="00477A56"/>
    <w:rsid w:val="004802DA"/>
    <w:rsid w:val="0048116D"/>
    <w:rsid w:val="00482967"/>
    <w:rsid w:val="00482F05"/>
    <w:rsid w:val="00482F13"/>
    <w:rsid w:val="00483615"/>
    <w:rsid w:val="004836A2"/>
    <w:rsid w:val="004838DA"/>
    <w:rsid w:val="0048504F"/>
    <w:rsid w:val="00486861"/>
    <w:rsid w:val="00487690"/>
    <w:rsid w:val="0049293C"/>
    <w:rsid w:val="0049353F"/>
    <w:rsid w:val="00494AD4"/>
    <w:rsid w:val="0049677F"/>
    <w:rsid w:val="00496A01"/>
    <w:rsid w:val="00496EE5"/>
    <w:rsid w:val="004975D1"/>
    <w:rsid w:val="00497A9F"/>
    <w:rsid w:val="00497FDD"/>
    <w:rsid w:val="004A0704"/>
    <w:rsid w:val="004A084C"/>
    <w:rsid w:val="004A0A56"/>
    <w:rsid w:val="004A104A"/>
    <w:rsid w:val="004A1B07"/>
    <w:rsid w:val="004A25C2"/>
    <w:rsid w:val="004A2C5E"/>
    <w:rsid w:val="004A3265"/>
    <w:rsid w:val="004A4759"/>
    <w:rsid w:val="004A7048"/>
    <w:rsid w:val="004A73D4"/>
    <w:rsid w:val="004B1D3D"/>
    <w:rsid w:val="004B26EF"/>
    <w:rsid w:val="004B3A8F"/>
    <w:rsid w:val="004B47CC"/>
    <w:rsid w:val="004B6C55"/>
    <w:rsid w:val="004B7CD4"/>
    <w:rsid w:val="004C1921"/>
    <w:rsid w:val="004C1F18"/>
    <w:rsid w:val="004C25FA"/>
    <w:rsid w:val="004C3153"/>
    <w:rsid w:val="004C416F"/>
    <w:rsid w:val="004C4DE3"/>
    <w:rsid w:val="004C51F4"/>
    <w:rsid w:val="004C6049"/>
    <w:rsid w:val="004C61F5"/>
    <w:rsid w:val="004C747B"/>
    <w:rsid w:val="004D04D3"/>
    <w:rsid w:val="004D084D"/>
    <w:rsid w:val="004D089A"/>
    <w:rsid w:val="004D2146"/>
    <w:rsid w:val="004D2B37"/>
    <w:rsid w:val="004D35C6"/>
    <w:rsid w:val="004D37FF"/>
    <w:rsid w:val="004D50A0"/>
    <w:rsid w:val="004D549C"/>
    <w:rsid w:val="004D6059"/>
    <w:rsid w:val="004D7378"/>
    <w:rsid w:val="004D792A"/>
    <w:rsid w:val="004E0658"/>
    <w:rsid w:val="004E21F3"/>
    <w:rsid w:val="004E234C"/>
    <w:rsid w:val="004E2C93"/>
    <w:rsid w:val="004E359B"/>
    <w:rsid w:val="004E3A2A"/>
    <w:rsid w:val="004E3E08"/>
    <w:rsid w:val="004E40A5"/>
    <w:rsid w:val="004E44BC"/>
    <w:rsid w:val="004E4BFA"/>
    <w:rsid w:val="004E4D67"/>
    <w:rsid w:val="004E5FB7"/>
    <w:rsid w:val="004E604A"/>
    <w:rsid w:val="004E6C25"/>
    <w:rsid w:val="004E720F"/>
    <w:rsid w:val="004F02B2"/>
    <w:rsid w:val="004F27BF"/>
    <w:rsid w:val="004F35F3"/>
    <w:rsid w:val="004F40E8"/>
    <w:rsid w:val="004F5EA6"/>
    <w:rsid w:val="00501FDB"/>
    <w:rsid w:val="00501FEB"/>
    <w:rsid w:val="00502015"/>
    <w:rsid w:val="00502B31"/>
    <w:rsid w:val="00502FD2"/>
    <w:rsid w:val="005037ED"/>
    <w:rsid w:val="00504F54"/>
    <w:rsid w:val="00505691"/>
    <w:rsid w:val="00505B6C"/>
    <w:rsid w:val="0050666F"/>
    <w:rsid w:val="00506794"/>
    <w:rsid w:val="005076B4"/>
    <w:rsid w:val="00507B42"/>
    <w:rsid w:val="005115D6"/>
    <w:rsid w:val="00511D3B"/>
    <w:rsid w:val="00511F7D"/>
    <w:rsid w:val="00512BB0"/>
    <w:rsid w:val="0051364F"/>
    <w:rsid w:val="005142C6"/>
    <w:rsid w:val="00515451"/>
    <w:rsid w:val="00515E15"/>
    <w:rsid w:val="005161B0"/>
    <w:rsid w:val="005170AC"/>
    <w:rsid w:val="00517F20"/>
    <w:rsid w:val="005207F8"/>
    <w:rsid w:val="00521DA4"/>
    <w:rsid w:val="00525141"/>
    <w:rsid w:val="0052516F"/>
    <w:rsid w:val="00525C47"/>
    <w:rsid w:val="005264C8"/>
    <w:rsid w:val="00527D15"/>
    <w:rsid w:val="005301B7"/>
    <w:rsid w:val="00530D6B"/>
    <w:rsid w:val="005310D6"/>
    <w:rsid w:val="0053307A"/>
    <w:rsid w:val="00535E24"/>
    <w:rsid w:val="00536636"/>
    <w:rsid w:val="0053764F"/>
    <w:rsid w:val="00537B45"/>
    <w:rsid w:val="00540FA4"/>
    <w:rsid w:val="00541017"/>
    <w:rsid w:val="005416E5"/>
    <w:rsid w:val="0054200A"/>
    <w:rsid w:val="00542B25"/>
    <w:rsid w:val="00543498"/>
    <w:rsid w:val="00544092"/>
    <w:rsid w:val="00545C4D"/>
    <w:rsid w:val="005468B3"/>
    <w:rsid w:val="00546DDE"/>
    <w:rsid w:val="00546F8B"/>
    <w:rsid w:val="00547461"/>
    <w:rsid w:val="0055181C"/>
    <w:rsid w:val="0055254E"/>
    <w:rsid w:val="00553F30"/>
    <w:rsid w:val="00553FD6"/>
    <w:rsid w:val="0055442F"/>
    <w:rsid w:val="00554662"/>
    <w:rsid w:val="00554CDF"/>
    <w:rsid w:val="005601C6"/>
    <w:rsid w:val="00561D53"/>
    <w:rsid w:val="005633B0"/>
    <w:rsid w:val="005639BC"/>
    <w:rsid w:val="00565245"/>
    <w:rsid w:val="005652F4"/>
    <w:rsid w:val="005723C5"/>
    <w:rsid w:val="00573F74"/>
    <w:rsid w:val="0057407A"/>
    <w:rsid w:val="005755C5"/>
    <w:rsid w:val="005757F8"/>
    <w:rsid w:val="00575BDE"/>
    <w:rsid w:val="00575D00"/>
    <w:rsid w:val="005767F9"/>
    <w:rsid w:val="00576C07"/>
    <w:rsid w:val="00576F24"/>
    <w:rsid w:val="00581199"/>
    <w:rsid w:val="00581C14"/>
    <w:rsid w:val="005827BA"/>
    <w:rsid w:val="0058435E"/>
    <w:rsid w:val="0058477F"/>
    <w:rsid w:val="00585039"/>
    <w:rsid w:val="00585819"/>
    <w:rsid w:val="00586633"/>
    <w:rsid w:val="00587960"/>
    <w:rsid w:val="00587B5D"/>
    <w:rsid w:val="00590094"/>
    <w:rsid w:val="0059097A"/>
    <w:rsid w:val="00591311"/>
    <w:rsid w:val="00591394"/>
    <w:rsid w:val="0059140D"/>
    <w:rsid w:val="0059148F"/>
    <w:rsid w:val="00592E93"/>
    <w:rsid w:val="0059628B"/>
    <w:rsid w:val="00597132"/>
    <w:rsid w:val="005974B7"/>
    <w:rsid w:val="005977E1"/>
    <w:rsid w:val="005977F1"/>
    <w:rsid w:val="005A0490"/>
    <w:rsid w:val="005A077D"/>
    <w:rsid w:val="005A086E"/>
    <w:rsid w:val="005A189F"/>
    <w:rsid w:val="005A18BC"/>
    <w:rsid w:val="005A39A3"/>
    <w:rsid w:val="005A404B"/>
    <w:rsid w:val="005A4B00"/>
    <w:rsid w:val="005A7B44"/>
    <w:rsid w:val="005B0606"/>
    <w:rsid w:val="005B1D5F"/>
    <w:rsid w:val="005B2695"/>
    <w:rsid w:val="005B37A6"/>
    <w:rsid w:val="005B4A43"/>
    <w:rsid w:val="005B527C"/>
    <w:rsid w:val="005B6638"/>
    <w:rsid w:val="005B68A8"/>
    <w:rsid w:val="005B7ED8"/>
    <w:rsid w:val="005C00F5"/>
    <w:rsid w:val="005C0E8B"/>
    <w:rsid w:val="005C11F6"/>
    <w:rsid w:val="005C14DF"/>
    <w:rsid w:val="005C3669"/>
    <w:rsid w:val="005C432F"/>
    <w:rsid w:val="005C4D58"/>
    <w:rsid w:val="005C4EDC"/>
    <w:rsid w:val="005C5057"/>
    <w:rsid w:val="005C604B"/>
    <w:rsid w:val="005C6680"/>
    <w:rsid w:val="005C6FBC"/>
    <w:rsid w:val="005C7261"/>
    <w:rsid w:val="005D05DE"/>
    <w:rsid w:val="005D0998"/>
    <w:rsid w:val="005D10E4"/>
    <w:rsid w:val="005D143B"/>
    <w:rsid w:val="005D3C64"/>
    <w:rsid w:val="005D3CA1"/>
    <w:rsid w:val="005D5063"/>
    <w:rsid w:val="005D546C"/>
    <w:rsid w:val="005D7C7A"/>
    <w:rsid w:val="005E0278"/>
    <w:rsid w:val="005E042D"/>
    <w:rsid w:val="005E1135"/>
    <w:rsid w:val="005E1366"/>
    <w:rsid w:val="005E1D86"/>
    <w:rsid w:val="005E2E03"/>
    <w:rsid w:val="005E49C5"/>
    <w:rsid w:val="005E53D7"/>
    <w:rsid w:val="005E57DE"/>
    <w:rsid w:val="005E57FF"/>
    <w:rsid w:val="005E5F48"/>
    <w:rsid w:val="005E6620"/>
    <w:rsid w:val="005F1AAA"/>
    <w:rsid w:val="005F2481"/>
    <w:rsid w:val="005F25E6"/>
    <w:rsid w:val="005F504E"/>
    <w:rsid w:val="005F5596"/>
    <w:rsid w:val="005F5DEA"/>
    <w:rsid w:val="00600056"/>
    <w:rsid w:val="006019FB"/>
    <w:rsid w:val="00601BD4"/>
    <w:rsid w:val="00601D17"/>
    <w:rsid w:val="006023AA"/>
    <w:rsid w:val="006031E2"/>
    <w:rsid w:val="006033C9"/>
    <w:rsid w:val="00607FFD"/>
    <w:rsid w:val="006115AB"/>
    <w:rsid w:val="00611B0B"/>
    <w:rsid w:val="00612C50"/>
    <w:rsid w:val="00612D65"/>
    <w:rsid w:val="00612E94"/>
    <w:rsid w:val="006133FA"/>
    <w:rsid w:val="006137E0"/>
    <w:rsid w:val="00615E43"/>
    <w:rsid w:val="006166A4"/>
    <w:rsid w:val="00616BF3"/>
    <w:rsid w:val="00617377"/>
    <w:rsid w:val="00617482"/>
    <w:rsid w:val="00617E26"/>
    <w:rsid w:val="00621FEA"/>
    <w:rsid w:val="00623DF6"/>
    <w:rsid w:val="0062412F"/>
    <w:rsid w:val="00624D08"/>
    <w:rsid w:val="00625402"/>
    <w:rsid w:val="00626940"/>
    <w:rsid w:val="00627276"/>
    <w:rsid w:val="006276B4"/>
    <w:rsid w:val="00627AD2"/>
    <w:rsid w:val="00630537"/>
    <w:rsid w:val="006345A1"/>
    <w:rsid w:val="00634951"/>
    <w:rsid w:val="00635AD0"/>
    <w:rsid w:val="00636089"/>
    <w:rsid w:val="00637440"/>
    <w:rsid w:val="006404C5"/>
    <w:rsid w:val="00641A53"/>
    <w:rsid w:val="00641C9F"/>
    <w:rsid w:val="006434A2"/>
    <w:rsid w:val="00644BD2"/>
    <w:rsid w:val="00646A43"/>
    <w:rsid w:val="00646B84"/>
    <w:rsid w:val="00647764"/>
    <w:rsid w:val="0064776E"/>
    <w:rsid w:val="0065012C"/>
    <w:rsid w:val="0065087B"/>
    <w:rsid w:val="006518C2"/>
    <w:rsid w:val="00651D95"/>
    <w:rsid w:val="006520FA"/>
    <w:rsid w:val="0065236D"/>
    <w:rsid w:val="00653768"/>
    <w:rsid w:val="006548A3"/>
    <w:rsid w:val="00654F61"/>
    <w:rsid w:val="00655E38"/>
    <w:rsid w:val="00656EA5"/>
    <w:rsid w:val="006610DD"/>
    <w:rsid w:val="00661159"/>
    <w:rsid w:val="0066153F"/>
    <w:rsid w:val="006617B2"/>
    <w:rsid w:val="00661B18"/>
    <w:rsid w:val="006628D5"/>
    <w:rsid w:val="00662E99"/>
    <w:rsid w:val="00662F9C"/>
    <w:rsid w:val="006653B4"/>
    <w:rsid w:val="00665DF0"/>
    <w:rsid w:val="006667E0"/>
    <w:rsid w:val="00667259"/>
    <w:rsid w:val="006673A3"/>
    <w:rsid w:val="006673C1"/>
    <w:rsid w:val="00667791"/>
    <w:rsid w:val="00671AC9"/>
    <w:rsid w:val="006723BF"/>
    <w:rsid w:val="00673A32"/>
    <w:rsid w:val="00673DC5"/>
    <w:rsid w:val="00674A1F"/>
    <w:rsid w:val="00674DBE"/>
    <w:rsid w:val="00680768"/>
    <w:rsid w:val="006826C9"/>
    <w:rsid w:val="0068323F"/>
    <w:rsid w:val="00683CC3"/>
    <w:rsid w:val="00684A28"/>
    <w:rsid w:val="00684D3F"/>
    <w:rsid w:val="006867C4"/>
    <w:rsid w:val="006877FA"/>
    <w:rsid w:val="00687D03"/>
    <w:rsid w:val="0069046E"/>
    <w:rsid w:val="006914F9"/>
    <w:rsid w:val="006936E4"/>
    <w:rsid w:val="00693F67"/>
    <w:rsid w:val="0069519E"/>
    <w:rsid w:val="00695EC6"/>
    <w:rsid w:val="006975D3"/>
    <w:rsid w:val="00697F96"/>
    <w:rsid w:val="006A02E0"/>
    <w:rsid w:val="006A0594"/>
    <w:rsid w:val="006A2843"/>
    <w:rsid w:val="006A39C6"/>
    <w:rsid w:val="006A3E0F"/>
    <w:rsid w:val="006A469C"/>
    <w:rsid w:val="006A50BF"/>
    <w:rsid w:val="006A5C1F"/>
    <w:rsid w:val="006A7685"/>
    <w:rsid w:val="006B04D2"/>
    <w:rsid w:val="006B08E2"/>
    <w:rsid w:val="006B160D"/>
    <w:rsid w:val="006B18F2"/>
    <w:rsid w:val="006B1F32"/>
    <w:rsid w:val="006B39F8"/>
    <w:rsid w:val="006B4827"/>
    <w:rsid w:val="006B4C05"/>
    <w:rsid w:val="006B5BDB"/>
    <w:rsid w:val="006C0DAB"/>
    <w:rsid w:val="006C28F8"/>
    <w:rsid w:val="006C2972"/>
    <w:rsid w:val="006C2C62"/>
    <w:rsid w:val="006C323E"/>
    <w:rsid w:val="006C4021"/>
    <w:rsid w:val="006C4F76"/>
    <w:rsid w:val="006C60C0"/>
    <w:rsid w:val="006C6880"/>
    <w:rsid w:val="006D1081"/>
    <w:rsid w:val="006D2157"/>
    <w:rsid w:val="006D3961"/>
    <w:rsid w:val="006D479F"/>
    <w:rsid w:val="006D5D17"/>
    <w:rsid w:val="006D5FF7"/>
    <w:rsid w:val="006E0B0F"/>
    <w:rsid w:val="006E2066"/>
    <w:rsid w:val="006E2980"/>
    <w:rsid w:val="006E3C00"/>
    <w:rsid w:val="006E46AE"/>
    <w:rsid w:val="006E5F09"/>
    <w:rsid w:val="006E7126"/>
    <w:rsid w:val="006E7C7B"/>
    <w:rsid w:val="006F0D33"/>
    <w:rsid w:val="006F26EE"/>
    <w:rsid w:val="006F4608"/>
    <w:rsid w:val="006F5535"/>
    <w:rsid w:val="006F57F8"/>
    <w:rsid w:val="006F5A59"/>
    <w:rsid w:val="006F6802"/>
    <w:rsid w:val="006F7593"/>
    <w:rsid w:val="007008CE"/>
    <w:rsid w:val="00700B89"/>
    <w:rsid w:val="007017BE"/>
    <w:rsid w:val="007019AD"/>
    <w:rsid w:val="007019D7"/>
    <w:rsid w:val="00701C77"/>
    <w:rsid w:val="00703424"/>
    <w:rsid w:val="00704C8A"/>
    <w:rsid w:val="00704C99"/>
    <w:rsid w:val="007062C4"/>
    <w:rsid w:val="00707D40"/>
    <w:rsid w:val="0071172E"/>
    <w:rsid w:val="0071425D"/>
    <w:rsid w:val="007159A4"/>
    <w:rsid w:val="00716B09"/>
    <w:rsid w:val="00716D53"/>
    <w:rsid w:val="00717C0E"/>
    <w:rsid w:val="00722375"/>
    <w:rsid w:val="0072425B"/>
    <w:rsid w:val="00724CCB"/>
    <w:rsid w:val="00725AD3"/>
    <w:rsid w:val="00725FFF"/>
    <w:rsid w:val="0072614F"/>
    <w:rsid w:val="00726FB9"/>
    <w:rsid w:val="007305A7"/>
    <w:rsid w:val="00730B1F"/>
    <w:rsid w:val="0073170D"/>
    <w:rsid w:val="00731D0E"/>
    <w:rsid w:val="00732A5B"/>
    <w:rsid w:val="00732AA8"/>
    <w:rsid w:val="00733D06"/>
    <w:rsid w:val="00734278"/>
    <w:rsid w:val="0073441C"/>
    <w:rsid w:val="0073456F"/>
    <w:rsid w:val="0073674B"/>
    <w:rsid w:val="007367C0"/>
    <w:rsid w:val="007367FB"/>
    <w:rsid w:val="00737676"/>
    <w:rsid w:val="00740BBF"/>
    <w:rsid w:val="00740C85"/>
    <w:rsid w:val="0074116A"/>
    <w:rsid w:val="0074133C"/>
    <w:rsid w:val="00743840"/>
    <w:rsid w:val="00744F98"/>
    <w:rsid w:val="00746415"/>
    <w:rsid w:val="00746E66"/>
    <w:rsid w:val="0074743C"/>
    <w:rsid w:val="007476E9"/>
    <w:rsid w:val="00747F29"/>
    <w:rsid w:val="007506A8"/>
    <w:rsid w:val="0075168E"/>
    <w:rsid w:val="00752633"/>
    <w:rsid w:val="00752F53"/>
    <w:rsid w:val="00752F84"/>
    <w:rsid w:val="0075373E"/>
    <w:rsid w:val="00753A61"/>
    <w:rsid w:val="00755157"/>
    <w:rsid w:val="00756679"/>
    <w:rsid w:val="00757769"/>
    <w:rsid w:val="00760BFD"/>
    <w:rsid w:val="00761B6D"/>
    <w:rsid w:val="0076263C"/>
    <w:rsid w:val="00763305"/>
    <w:rsid w:val="007635FD"/>
    <w:rsid w:val="007637E2"/>
    <w:rsid w:val="00763916"/>
    <w:rsid w:val="00763AEE"/>
    <w:rsid w:val="00771690"/>
    <w:rsid w:val="0077177E"/>
    <w:rsid w:val="00772DC0"/>
    <w:rsid w:val="007747A7"/>
    <w:rsid w:val="0077570C"/>
    <w:rsid w:val="00775B7A"/>
    <w:rsid w:val="00776F5A"/>
    <w:rsid w:val="00777E14"/>
    <w:rsid w:val="00786486"/>
    <w:rsid w:val="00787502"/>
    <w:rsid w:val="00787BAD"/>
    <w:rsid w:val="00787D90"/>
    <w:rsid w:val="0079046F"/>
    <w:rsid w:val="00791E3D"/>
    <w:rsid w:val="00794504"/>
    <w:rsid w:val="007953E1"/>
    <w:rsid w:val="00796944"/>
    <w:rsid w:val="00797007"/>
    <w:rsid w:val="007A0137"/>
    <w:rsid w:val="007A0325"/>
    <w:rsid w:val="007A043C"/>
    <w:rsid w:val="007A0670"/>
    <w:rsid w:val="007A07A7"/>
    <w:rsid w:val="007A0A32"/>
    <w:rsid w:val="007A0A55"/>
    <w:rsid w:val="007A1C04"/>
    <w:rsid w:val="007A26FE"/>
    <w:rsid w:val="007A37E2"/>
    <w:rsid w:val="007A4177"/>
    <w:rsid w:val="007A59AC"/>
    <w:rsid w:val="007A5D3A"/>
    <w:rsid w:val="007A6476"/>
    <w:rsid w:val="007A6627"/>
    <w:rsid w:val="007A7B11"/>
    <w:rsid w:val="007B00C4"/>
    <w:rsid w:val="007B0520"/>
    <w:rsid w:val="007B3243"/>
    <w:rsid w:val="007B365D"/>
    <w:rsid w:val="007B553B"/>
    <w:rsid w:val="007B5FFC"/>
    <w:rsid w:val="007B645A"/>
    <w:rsid w:val="007B6E43"/>
    <w:rsid w:val="007C0256"/>
    <w:rsid w:val="007C0B11"/>
    <w:rsid w:val="007C2FDE"/>
    <w:rsid w:val="007C31FC"/>
    <w:rsid w:val="007C35B1"/>
    <w:rsid w:val="007C3CCD"/>
    <w:rsid w:val="007C5C63"/>
    <w:rsid w:val="007C6021"/>
    <w:rsid w:val="007C60B5"/>
    <w:rsid w:val="007C6816"/>
    <w:rsid w:val="007D0148"/>
    <w:rsid w:val="007D0315"/>
    <w:rsid w:val="007D0A39"/>
    <w:rsid w:val="007D22DA"/>
    <w:rsid w:val="007D23EE"/>
    <w:rsid w:val="007D245B"/>
    <w:rsid w:val="007D3CD4"/>
    <w:rsid w:val="007D3FBD"/>
    <w:rsid w:val="007D4759"/>
    <w:rsid w:val="007D53AD"/>
    <w:rsid w:val="007D555D"/>
    <w:rsid w:val="007D55B9"/>
    <w:rsid w:val="007D5EED"/>
    <w:rsid w:val="007D6351"/>
    <w:rsid w:val="007D6832"/>
    <w:rsid w:val="007D6B0C"/>
    <w:rsid w:val="007D6CA6"/>
    <w:rsid w:val="007D76F3"/>
    <w:rsid w:val="007E055F"/>
    <w:rsid w:val="007E3FB7"/>
    <w:rsid w:val="007E4A4E"/>
    <w:rsid w:val="007E4B03"/>
    <w:rsid w:val="007E5C08"/>
    <w:rsid w:val="007E5C2E"/>
    <w:rsid w:val="007E66BB"/>
    <w:rsid w:val="007F087A"/>
    <w:rsid w:val="007F103E"/>
    <w:rsid w:val="007F2069"/>
    <w:rsid w:val="007F28E3"/>
    <w:rsid w:val="007F37AF"/>
    <w:rsid w:val="007F3AFE"/>
    <w:rsid w:val="007F6C84"/>
    <w:rsid w:val="007F737B"/>
    <w:rsid w:val="007F7F1A"/>
    <w:rsid w:val="00800A7C"/>
    <w:rsid w:val="008011A3"/>
    <w:rsid w:val="008030DB"/>
    <w:rsid w:val="0080401E"/>
    <w:rsid w:val="008046D2"/>
    <w:rsid w:val="00805712"/>
    <w:rsid w:val="00805C06"/>
    <w:rsid w:val="00805C9E"/>
    <w:rsid w:val="00806561"/>
    <w:rsid w:val="00806AFD"/>
    <w:rsid w:val="008074C3"/>
    <w:rsid w:val="00807FAB"/>
    <w:rsid w:val="00810CE6"/>
    <w:rsid w:val="0081119F"/>
    <w:rsid w:val="0081148A"/>
    <w:rsid w:val="008118AD"/>
    <w:rsid w:val="008143B1"/>
    <w:rsid w:val="00815716"/>
    <w:rsid w:val="00816C5D"/>
    <w:rsid w:val="00816E01"/>
    <w:rsid w:val="00817873"/>
    <w:rsid w:val="0082109B"/>
    <w:rsid w:val="00821848"/>
    <w:rsid w:val="00823AE0"/>
    <w:rsid w:val="008241AC"/>
    <w:rsid w:val="00824C04"/>
    <w:rsid w:val="00824E0E"/>
    <w:rsid w:val="008251AF"/>
    <w:rsid w:val="008251FC"/>
    <w:rsid w:val="008252F7"/>
    <w:rsid w:val="008258C3"/>
    <w:rsid w:val="00825D2D"/>
    <w:rsid w:val="00827655"/>
    <w:rsid w:val="00827A56"/>
    <w:rsid w:val="00830269"/>
    <w:rsid w:val="00830C8B"/>
    <w:rsid w:val="00830D0A"/>
    <w:rsid w:val="00831C8B"/>
    <w:rsid w:val="008337ED"/>
    <w:rsid w:val="00833A3D"/>
    <w:rsid w:val="00833F17"/>
    <w:rsid w:val="00834EC3"/>
    <w:rsid w:val="00836224"/>
    <w:rsid w:val="00840B43"/>
    <w:rsid w:val="00840C79"/>
    <w:rsid w:val="0084132B"/>
    <w:rsid w:val="00844465"/>
    <w:rsid w:val="00844E6B"/>
    <w:rsid w:val="00847BC3"/>
    <w:rsid w:val="008508F6"/>
    <w:rsid w:val="0085206A"/>
    <w:rsid w:val="008536E6"/>
    <w:rsid w:val="00854FD7"/>
    <w:rsid w:val="008553DE"/>
    <w:rsid w:val="0085588D"/>
    <w:rsid w:val="00857C4F"/>
    <w:rsid w:val="00860E28"/>
    <w:rsid w:val="0086115D"/>
    <w:rsid w:val="008611BF"/>
    <w:rsid w:val="00862116"/>
    <w:rsid w:val="0086256A"/>
    <w:rsid w:val="00863BBA"/>
    <w:rsid w:val="00864403"/>
    <w:rsid w:val="0086513E"/>
    <w:rsid w:val="008653BC"/>
    <w:rsid w:val="00866386"/>
    <w:rsid w:val="00867820"/>
    <w:rsid w:val="00870503"/>
    <w:rsid w:val="00871586"/>
    <w:rsid w:val="00871941"/>
    <w:rsid w:val="008720F5"/>
    <w:rsid w:val="00874DD2"/>
    <w:rsid w:val="00874E69"/>
    <w:rsid w:val="008800C2"/>
    <w:rsid w:val="00880507"/>
    <w:rsid w:val="00881ECC"/>
    <w:rsid w:val="00882978"/>
    <w:rsid w:val="008829AF"/>
    <w:rsid w:val="008829EE"/>
    <w:rsid w:val="008831AA"/>
    <w:rsid w:val="00883AD9"/>
    <w:rsid w:val="00886CBA"/>
    <w:rsid w:val="0088752D"/>
    <w:rsid w:val="00892249"/>
    <w:rsid w:val="0089226E"/>
    <w:rsid w:val="008929C0"/>
    <w:rsid w:val="00892B7B"/>
    <w:rsid w:val="00893F10"/>
    <w:rsid w:val="00894F8C"/>
    <w:rsid w:val="00896B83"/>
    <w:rsid w:val="00896B95"/>
    <w:rsid w:val="00897588"/>
    <w:rsid w:val="008A037E"/>
    <w:rsid w:val="008A1123"/>
    <w:rsid w:val="008A17D4"/>
    <w:rsid w:val="008A1DFD"/>
    <w:rsid w:val="008A29C8"/>
    <w:rsid w:val="008A2B4A"/>
    <w:rsid w:val="008A343A"/>
    <w:rsid w:val="008A509D"/>
    <w:rsid w:val="008A625B"/>
    <w:rsid w:val="008B1306"/>
    <w:rsid w:val="008B16F1"/>
    <w:rsid w:val="008B1A98"/>
    <w:rsid w:val="008B4F9E"/>
    <w:rsid w:val="008B4FAD"/>
    <w:rsid w:val="008C2AB5"/>
    <w:rsid w:val="008C2EAF"/>
    <w:rsid w:val="008C6A07"/>
    <w:rsid w:val="008D0770"/>
    <w:rsid w:val="008D0BFC"/>
    <w:rsid w:val="008D3462"/>
    <w:rsid w:val="008D4B10"/>
    <w:rsid w:val="008D5916"/>
    <w:rsid w:val="008D5B82"/>
    <w:rsid w:val="008D6B0A"/>
    <w:rsid w:val="008D6C40"/>
    <w:rsid w:val="008D7D34"/>
    <w:rsid w:val="008E0310"/>
    <w:rsid w:val="008E248B"/>
    <w:rsid w:val="008E38CB"/>
    <w:rsid w:val="008E54EE"/>
    <w:rsid w:val="008E5DDC"/>
    <w:rsid w:val="008F0A7E"/>
    <w:rsid w:val="008F1052"/>
    <w:rsid w:val="008F38F1"/>
    <w:rsid w:val="008F3F25"/>
    <w:rsid w:val="008F40E3"/>
    <w:rsid w:val="008F58AD"/>
    <w:rsid w:val="008F7481"/>
    <w:rsid w:val="00901F26"/>
    <w:rsid w:val="00902EAB"/>
    <w:rsid w:val="00904174"/>
    <w:rsid w:val="0090594E"/>
    <w:rsid w:val="00906DB4"/>
    <w:rsid w:val="00906F46"/>
    <w:rsid w:val="00907907"/>
    <w:rsid w:val="00907C2C"/>
    <w:rsid w:val="009101BE"/>
    <w:rsid w:val="0091068C"/>
    <w:rsid w:val="00910CDA"/>
    <w:rsid w:val="00910FA6"/>
    <w:rsid w:val="00911A91"/>
    <w:rsid w:val="00912B88"/>
    <w:rsid w:val="00912EA3"/>
    <w:rsid w:val="00913DEA"/>
    <w:rsid w:val="009141C3"/>
    <w:rsid w:val="00914C40"/>
    <w:rsid w:val="0091586B"/>
    <w:rsid w:val="00915AB3"/>
    <w:rsid w:val="00916ABC"/>
    <w:rsid w:val="009177C9"/>
    <w:rsid w:val="00920710"/>
    <w:rsid w:val="00920AA8"/>
    <w:rsid w:val="00921E59"/>
    <w:rsid w:val="009220DB"/>
    <w:rsid w:val="00922C7A"/>
    <w:rsid w:val="00922E10"/>
    <w:rsid w:val="00923B48"/>
    <w:rsid w:val="00923FE7"/>
    <w:rsid w:val="00925065"/>
    <w:rsid w:val="0092722D"/>
    <w:rsid w:val="00930AAD"/>
    <w:rsid w:val="009318F4"/>
    <w:rsid w:val="009327FF"/>
    <w:rsid w:val="0093311B"/>
    <w:rsid w:val="0093382F"/>
    <w:rsid w:val="00934218"/>
    <w:rsid w:val="00934B16"/>
    <w:rsid w:val="00934DCA"/>
    <w:rsid w:val="00935A1F"/>
    <w:rsid w:val="009369CF"/>
    <w:rsid w:val="00937F45"/>
    <w:rsid w:val="00942C27"/>
    <w:rsid w:val="0094308F"/>
    <w:rsid w:val="009433A2"/>
    <w:rsid w:val="00943809"/>
    <w:rsid w:val="0094482E"/>
    <w:rsid w:val="0094599C"/>
    <w:rsid w:val="00946F2B"/>
    <w:rsid w:val="0094744B"/>
    <w:rsid w:val="00950475"/>
    <w:rsid w:val="0095274A"/>
    <w:rsid w:val="00953313"/>
    <w:rsid w:val="00954489"/>
    <w:rsid w:val="00955D09"/>
    <w:rsid w:val="0095684B"/>
    <w:rsid w:val="00957016"/>
    <w:rsid w:val="00957C91"/>
    <w:rsid w:val="0096051D"/>
    <w:rsid w:val="009614AC"/>
    <w:rsid w:val="00962310"/>
    <w:rsid w:val="009633AC"/>
    <w:rsid w:val="0096655C"/>
    <w:rsid w:val="00967459"/>
    <w:rsid w:val="00970AB1"/>
    <w:rsid w:val="00971362"/>
    <w:rsid w:val="00973701"/>
    <w:rsid w:val="00973CC2"/>
    <w:rsid w:val="00975766"/>
    <w:rsid w:val="009760F3"/>
    <w:rsid w:val="00976649"/>
    <w:rsid w:val="00976789"/>
    <w:rsid w:val="009777BF"/>
    <w:rsid w:val="00977D6A"/>
    <w:rsid w:val="0098109E"/>
    <w:rsid w:val="009815DD"/>
    <w:rsid w:val="00982338"/>
    <w:rsid w:val="00982AB8"/>
    <w:rsid w:val="009834C4"/>
    <w:rsid w:val="00983B05"/>
    <w:rsid w:val="0098420D"/>
    <w:rsid w:val="00990250"/>
    <w:rsid w:val="009929E5"/>
    <w:rsid w:val="00993B1E"/>
    <w:rsid w:val="00994B2F"/>
    <w:rsid w:val="00995EB8"/>
    <w:rsid w:val="009A08A5"/>
    <w:rsid w:val="009A2ADE"/>
    <w:rsid w:val="009A2F39"/>
    <w:rsid w:val="009A309B"/>
    <w:rsid w:val="009A3351"/>
    <w:rsid w:val="009A35A1"/>
    <w:rsid w:val="009A3F32"/>
    <w:rsid w:val="009A5B7A"/>
    <w:rsid w:val="009A6A24"/>
    <w:rsid w:val="009B03FA"/>
    <w:rsid w:val="009B07FF"/>
    <w:rsid w:val="009B30D1"/>
    <w:rsid w:val="009B3B9B"/>
    <w:rsid w:val="009B511E"/>
    <w:rsid w:val="009B532D"/>
    <w:rsid w:val="009B59FC"/>
    <w:rsid w:val="009B5DEB"/>
    <w:rsid w:val="009B5F19"/>
    <w:rsid w:val="009B628A"/>
    <w:rsid w:val="009B6EC3"/>
    <w:rsid w:val="009B76F8"/>
    <w:rsid w:val="009C09B3"/>
    <w:rsid w:val="009C0E36"/>
    <w:rsid w:val="009C1F86"/>
    <w:rsid w:val="009C30BC"/>
    <w:rsid w:val="009C62FF"/>
    <w:rsid w:val="009C7A0D"/>
    <w:rsid w:val="009D0895"/>
    <w:rsid w:val="009D0A05"/>
    <w:rsid w:val="009D2BF0"/>
    <w:rsid w:val="009D3232"/>
    <w:rsid w:val="009D3641"/>
    <w:rsid w:val="009D369F"/>
    <w:rsid w:val="009D4175"/>
    <w:rsid w:val="009D423A"/>
    <w:rsid w:val="009D5212"/>
    <w:rsid w:val="009D5F64"/>
    <w:rsid w:val="009D693B"/>
    <w:rsid w:val="009D715C"/>
    <w:rsid w:val="009E0557"/>
    <w:rsid w:val="009E19A8"/>
    <w:rsid w:val="009E1BFE"/>
    <w:rsid w:val="009E2028"/>
    <w:rsid w:val="009E2052"/>
    <w:rsid w:val="009E235F"/>
    <w:rsid w:val="009E2DE3"/>
    <w:rsid w:val="009E44BE"/>
    <w:rsid w:val="009E5F15"/>
    <w:rsid w:val="009E6123"/>
    <w:rsid w:val="009E6795"/>
    <w:rsid w:val="009E710E"/>
    <w:rsid w:val="009E7524"/>
    <w:rsid w:val="009E7B8C"/>
    <w:rsid w:val="009F006E"/>
    <w:rsid w:val="009F05AC"/>
    <w:rsid w:val="009F0AD6"/>
    <w:rsid w:val="009F18EA"/>
    <w:rsid w:val="009F2161"/>
    <w:rsid w:val="009F2DC1"/>
    <w:rsid w:val="009F3C03"/>
    <w:rsid w:val="009F4DEC"/>
    <w:rsid w:val="009F5251"/>
    <w:rsid w:val="009F53E4"/>
    <w:rsid w:val="009F5873"/>
    <w:rsid w:val="009F6F12"/>
    <w:rsid w:val="009F721E"/>
    <w:rsid w:val="009F7FD2"/>
    <w:rsid w:val="00A00E17"/>
    <w:rsid w:val="00A01367"/>
    <w:rsid w:val="00A02E23"/>
    <w:rsid w:val="00A0363A"/>
    <w:rsid w:val="00A03CAF"/>
    <w:rsid w:val="00A049BB"/>
    <w:rsid w:val="00A04C37"/>
    <w:rsid w:val="00A04E21"/>
    <w:rsid w:val="00A069D1"/>
    <w:rsid w:val="00A10C76"/>
    <w:rsid w:val="00A10EF9"/>
    <w:rsid w:val="00A1161B"/>
    <w:rsid w:val="00A12433"/>
    <w:rsid w:val="00A12620"/>
    <w:rsid w:val="00A130A5"/>
    <w:rsid w:val="00A13F48"/>
    <w:rsid w:val="00A157C7"/>
    <w:rsid w:val="00A15C98"/>
    <w:rsid w:val="00A1792D"/>
    <w:rsid w:val="00A20DDB"/>
    <w:rsid w:val="00A2172A"/>
    <w:rsid w:val="00A222D3"/>
    <w:rsid w:val="00A2400F"/>
    <w:rsid w:val="00A2477E"/>
    <w:rsid w:val="00A254B0"/>
    <w:rsid w:val="00A25BD1"/>
    <w:rsid w:val="00A26514"/>
    <w:rsid w:val="00A26EFD"/>
    <w:rsid w:val="00A2710F"/>
    <w:rsid w:val="00A31EAB"/>
    <w:rsid w:val="00A320BA"/>
    <w:rsid w:val="00A32E65"/>
    <w:rsid w:val="00A33A31"/>
    <w:rsid w:val="00A33ED5"/>
    <w:rsid w:val="00A343A9"/>
    <w:rsid w:val="00A34770"/>
    <w:rsid w:val="00A349F0"/>
    <w:rsid w:val="00A35838"/>
    <w:rsid w:val="00A36B79"/>
    <w:rsid w:val="00A42351"/>
    <w:rsid w:val="00A423CF"/>
    <w:rsid w:val="00A4243B"/>
    <w:rsid w:val="00A42FAA"/>
    <w:rsid w:val="00A44EE6"/>
    <w:rsid w:val="00A452D1"/>
    <w:rsid w:val="00A45C6D"/>
    <w:rsid w:val="00A45D70"/>
    <w:rsid w:val="00A45ECA"/>
    <w:rsid w:val="00A4604B"/>
    <w:rsid w:val="00A461A2"/>
    <w:rsid w:val="00A466A6"/>
    <w:rsid w:val="00A46919"/>
    <w:rsid w:val="00A46E82"/>
    <w:rsid w:val="00A46ED2"/>
    <w:rsid w:val="00A47BAB"/>
    <w:rsid w:val="00A5162C"/>
    <w:rsid w:val="00A51EA9"/>
    <w:rsid w:val="00A53450"/>
    <w:rsid w:val="00A54C96"/>
    <w:rsid w:val="00A55FE6"/>
    <w:rsid w:val="00A56FAA"/>
    <w:rsid w:val="00A57F25"/>
    <w:rsid w:val="00A6007F"/>
    <w:rsid w:val="00A61B8C"/>
    <w:rsid w:val="00A622AC"/>
    <w:rsid w:val="00A63EDF"/>
    <w:rsid w:val="00A658A1"/>
    <w:rsid w:val="00A66C8B"/>
    <w:rsid w:val="00A66EF2"/>
    <w:rsid w:val="00A70EE4"/>
    <w:rsid w:val="00A71306"/>
    <w:rsid w:val="00A71987"/>
    <w:rsid w:val="00A7278D"/>
    <w:rsid w:val="00A72D31"/>
    <w:rsid w:val="00A73571"/>
    <w:rsid w:val="00A73624"/>
    <w:rsid w:val="00A7449B"/>
    <w:rsid w:val="00A745BA"/>
    <w:rsid w:val="00A74617"/>
    <w:rsid w:val="00A74F48"/>
    <w:rsid w:val="00A760B3"/>
    <w:rsid w:val="00A7722E"/>
    <w:rsid w:val="00A80E33"/>
    <w:rsid w:val="00A80F99"/>
    <w:rsid w:val="00A81657"/>
    <w:rsid w:val="00A816DD"/>
    <w:rsid w:val="00A83BC4"/>
    <w:rsid w:val="00A84E69"/>
    <w:rsid w:val="00A86225"/>
    <w:rsid w:val="00A86EF1"/>
    <w:rsid w:val="00A90376"/>
    <w:rsid w:val="00A9085F"/>
    <w:rsid w:val="00A91008"/>
    <w:rsid w:val="00A91A22"/>
    <w:rsid w:val="00A92B37"/>
    <w:rsid w:val="00A94E5F"/>
    <w:rsid w:val="00A96A79"/>
    <w:rsid w:val="00A96B0F"/>
    <w:rsid w:val="00A96C07"/>
    <w:rsid w:val="00AA04CA"/>
    <w:rsid w:val="00AA0EB9"/>
    <w:rsid w:val="00AA1CF7"/>
    <w:rsid w:val="00AA3D33"/>
    <w:rsid w:val="00AA411B"/>
    <w:rsid w:val="00AA41E3"/>
    <w:rsid w:val="00AA4F88"/>
    <w:rsid w:val="00AB0A4C"/>
    <w:rsid w:val="00AB2684"/>
    <w:rsid w:val="00AB323B"/>
    <w:rsid w:val="00AB345E"/>
    <w:rsid w:val="00AB469B"/>
    <w:rsid w:val="00AB60A3"/>
    <w:rsid w:val="00AB78C7"/>
    <w:rsid w:val="00AC0280"/>
    <w:rsid w:val="00AC17A5"/>
    <w:rsid w:val="00AC2711"/>
    <w:rsid w:val="00AC2B82"/>
    <w:rsid w:val="00AC2D6B"/>
    <w:rsid w:val="00AC3E2F"/>
    <w:rsid w:val="00AC3EFB"/>
    <w:rsid w:val="00AC4814"/>
    <w:rsid w:val="00AC5A3B"/>
    <w:rsid w:val="00AC61B1"/>
    <w:rsid w:val="00AD0388"/>
    <w:rsid w:val="00AD11A6"/>
    <w:rsid w:val="00AD121B"/>
    <w:rsid w:val="00AD1571"/>
    <w:rsid w:val="00AD3708"/>
    <w:rsid w:val="00AD50D4"/>
    <w:rsid w:val="00AD5AA7"/>
    <w:rsid w:val="00AD67E7"/>
    <w:rsid w:val="00AD6FA8"/>
    <w:rsid w:val="00AD74A2"/>
    <w:rsid w:val="00AD7764"/>
    <w:rsid w:val="00AD7A53"/>
    <w:rsid w:val="00AE1007"/>
    <w:rsid w:val="00AE10AE"/>
    <w:rsid w:val="00AE1B08"/>
    <w:rsid w:val="00AE2178"/>
    <w:rsid w:val="00AE22D9"/>
    <w:rsid w:val="00AE3EAA"/>
    <w:rsid w:val="00AE5051"/>
    <w:rsid w:val="00AE5100"/>
    <w:rsid w:val="00AE67F1"/>
    <w:rsid w:val="00AE78FB"/>
    <w:rsid w:val="00AF0344"/>
    <w:rsid w:val="00AF05FC"/>
    <w:rsid w:val="00AF0869"/>
    <w:rsid w:val="00AF1E14"/>
    <w:rsid w:val="00AF27D5"/>
    <w:rsid w:val="00AF2A14"/>
    <w:rsid w:val="00AF3024"/>
    <w:rsid w:val="00AF4E23"/>
    <w:rsid w:val="00AF51A5"/>
    <w:rsid w:val="00AF5308"/>
    <w:rsid w:val="00AF5724"/>
    <w:rsid w:val="00AF5F74"/>
    <w:rsid w:val="00AF5F89"/>
    <w:rsid w:val="00AF6B1D"/>
    <w:rsid w:val="00B00A2C"/>
    <w:rsid w:val="00B01507"/>
    <w:rsid w:val="00B022BE"/>
    <w:rsid w:val="00B031B3"/>
    <w:rsid w:val="00B035FB"/>
    <w:rsid w:val="00B055F5"/>
    <w:rsid w:val="00B05AA6"/>
    <w:rsid w:val="00B0614E"/>
    <w:rsid w:val="00B066D7"/>
    <w:rsid w:val="00B0678E"/>
    <w:rsid w:val="00B07538"/>
    <w:rsid w:val="00B07C9D"/>
    <w:rsid w:val="00B10190"/>
    <w:rsid w:val="00B10254"/>
    <w:rsid w:val="00B10A90"/>
    <w:rsid w:val="00B13964"/>
    <w:rsid w:val="00B147F1"/>
    <w:rsid w:val="00B16865"/>
    <w:rsid w:val="00B16FF7"/>
    <w:rsid w:val="00B17E7A"/>
    <w:rsid w:val="00B213D8"/>
    <w:rsid w:val="00B221A6"/>
    <w:rsid w:val="00B23E58"/>
    <w:rsid w:val="00B23F7D"/>
    <w:rsid w:val="00B2551F"/>
    <w:rsid w:val="00B258C7"/>
    <w:rsid w:val="00B26DD2"/>
    <w:rsid w:val="00B26E89"/>
    <w:rsid w:val="00B27409"/>
    <w:rsid w:val="00B30040"/>
    <w:rsid w:val="00B34CA6"/>
    <w:rsid w:val="00B35888"/>
    <w:rsid w:val="00B374AD"/>
    <w:rsid w:val="00B40FA4"/>
    <w:rsid w:val="00B41249"/>
    <w:rsid w:val="00B41BB8"/>
    <w:rsid w:val="00B42169"/>
    <w:rsid w:val="00B44C4A"/>
    <w:rsid w:val="00B45928"/>
    <w:rsid w:val="00B46125"/>
    <w:rsid w:val="00B510F7"/>
    <w:rsid w:val="00B51380"/>
    <w:rsid w:val="00B51EE8"/>
    <w:rsid w:val="00B53210"/>
    <w:rsid w:val="00B53CDE"/>
    <w:rsid w:val="00B54B51"/>
    <w:rsid w:val="00B55104"/>
    <w:rsid w:val="00B55E2E"/>
    <w:rsid w:val="00B56C2F"/>
    <w:rsid w:val="00B602CE"/>
    <w:rsid w:val="00B610C8"/>
    <w:rsid w:val="00B62AA9"/>
    <w:rsid w:val="00B633D7"/>
    <w:rsid w:val="00B646B4"/>
    <w:rsid w:val="00B64D84"/>
    <w:rsid w:val="00B64E4A"/>
    <w:rsid w:val="00B666B1"/>
    <w:rsid w:val="00B67AF6"/>
    <w:rsid w:val="00B72ECD"/>
    <w:rsid w:val="00B73405"/>
    <w:rsid w:val="00B73B2D"/>
    <w:rsid w:val="00B74D03"/>
    <w:rsid w:val="00B74F7A"/>
    <w:rsid w:val="00B753D4"/>
    <w:rsid w:val="00B75B89"/>
    <w:rsid w:val="00B76709"/>
    <w:rsid w:val="00B76FFE"/>
    <w:rsid w:val="00B80B67"/>
    <w:rsid w:val="00B8140A"/>
    <w:rsid w:val="00B81410"/>
    <w:rsid w:val="00B816BB"/>
    <w:rsid w:val="00B8475D"/>
    <w:rsid w:val="00B8520C"/>
    <w:rsid w:val="00B87183"/>
    <w:rsid w:val="00B90F2A"/>
    <w:rsid w:val="00B91DFD"/>
    <w:rsid w:val="00B9356C"/>
    <w:rsid w:val="00B937BE"/>
    <w:rsid w:val="00B9449C"/>
    <w:rsid w:val="00B94ADA"/>
    <w:rsid w:val="00B95904"/>
    <w:rsid w:val="00B96C30"/>
    <w:rsid w:val="00B97F87"/>
    <w:rsid w:val="00BA106C"/>
    <w:rsid w:val="00BA24D6"/>
    <w:rsid w:val="00BA2B3D"/>
    <w:rsid w:val="00BA2BF9"/>
    <w:rsid w:val="00BA2C32"/>
    <w:rsid w:val="00BA3535"/>
    <w:rsid w:val="00BA3EAD"/>
    <w:rsid w:val="00BA5127"/>
    <w:rsid w:val="00BA5FBE"/>
    <w:rsid w:val="00BA65B2"/>
    <w:rsid w:val="00BA67B2"/>
    <w:rsid w:val="00BA778A"/>
    <w:rsid w:val="00BB0343"/>
    <w:rsid w:val="00BB19A1"/>
    <w:rsid w:val="00BB2A51"/>
    <w:rsid w:val="00BB340D"/>
    <w:rsid w:val="00BB4B6B"/>
    <w:rsid w:val="00BB5E86"/>
    <w:rsid w:val="00BB7368"/>
    <w:rsid w:val="00BC17C0"/>
    <w:rsid w:val="00BC2179"/>
    <w:rsid w:val="00BC2874"/>
    <w:rsid w:val="00BC3DE4"/>
    <w:rsid w:val="00BC538B"/>
    <w:rsid w:val="00BC56AC"/>
    <w:rsid w:val="00BC68B4"/>
    <w:rsid w:val="00BD1603"/>
    <w:rsid w:val="00BD2413"/>
    <w:rsid w:val="00BD2DE0"/>
    <w:rsid w:val="00BD3848"/>
    <w:rsid w:val="00BD6C12"/>
    <w:rsid w:val="00BD703C"/>
    <w:rsid w:val="00BE0197"/>
    <w:rsid w:val="00BE0BFA"/>
    <w:rsid w:val="00BE62A9"/>
    <w:rsid w:val="00BE7945"/>
    <w:rsid w:val="00BF044B"/>
    <w:rsid w:val="00BF0465"/>
    <w:rsid w:val="00BF13B9"/>
    <w:rsid w:val="00BF2A1F"/>
    <w:rsid w:val="00BF2C78"/>
    <w:rsid w:val="00BF2E81"/>
    <w:rsid w:val="00BF2E87"/>
    <w:rsid w:val="00BF4C25"/>
    <w:rsid w:val="00BF4CDD"/>
    <w:rsid w:val="00BF4CE2"/>
    <w:rsid w:val="00BF605F"/>
    <w:rsid w:val="00BF63CD"/>
    <w:rsid w:val="00BF6578"/>
    <w:rsid w:val="00C00304"/>
    <w:rsid w:val="00C005C6"/>
    <w:rsid w:val="00C0073A"/>
    <w:rsid w:val="00C0132E"/>
    <w:rsid w:val="00C01683"/>
    <w:rsid w:val="00C01FAF"/>
    <w:rsid w:val="00C0222F"/>
    <w:rsid w:val="00C02788"/>
    <w:rsid w:val="00C02A15"/>
    <w:rsid w:val="00C02A85"/>
    <w:rsid w:val="00C0374D"/>
    <w:rsid w:val="00C03A44"/>
    <w:rsid w:val="00C07AD2"/>
    <w:rsid w:val="00C07E8C"/>
    <w:rsid w:val="00C10347"/>
    <w:rsid w:val="00C122F2"/>
    <w:rsid w:val="00C134C3"/>
    <w:rsid w:val="00C14823"/>
    <w:rsid w:val="00C14971"/>
    <w:rsid w:val="00C16AAD"/>
    <w:rsid w:val="00C16F94"/>
    <w:rsid w:val="00C177E2"/>
    <w:rsid w:val="00C20BB4"/>
    <w:rsid w:val="00C20E13"/>
    <w:rsid w:val="00C211C3"/>
    <w:rsid w:val="00C22B99"/>
    <w:rsid w:val="00C255D4"/>
    <w:rsid w:val="00C2568C"/>
    <w:rsid w:val="00C26577"/>
    <w:rsid w:val="00C2681A"/>
    <w:rsid w:val="00C27896"/>
    <w:rsid w:val="00C27D30"/>
    <w:rsid w:val="00C31CA0"/>
    <w:rsid w:val="00C341AA"/>
    <w:rsid w:val="00C3636C"/>
    <w:rsid w:val="00C36933"/>
    <w:rsid w:val="00C37417"/>
    <w:rsid w:val="00C407A0"/>
    <w:rsid w:val="00C40ABA"/>
    <w:rsid w:val="00C40C6B"/>
    <w:rsid w:val="00C411B6"/>
    <w:rsid w:val="00C41381"/>
    <w:rsid w:val="00C41C36"/>
    <w:rsid w:val="00C42EFC"/>
    <w:rsid w:val="00C434D0"/>
    <w:rsid w:val="00C43611"/>
    <w:rsid w:val="00C43812"/>
    <w:rsid w:val="00C43F27"/>
    <w:rsid w:val="00C441A0"/>
    <w:rsid w:val="00C444DB"/>
    <w:rsid w:val="00C44CD0"/>
    <w:rsid w:val="00C44DAE"/>
    <w:rsid w:val="00C470BA"/>
    <w:rsid w:val="00C47849"/>
    <w:rsid w:val="00C501BF"/>
    <w:rsid w:val="00C50F53"/>
    <w:rsid w:val="00C510A7"/>
    <w:rsid w:val="00C51D09"/>
    <w:rsid w:val="00C522EF"/>
    <w:rsid w:val="00C526EC"/>
    <w:rsid w:val="00C54833"/>
    <w:rsid w:val="00C56130"/>
    <w:rsid w:val="00C56362"/>
    <w:rsid w:val="00C56A3D"/>
    <w:rsid w:val="00C56E42"/>
    <w:rsid w:val="00C6206D"/>
    <w:rsid w:val="00C62FBA"/>
    <w:rsid w:val="00C64962"/>
    <w:rsid w:val="00C66333"/>
    <w:rsid w:val="00C66FB0"/>
    <w:rsid w:val="00C67E5B"/>
    <w:rsid w:val="00C7083E"/>
    <w:rsid w:val="00C7121A"/>
    <w:rsid w:val="00C714BD"/>
    <w:rsid w:val="00C71D23"/>
    <w:rsid w:val="00C74711"/>
    <w:rsid w:val="00C75301"/>
    <w:rsid w:val="00C7724E"/>
    <w:rsid w:val="00C776B5"/>
    <w:rsid w:val="00C77EBF"/>
    <w:rsid w:val="00C80FCE"/>
    <w:rsid w:val="00C810B4"/>
    <w:rsid w:val="00C81531"/>
    <w:rsid w:val="00C83E96"/>
    <w:rsid w:val="00C848B4"/>
    <w:rsid w:val="00C854E7"/>
    <w:rsid w:val="00C85719"/>
    <w:rsid w:val="00C86D07"/>
    <w:rsid w:val="00C871B6"/>
    <w:rsid w:val="00C90A1C"/>
    <w:rsid w:val="00C9275A"/>
    <w:rsid w:val="00C92902"/>
    <w:rsid w:val="00C92E0C"/>
    <w:rsid w:val="00C93067"/>
    <w:rsid w:val="00C9367E"/>
    <w:rsid w:val="00C93989"/>
    <w:rsid w:val="00C951CC"/>
    <w:rsid w:val="00C95EE8"/>
    <w:rsid w:val="00C963D1"/>
    <w:rsid w:val="00C971F6"/>
    <w:rsid w:val="00C97DB8"/>
    <w:rsid w:val="00CA0DF2"/>
    <w:rsid w:val="00CA1833"/>
    <w:rsid w:val="00CA1E8A"/>
    <w:rsid w:val="00CA2DE8"/>
    <w:rsid w:val="00CA321B"/>
    <w:rsid w:val="00CA3E49"/>
    <w:rsid w:val="00CA4043"/>
    <w:rsid w:val="00CA4C22"/>
    <w:rsid w:val="00CA5149"/>
    <w:rsid w:val="00CA5842"/>
    <w:rsid w:val="00CA5886"/>
    <w:rsid w:val="00CA667D"/>
    <w:rsid w:val="00CA70F9"/>
    <w:rsid w:val="00CB2974"/>
    <w:rsid w:val="00CB2C78"/>
    <w:rsid w:val="00CB309C"/>
    <w:rsid w:val="00CB3548"/>
    <w:rsid w:val="00CB4177"/>
    <w:rsid w:val="00CB57F8"/>
    <w:rsid w:val="00CB62FE"/>
    <w:rsid w:val="00CB67F7"/>
    <w:rsid w:val="00CB6D09"/>
    <w:rsid w:val="00CC037F"/>
    <w:rsid w:val="00CC169B"/>
    <w:rsid w:val="00CC2C73"/>
    <w:rsid w:val="00CC3107"/>
    <w:rsid w:val="00CC3C43"/>
    <w:rsid w:val="00CC507D"/>
    <w:rsid w:val="00CC61EE"/>
    <w:rsid w:val="00CD07CB"/>
    <w:rsid w:val="00CD0C7B"/>
    <w:rsid w:val="00CD12A5"/>
    <w:rsid w:val="00CD157B"/>
    <w:rsid w:val="00CD164C"/>
    <w:rsid w:val="00CD28D6"/>
    <w:rsid w:val="00CD40CA"/>
    <w:rsid w:val="00CD41A5"/>
    <w:rsid w:val="00CD48BB"/>
    <w:rsid w:val="00CD4918"/>
    <w:rsid w:val="00CD4F05"/>
    <w:rsid w:val="00CD5089"/>
    <w:rsid w:val="00CD5350"/>
    <w:rsid w:val="00CD7673"/>
    <w:rsid w:val="00CE3760"/>
    <w:rsid w:val="00CE4E3A"/>
    <w:rsid w:val="00CE5DB7"/>
    <w:rsid w:val="00CE61C1"/>
    <w:rsid w:val="00CE72FD"/>
    <w:rsid w:val="00CE7868"/>
    <w:rsid w:val="00CF12E0"/>
    <w:rsid w:val="00CF1746"/>
    <w:rsid w:val="00CF2E93"/>
    <w:rsid w:val="00CF3924"/>
    <w:rsid w:val="00CF4218"/>
    <w:rsid w:val="00CF4793"/>
    <w:rsid w:val="00CF4F86"/>
    <w:rsid w:val="00CF5275"/>
    <w:rsid w:val="00CF5955"/>
    <w:rsid w:val="00CF7348"/>
    <w:rsid w:val="00CF7D68"/>
    <w:rsid w:val="00D00502"/>
    <w:rsid w:val="00D024EE"/>
    <w:rsid w:val="00D03DA2"/>
    <w:rsid w:val="00D06E48"/>
    <w:rsid w:val="00D103FD"/>
    <w:rsid w:val="00D105CF"/>
    <w:rsid w:val="00D1092F"/>
    <w:rsid w:val="00D120EA"/>
    <w:rsid w:val="00D1240D"/>
    <w:rsid w:val="00D12B21"/>
    <w:rsid w:val="00D137E7"/>
    <w:rsid w:val="00D13CC1"/>
    <w:rsid w:val="00D13CDE"/>
    <w:rsid w:val="00D140DE"/>
    <w:rsid w:val="00D146DB"/>
    <w:rsid w:val="00D148D4"/>
    <w:rsid w:val="00D14B76"/>
    <w:rsid w:val="00D1527D"/>
    <w:rsid w:val="00D15DC0"/>
    <w:rsid w:val="00D164C7"/>
    <w:rsid w:val="00D207DC"/>
    <w:rsid w:val="00D20D5C"/>
    <w:rsid w:val="00D21E4F"/>
    <w:rsid w:val="00D22CE3"/>
    <w:rsid w:val="00D22DC2"/>
    <w:rsid w:val="00D22FA6"/>
    <w:rsid w:val="00D232C3"/>
    <w:rsid w:val="00D24D35"/>
    <w:rsid w:val="00D25D40"/>
    <w:rsid w:val="00D25EDA"/>
    <w:rsid w:val="00D26992"/>
    <w:rsid w:val="00D279DC"/>
    <w:rsid w:val="00D27C3B"/>
    <w:rsid w:val="00D33D4E"/>
    <w:rsid w:val="00D35947"/>
    <w:rsid w:val="00D40290"/>
    <w:rsid w:val="00D40663"/>
    <w:rsid w:val="00D40E57"/>
    <w:rsid w:val="00D43936"/>
    <w:rsid w:val="00D44306"/>
    <w:rsid w:val="00D452D3"/>
    <w:rsid w:val="00D47044"/>
    <w:rsid w:val="00D47F7C"/>
    <w:rsid w:val="00D512E5"/>
    <w:rsid w:val="00D52385"/>
    <w:rsid w:val="00D524D3"/>
    <w:rsid w:val="00D54822"/>
    <w:rsid w:val="00D5605B"/>
    <w:rsid w:val="00D567F9"/>
    <w:rsid w:val="00D56C4E"/>
    <w:rsid w:val="00D57199"/>
    <w:rsid w:val="00D60385"/>
    <w:rsid w:val="00D62B19"/>
    <w:rsid w:val="00D6438F"/>
    <w:rsid w:val="00D65AA9"/>
    <w:rsid w:val="00D65B8C"/>
    <w:rsid w:val="00D65FB4"/>
    <w:rsid w:val="00D66137"/>
    <w:rsid w:val="00D66B28"/>
    <w:rsid w:val="00D67FC3"/>
    <w:rsid w:val="00D700EE"/>
    <w:rsid w:val="00D70CAF"/>
    <w:rsid w:val="00D7191A"/>
    <w:rsid w:val="00D71C65"/>
    <w:rsid w:val="00D725E8"/>
    <w:rsid w:val="00D72E2B"/>
    <w:rsid w:val="00D7315F"/>
    <w:rsid w:val="00D73779"/>
    <w:rsid w:val="00D739E9"/>
    <w:rsid w:val="00D73DB3"/>
    <w:rsid w:val="00D7482B"/>
    <w:rsid w:val="00D754F0"/>
    <w:rsid w:val="00D75645"/>
    <w:rsid w:val="00D75A97"/>
    <w:rsid w:val="00D76066"/>
    <w:rsid w:val="00D762DA"/>
    <w:rsid w:val="00D8253F"/>
    <w:rsid w:val="00D85F3E"/>
    <w:rsid w:val="00D868DC"/>
    <w:rsid w:val="00D87780"/>
    <w:rsid w:val="00D934E2"/>
    <w:rsid w:val="00D95FF9"/>
    <w:rsid w:val="00D96A43"/>
    <w:rsid w:val="00D978EB"/>
    <w:rsid w:val="00DA0B02"/>
    <w:rsid w:val="00DA12DD"/>
    <w:rsid w:val="00DA1E9A"/>
    <w:rsid w:val="00DA2891"/>
    <w:rsid w:val="00DA2CAE"/>
    <w:rsid w:val="00DA2E41"/>
    <w:rsid w:val="00DA35FF"/>
    <w:rsid w:val="00DA51D3"/>
    <w:rsid w:val="00DA5487"/>
    <w:rsid w:val="00DA7371"/>
    <w:rsid w:val="00DA7D25"/>
    <w:rsid w:val="00DB0055"/>
    <w:rsid w:val="00DB1356"/>
    <w:rsid w:val="00DB192E"/>
    <w:rsid w:val="00DB2A52"/>
    <w:rsid w:val="00DB39BA"/>
    <w:rsid w:val="00DB3C8C"/>
    <w:rsid w:val="00DB4386"/>
    <w:rsid w:val="00DB4461"/>
    <w:rsid w:val="00DB452F"/>
    <w:rsid w:val="00DB4714"/>
    <w:rsid w:val="00DB5646"/>
    <w:rsid w:val="00DB687E"/>
    <w:rsid w:val="00DB7149"/>
    <w:rsid w:val="00DC05CE"/>
    <w:rsid w:val="00DC0917"/>
    <w:rsid w:val="00DC1525"/>
    <w:rsid w:val="00DC41F8"/>
    <w:rsid w:val="00DC76D7"/>
    <w:rsid w:val="00DC7DF0"/>
    <w:rsid w:val="00DC7E24"/>
    <w:rsid w:val="00DD1DCB"/>
    <w:rsid w:val="00DD3D2F"/>
    <w:rsid w:val="00DD4FFA"/>
    <w:rsid w:val="00DD5F26"/>
    <w:rsid w:val="00DD65DA"/>
    <w:rsid w:val="00DD6EC3"/>
    <w:rsid w:val="00DD7E63"/>
    <w:rsid w:val="00DE284C"/>
    <w:rsid w:val="00DE2B84"/>
    <w:rsid w:val="00DE3565"/>
    <w:rsid w:val="00DE5E4D"/>
    <w:rsid w:val="00DE6FA4"/>
    <w:rsid w:val="00DE73AF"/>
    <w:rsid w:val="00DF08FB"/>
    <w:rsid w:val="00DF10ED"/>
    <w:rsid w:val="00DF212A"/>
    <w:rsid w:val="00DF2449"/>
    <w:rsid w:val="00DF2753"/>
    <w:rsid w:val="00DF33DB"/>
    <w:rsid w:val="00DF5E71"/>
    <w:rsid w:val="00DF6A36"/>
    <w:rsid w:val="00DF6AB3"/>
    <w:rsid w:val="00DF6F13"/>
    <w:rsid w:val="00DF7FD9"/>
    <w:rsid w:val="00E002DE"/>
    <w:rsid w:val="00E008DA"/>
    <w:rsid w:val="00E0144C"/>
    <w:rsid w:val="00E03F3C"/>
    <w:rsid w:val="00E04120"/>
    <w:rsid w:val="00E065A5"/>
    <w:rsid w:val="00E0764F"/>
    <w:rsid w:val="00E07921"/>
    <w:rsid w:val="00E10737"/>
    <w:rsid w:val="00E11EBE"/>
    <w:rsid w:val="00E1207A"/>
    <w:rsid w:val="00E1245C"/>
    <w:rsid w:val="00E12494"/>
    <w:rsid w:val="00E15C7F"/>
    <w:rsid w:val="00E15EEC"/>
    <w:rsid w:val="00E168DD"/>
    <w:rsid w:val="00E17133"/>
    <w:rsid w:val="00E1761C"/>
    <w:rsid w:val="00E20EB5"/>
    <w:rsid w:val="00E2247B"/>
    <w:rsid w:val="00E22C1C"/>
    <w:rsid w:val="00E23141"/>
    <w:rsid w:val="00E24D8C"/>
    <w:rsid w:val="00E24E7B"/>
    <w:rsid w:val="00E26356"/>
    <w:rsid w:val="00E27721"/>
    <w:rsid w:val="00E30E7F"/>
    <w:rsid w:val="00E31199"/>
    <w:rsid w:val="00E3397C"/>
    <w:rsid w:val="00E342D9"/>
    <w:rsid w:val="00E346D2"/>
    <w:rsid w:val="00E3498D"/>
    <w:rsid w:val="00E352B3"/>
    <w:rsid w:val="00E3570E"/>
    <w:rsid w:val="00E35E24"/>
    <w:rsid w:val="00E37F6B"/>
    <w:rsid w:val="00E40296"/>
    <w:rsid w:val="00E4085B"/>
    <w:rsid w:val="00E415E0"/>
    <w:rsid w:val="00E417A5"/>
    <w:rsid w:val="00E41A78"/>
    <w:rsid w:val="00E422C1"/>
    <w:rsid w:val="00E42EFD"/>
    <w:rsid w:val="00E43EF7"/>
    <w:rsid w:val="00E449D8"/>
    <w:rsid w:val="00E45C54"/>
    <w:rsid w:val="00E45CD2"/>
    <w:rsid w:val="00E46151"/>
    <w:rsid w:val="00E529FC"/>
    <w:rsid w:val="00E53622"/>
    <w:rsid w:val="00E55055"/>
    <w:rsid w:val="00E56D28"/>
    <w:rsid w:val="00E57605"/>
    <w:rsid w:val="00E579CB"/>
    <w:rsid w:val="00E57E41"/>
    <w:rsid w:val="00E60549"/>
    <w:rsid w:val="00E609B2"/>
    <w:rsid w:val="00E60D34"/>
    <w:rsid w:val="00E6163E"/>
    <w:rsid w:val="00E627FD"/>
    <w:rsid w:val="00E63AA8"/>
    <w:rsid w:val="00E653D8"/>
    <w:rsid w:val="00E65A46"/>
    <w:rsid w:val="00E65C62"/>
    <w:rsid w:val="00E668C5"/>
    <w:rsid w:val="00E671D5"/>
    <w:rsid w:val="00E73CDB"/>
    <w:rsid w:val="00E74701"/>
    <w:rsid w:val="00E772E1"/>
    <w:rsid w:val="00E8061F"/>
    <w:rsid w:val="00E80D24"/>
    <w:rsid w:val="00E811B9"/>
    <w:rsid w:val="00E82247"/>
    <w:rsid w:val="00E8364B"/>
    <w:rsid w:val="00E8380B"/>
    <w:rsid w:val="00E84832"/>
    <w:rsid w:val="00E85503"/>
    <w:rsid w:val="00E86347"/>
    <w:rsid w:val="00E86C66"/>
    <w:rsid w:val="00E86E9C"/>
    <w:rsid w:val="00E87299"/>
    <w:rsid w:val="00E87964"/>
    <w:rsid w:val="00E901CE"/>
    <w:rsid w:val="00E90DE3"/>
    <w:rsid w:val="00E950F3"/>
    <w:rsid w:val="00E9529C"/>
    <w:rsid w:val="00E957EA"/>
    <w:rsid w:val="00E95A21"/>
    <w:rsid w:val="00E96796"/>
    <w:rsid w:val="00EA19F5"/>
    <w:rsid w:val="00EA1D41"/>
    <w:rsid w:val="00EA2235"/>
    <w:rsid w:val="00EA2934"/>
    <w:rsid w:val="00EA3F9C"/>
    <w:rsid w:val="00EA4610"/>
    <w:rsid w:val="00EA6479"/>
    <w:rsid w:val="00EA7267"/>
    <w:rsid w:val="00EA745A"/>
    <w:rsid w:val="00EA74AF"/>
    <w:rsid w:val="00EA751C"/>
    <w:rsid w:val="00EA7906"/>
    <w:rsid w:val="00EB0C4F"/>
    <w:rsid w:val="00EB5789"/>
    <w:rsid w:val="00EB6D53"/>
    <w:rsid w:val="00EB70A6"/>
    <w:rsid w:val="00EC114E"/>
    <w:rsid w:val="00EC1B2D"/>
    <w:rsid w:val="00EC1FFF"/>
    <w:rsid w:val="00EC252F"/>
    <w:rsid w:val="00EC2C3B"/>
    <w:rsid w:val="00EC481C"/>
    <w:rsid w:val="00EC4BBC"/>
    <w:rsid w:val="00EC56D4"/>
    <w:rsid w:val="00EC5AE0"/>
    <w:rsid w:val="00ED27A8"/>
    <w:rsid w:val="00ED3C85"/>
    <w:rsid w:val="00ED619B"/>
    <w:rsid w:val="00ED6349"/>
    <w:rsid w:val="00ED70B9"/>
    <w:rsid w:val="00ED78CB"/>
    <w:rsid w:val="00ED7BB3"/>
    <w:rsid w:val="00EE0372"/>
    <w:rsid w:val="00EE0730"/>
    <w:rsid w:val="00EE0FB0"/>
    <w:rsid w:val="00EE1C3A"/>
    <w:rsid w:val="00EE4B3A"/>
    <w:rsid w:val="00EE4B57"/>
    <w:rsid w:val="00EE5B16"/>
    <w:rsid w:val="00EE6080"/>
    <w:rsid w:val="00EE63AB"/>
    <w:rsid w:val="00EE6834"/>
    <w:rsid w:val="00EE68BB"/>
    <w:rsid w:val="00EE6F31"/>
    <w:rsid w:val="00EE733E"/>
    <w:rsid w:val="00EE7A0A"/>
    <w:rsid w:val="00EF0532"/>
    <w:rsid w:val="00EF06F6"/>
    <w:rsid w:val="00EF1CC8"/>
    <w:rsid w:val="00EF1DFB"/>
    <w:rsid w:val="00EF1E30"/>
    <w:rsid w:val="00EF2096"/>
    <w:rsid w:val="00EF20BA"/>
    <w:rsid w:val="00EF2380"/>
    <w:rsid w:val="00EF2449"/>
    <w:rsid w:val="00EF27B0"/>
    <w:rsid w:val="00EF2B09"/>
    <w:rsid w:val="00EF3106"/>
    <w:rsid w:val="00EF4B10"/>
    <w:rsid w:val="00EF4E5C"/>
    <w:rsid w:val="00EF4EB3"/>
    <w:rsid w:val="00EF591D"/>
    <w:rsid w:val="00EF66E2"/>
    <w:rsid w:val="00EF7377"/>
    <w:rsid w:val="00F0049C"/>
    <w:rsid w:val="00F01455"/>
    <w:rsid w:val="00F02DB2"/>
    <w:rsid w:val="00F0312E"/>
    <w:rsid w:val="00F03960"/>
    <w:rsid w:val="00F04748"/>
    <w:rsid w:val="00F05138"/>
    <w:rsid w:val="00F0644F"/>
    <w:rsid w:val="00F07BAD"/>
    <w:rsid w:val="00F07DC5"/>
    <w:rsid w:val="00F10880"/>
    <w:rsid w:val="00F11553"/>
    <w:rsid w:val="00F12B0E"/>
    <w:rsid w:val="00F12E54"/>
    <w:rsid w:val="00F12F23"/>
    <w:rsid w:val="00F151C9"/>
    <w:rsid w:val="00F152A3"/>
    <w:rsid w:val="00F16287"/>
    <w:rsid w:val="00F173A0"/>
    <w:rsid w:val="00F17CDA"/>
    <w:rsid w:val="00F2008F"/>
    <w:rsid w:val="00F208D1"/>
    <w:rsid w:val="00F2112F"/>
    <w:rsid w:val="00F23D33"/>
    <w:rsid w:val="00F257C4"/>
    <w:rsid w:val="00F272AB"/>
    <w:rsid w:val="00F3097D"/>
    <w:rsid w:val="00F30C43"/>
    <w:rsid w:val="00F31FE5"/>
    <w:rsid w:val="00F32102"/>
    <w:rsid w:val="00F32113"/>
    <w:rsid w:val="00F32228"/>
    <w:rsid w:val="00F328B3"/>
    <w:rsid w:val="00F32BF1"/>
    <w:rsid w:val="00F33117"/>
    <w:rsid w:val="00F33CF7"/>
    <w:rsid w:val="00F3670B"/>
    <w:rsid w:val="00F36952"/>
    <w:rsid w:val="00F36D40"/>
    <w:rsid w:val="00F37ADA"/>
    <w:rsid w:val="00F37ED9"/>
    <w:rsid w:val="00F405B5"/>
    <w:rsid w:val="00F418F1"/>
    <w:rsid w:val="00F432AE"/>
    <w:rsid w:val="00F44FEF"/>
    <w:rsid w:val="00F45235"/>
    <w:rsid w:val="00F45258"/>
    <w:rsid w:val="00F4536A"/>
    <w:rsid w:val="00F456E0"/>
    <w:rsid w:val="00F4793C"/>
    <w:rsid w:val="00F479F9"/>
    <w:rsid w:val="00F50471"/>
    <w:rsid w:val="00F5092B"/>
    <w:rsid w:val="00F525DF"/>
    <w:rsid w:val="00F527C9"/>
    <w:rsid w:val="00F52876"/>
    <w:rsid w:val="00F53E73"/>
    <w:rsid w:val="00F54DFB"/>
    <w:rsid w:val="00F55423"/>
    <w:rsid w:val="00F56197"/>
    <w:rsid w:val="00F56B95"/>
    <w:rsid w:val="00F571EC"/>
    <w:rsid w:val="00F607B1"/>
    <w:rsid w:val="00F62251"/>
    <w:rsid w:val="00F6276C"/>
    <w:rsid w:val="00F62C1B"/>
    <w:rsid w:val="00F636B6"/>
    <w:rsid w:val="00F6598B"/>
    <w:rsid w:val="00F65A7F"/>
    <w:rsid w:val="00F6659E"/>
    <w:rsid w:val="00F66857"/>
    <w:rsid w:val="00F6717C"/>
    <w:rsid w:val="00F674A0"/>
    <w:rsid w:val="00F70046"/>
    <w:rsid w:val="00F70CBF"/>
    <w:rsid w:val="00F70F28"/>
    <w:rsid w:val="00F73E50"/>
    <w:rsid w:val="00F74268"/>
    <w:rsid w:val="00F74D90"/>
    <w:rsid w:val="00F74F63"/>
    <w:rsid w:val="00F75C2B"/>
    <w:rsid w:val="00F76DD6"/>
    <w:rsid w:val="00F7793F"/>
    <w:rsid w:val="00F804C0"/>
    <w:rsid w:val="00F8194F"/>
    <w:rsid w:val="00F856B8"/>
    <w:rsid w:val="00F86D3D"/>
    <w:rsid w:val="00F86D76"/>
    <w:rsid w:val="00F87082"/>
    <w:rsid w:val="00F87F6E"/>
    <w:rsid w:val="00F90870"/>
    <w:rsid w:val="00F948B2"/>
    <w:rsid w:val="00F94BD7"/>
    <w:rsid w:val="00F95364"/>
    <w:rsid w:val="00F96EE1"/>
    <w:rsid w:val="00F978E5"/>
    <w:rsid w:val="00FA2926"/>
    <w:rsid w:val="00FA2C4F"/>
    <w:rsid w:val="00FA2D5A"/>
    <w:rsid w:val="00FA351E"/>
    <w:rsid w:val="00FA451E"/>
    <w:rsid w:val="00FA5191"/>
    <w:rsid w:val="00FA5EE9"/>
    <w:rsid w:val="00FA769B"/>
    <w:rsid w:val="00FA7FC0"/>
    <w:rsid w:val="00FB00ED"/>
    <w:rsid w:val="00FB021B"/>
    <w:rsid w:val="00FB2692"/>
    <w:rsid w:val="00FB37C2"/>
    <w:rsid w:val="00FB4921"/>
    <w:rsid w:val="00FB4AEF"/>
    <w:rsid w:val="00FB66E2"/>
    <w:rsid w:val="00FC0E0D"/>
    <w:rsid w:val="00FC116D"/>
    <w:rsid w:val="00FC13D9"/>
    <w:rsid w:val="00FC143B"/>
    <w:rsid w:val="00FC1505"/>
    <w:rsid w:val="00FC235F"/>
    <w:rsid w:val="00FC3C0C"/>
    <w:rsid w:val="00FC41C8"/>
    <w:rsid w:val="00FC4F99"/>
    <w:rsid w:val="00FC5101"/>
    <w:rsid w:val="00FC549A"/>
    <w:rsid w:val="00FC55AF"/>
    <w:rsid w:val="00FC56A6"/>
    <w:rsid w:val="00FC6628"/>
    <w:rsid w:val="00FC7498"/>
    <w:rsid w:val="00FC7B3F"/>
    <w:rsid w:val="00FD05D9"/>
    <w:rsid w:val="00FD0FD8"/>
    <w:rsid w:val="00FD1F0A"/>
    <w:rsid w:val="00FD31B4"/>
    <w:rsid w:val="00FD349A"/>
    <w:rsid w:val="00FD3973"/>
    <w:rsid w:val="00FD42B6"/>
    <w:rsid w:val="00FD4E2F"/>
    <w:rsid w:val="00FD5DF9"/>
    <w:rsid w:val="00FD71EF"/>
    <w:rsid w:val="00FE0AD3"/>
    <w:rsid w:val="00FE0BD0"/>
    <w:rsid w:val="00FE1CEB"/>
    <w:rsid w:val="00FE1D05"/>
    <w:rsid w:val="00FE29D2"/>
    <w:rsid w:val="00FE34A4"/>
    <w:rsid w:val="00FE368E"/>
    <w:rsid w:val="00FE3C31"/>
    <w:rsid w:val="00FE461A"/>
    <w:rsid w:val="00FE7256"/>
    <w:rsid w:val="00FE79EF"/>
    <w:rsid w:val="00FF05B2"/>
    <w:rsid w:val="00FF1C99"/>
    <w:rsid w:val="00FF1E3C"/>
    <w:rsid w:val="00FF2253"/>
    <w:rsid w:val="00FF270D"/>
    <w:rsid w:val="00FF2F1B"/>
    <w:rsid w:val="00FF3115"/>
    <w:rsid w:val="00FF3A01"/>
    <w:rsid w:val="00FF43A7"/>
    <w:rsid w:val="00FF54F3"/>
    <w:rsid w:val="00FF5BD4"/>
    <w:rsid w:val="00FF6919"/>
    <w:rsid w:val="00FF710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end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5D7"/>
    <w:pPr>
      <w:spacing w:before="240" w:after="240" w:line="276" w:lineRule="auto"/>
      <w:ind w:firstLine="709"/>
      <w:jc w:val="both"/>
    </w:pPr>
    <w:rPr>
      <w:color w:val="333333"/>
      <w:sz w:val="24"/>
      <w:lang w:eastAsia="en-US"/>
    </w:rPr>
  </w:style>
  <w:style w:type="paragraph" w:styleId="1">
    <w:name w:val="heading 1"/>
    <w:basedOn w:val="a"/>
    <w:next w:val="a"/>
    <w:link w:val="10"/>
    <w:qFormat/>
    <w:rsid w:val="00E46151"/>
    <w:pPr>
      <w:spacing w:before="0" w:after="120" w:line="240" w:lineRule="auto"/>
      <w:ind w:firstLine="0"/>
      <w:outlineLvl w:val="0"/>
    </w:pPr>
    <w:rPr>
      <w:b/>
      <w:bCs/>
      <w:color w:val="000000"/>
      <w:sz w:val="20"/>
      <w:lang w:val="uk-UA" w:eastAsia="uk-UA"/>
    </w:rPr>
  </w:style>
  <w:style w:type="paragraph" w:styleId="2">
    <w:name w:val="heading 2"/>
    <w:basedOn w:val="a0"/>
    <w:next w:val="a"/>
    <w:link w:val="20"/>
    <w:unhideWhenUsed/>
    <w:qFormat/>
    <w:rsid w:val="0000323F"/>
    <w:pPr>
      <w:numPr>
        <w:numId w:val="5"/>
      </w:numPr>
      <w:spacing w:before="0" w:after="120" w:line="240" w:lineRule="auto"/>
      <w:jc w:val="left"/>
      <w:outlineLvl w:val="1"/>
    </w:pPr>
    <w:rPr>
      <w:b/>
      <w:color w:val="auto"/>
      <w:sz w:val="20"/>
      <w:lang w:val="uk-UA"/>
    </w:rPr>
  </w:style>
  <w:style w:type="paragraph" w:styleId="3">
    <w:name w:val="heading 3"/>
    <w:basedOn w:val="a"/>
    <w:next w:val="a"/>
    <w:link w:val="30"/>
    <w:uiPriority w:val="9"/>
    <w:unhideWhenUsed/>
    <w:qFormat/>
    <w:rsid w:val="00A55FE6"/>
    <w:pPr>
      <w:spacing w:before="0" w:after="120" w:line="240" w:lineRule="auto"/>
      <w:ind w:left="567" w:hanging="567"/>
      <w:jc w:val="left"/>
      <w:outlineLvl w:val="2"/>
    </w:pPr>
    <w:rPr>
      <w:b/>
      <w:sz w:val="20"/>
      <w:lang w:val="uk-UA"/>
    </w:rPr>
  </w:style>
  <w:style w:type="paragraph" w:styleId="4">
    <w:name w:val="heading 4"/>
    <w:basedOn w:val="a"/>
    <w:next w:val="a"/>
    <w:link w:val="40"/>
    <w:uiPriority w:val="9"/>
    <w:semiHidden/>
    <w:unhideWhenUsed/>
    <w:qFormat/>
    <w:rsid w:val="009568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1A25D7"/>
    <w:pPr>
      <w:tabs>
        <w:tab w:val="center" w:pos="4677"/>
        <w:tab w:val="right" w:pos="9355"/>
      </w:tabs>
      <w:spacing w:after="0" w:line="240" w:lineRule="auto"/>
    </w:pPr>
  </w:style>
  <w:style w:type="character" w:customStyle="1" w:styleId="a5">
    <w:name w:val="Верхний колонтитул Знак"/>
    <w:link w:val="a4"/>
    <w:locked/>
    <w:rsid w:val="001A25D7"/>
    <w:rPr>
      <w:color w:val="333333"/>
      <w:sz w:val="24"/>
      <w:lang w:val="ru-RU" w:eastAsia="en-US" w:bidi="ar-SA"/>
    </w:rPr>
  </w:style>
  <w:style w:type="paragraph" w:styleId="a6">
    <w:name w:val="footer"/>
    <w:basedOn w:val="a"/>
    <w:link w:val="a7"/>
    <w:unhideWhenUsed/>
    <w:rsid w:val="001A25D7"/>
    <w:pPr>
      <w:tabs>
        <w:tab w:val="center" w:pos="4677"/>
        <w:tab w:val="right" w:pos="9355"/>
      </w:tabs>
      <w:spacing w:after="0" w:line="240" w:lineRule="auto"/>
    </w:pPr>
  </w:style>
  <w:style w:type="character" w:customStyle="1" w:styleId="a7">
    <w:name w:val="Нижний колонтитул Знак"/>
    <w:link w:val="a6"/>
    <w:locked/>
    <w:rsid w:val="001A25D7"/>
    <w:rPr>
      <w:color w:val="333333"/>
      <w:sz w:val="24"/>
      <w:lang w:val="ru-RU" w:eastAsia="en-US" w:bidi="ar-SA"/>
    </w:rPr>
  </w:style>
  <w:style w:type="paragraph" w:customStyle="1" w:styleId="11">
    <w:name w:val="Абзац списка1"/>
    <w:basedOn w:val="a"/>
    <w:link w:val="ListParagraphChar"/>
    <w:qFormat/>
    <w:rsid w:val="001A25D7"/>
    <w:pPr>
      <w:ind w:left="720"/>
      <w:contextualSpacing/>
    </w:pPr>
  </w:style>
  <w:style w:type="character" w:customStyle="1" w:styleId="ListParagraphChar">
    <w:name w:val="List Paragraph Char"/>
    <w:link w:val="11"/>
    <w:locked/>
    <w:rsid w:val="001A25D7"/>
    <w:rPr>
      <w:color w:val="333333"/>
      <w:sz w:val="24"/>
      <w:lang w:val="ru-RU" w:eastAsia="en-US" w:bidi="ar-SA"/>
    </w:rPr>
  </w:style>
  <w:style w:type="paragraph" w:customStyle="1" w:styleId="Default">
    <w:name w:val="Default"/>
    <w:rsid w:val="001A25D7"/>
    <w:pPr>
      <w:widowControl w:val="0"/>
      <w:autoSpaceDE w:val="0"/>
      <w:autoSpaceDN w:val="0"/>
      <w:adjustRightInd w:val="0"/>
    </w:pPr>
    <w:rPr>
      <w:color w:val="000000"/>
      <w:sz w:val="24"/>
      <w:szCs w:val="24"/>
      <w:lang w:val="uk-UA" w:eastAsia="uk-UA"/>
    </w:rPr>
  </w:style>
  <w:style w:type="character" w:customStyle="1" w:styleId="FontStyle15">
    <w:name w:val="Font Style15"/>
    <w:uiPriority w:val="99"/>
    <w:rsid w:val="007F3AFE"/>
    <w:rPr>
      <w:rFonts w:ascii="Times New Roman" w:hAnsi="Times New Roman" w:cs="Times New Roman"/>
      <w:sz w:val="26"/>
      <w:szCs w:val="26"/>
    </w:rPr>
  </w:style>
  <w:style w:type="paragraph" w:customStyle="1" w:styleId="Style7">
    <w:name w:val="Style7"/>
    <w:basedOn w:val="a"/>
    <w:uiPriority w:val="99"/>
    <w:rsid w:val="007F3AFE"/>
    <w:pPr>
      <w:widowControl w:val="0"/>
      <w:autoSpaceDE w:val="0"/>
      <w:autoSpaceDN w:val="0"/>
      <w:adjustRightInd w:val="0"/>
      <w:spacing w:before="0" w:after="0" w:line="374" w:lineRule="exact"/>
      <w:ind w:hanging="324"/>
    </w:pPr>
    <w:rPr>
      <w:color w:val="auto"/>
      <w:szCs w:val="24"/>
      <w:lang w:val="uk-UA" w:eastAsia="uk-UA"/>
    </w:rPr>
  </w:style>
  <w:style w:type="paragraph" w:styleId="a8">
    <w:name w:val="Balloon Text"/>
    <w:basedOn w:val="a"/>
    <w:link w:val="a9"/>
    <w:rsid w:val="007019D7"/>
    <w:pPr>
      <w:spacing w:before="0" w:after="0" w:line="240" w:lineRule="auto"/>
    </w:pPr>
    <w:rPr>
      <w:rFonts w:ascii="Tahoma" w:hAnsi="Tahoma" w:cs="Tahoma"/>
      <w:sz w:val="16"/>
      <w:szCs w:val="16"/>
    </w:rPr>
  </w:style>
  <w:style w:type="character" w:customStyle="1" w:styleId="a9">
    <w:name w:val="Текст выноски Знак"/>
    <w:link w:val="a8"/>
    <w:rsid w:val="007019D7"/>
    <w:rPr>
      <w:rFonts w:ascii="Tahoma" w:hAnsi="Tahoma" w:cs="Tahoma"/>
      <w:color w:val="333333"/>
      <w:sz w:val="16"/>
      <w:szCs w:val="16"/>
      <w:lang w:val="ru-RU" w:eastAsia="en-US"/>
    </w:rPr>
  </w:style>
  <w:style w:type="paragraph" w:styleId="aa">
    <w:name w:val="Revision"/>
    <w:hidden/>
    <w:uiPriority w:val="99"/>
    <w:semiHidden/>
    <w:rsid w:val="002A0EC7"/>
    <w:rPr>
      <w:color w:val="333333"/>
      <w:sz w:val="24"/>
      <w:lang w:eastAsia="en-US"/>
    </w:rPr>
  </w:style>
  <w:style w:type="paragraph" w:customStyle="1" w:styleId="12">
    <w:name w:val="Обычный1"/>
    <w:rsid w:val="006A5C1F"/>
    <w:pPr>
      <w:widowControl w:val="0"/>
    </w:pPr>
    <w:rPr>
      <w:rFonts w:eastAsia="Calibri"/>
      <w:lang w:val="en-US"/>
    </w:rPr>
  </w:style>
  <w:style w:type="paragraph" w:customStyle="1" w:styleId="21">
    <w:name w:val="Абзац списка2"/>
    <w:basedOn w:val="a"/>
    <w:rsid w:val="006A5C1F"/>
    <w:pPr>
      <w:spacing w:before="0" w:after="0" w:line="240" w:lineRule="auto"/>
      <w:ind w:left="720" w:firstLine="0"/>
      <w:contextualSpacing/>
      <w:jc w:val="left"/>
    </w:pPr>
    <w:rPr>
      <w:rFonts w:eastAsia="Calibri"/>
      <w:color w:val="auto"/>
      <w:sz w:val="20"/>
      <w:lang w:eastAsia="ru-RU"/>
    </w:rPr>
  </w:style>
  <w:style w:type="paragraph" w:styleId="a0">
    <w:name w:val="List Paragraph"/>
    <w:basedOn w:val="a"/>
    <w:link w:val="ab"/>
    <w:uiPriority w:val="34"/>
    <w:qFormat/>
    <w:rsid w:val="00746415"/>
    <w:pPr>
      <w:ind w:left="708"/>
    </w:pPr>
  </w:style>
  <w:style w:type="table" w:styleId="ac">
    <w:name w:val="Table Grid"/>
    <w:basedOn w:val="a2"/>
    <w:uiPriority w:val="59"/>
    <w:rsid w:val="00C93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Plain Text"/>
    <w:basedOn w:val="a"/>
    <w:link w:val="ae"/>
    <w:rsid w:val="00A2172A"/>
    <w:pPr>
      <w:spacing w:before="0" w:after="0" w:line="240" w:lineRule="auto"/>
      <w:ind w:firstLine="0"/>
      <w:jc w:val="left"/>
    </w:pPr>
    <w:rPr>
      <w:rFonts w:ascii="Courier New" w:eastAsia="Calibri" w:hAnsi="Courier New"/>
      <w:color w:val="auto"/>
      <w:sz w:val="20"/>
      <w:lang w:eastAsia="ru-RU"/>
    </w:rPr>
  </w:style>
  <w:style w:type="character" w:customStyle="1" w:styleId="ae">
    <w:name w:val="Текст Знак"/>
    <w:link w:val="ad"/>
    <w:rsid w:val="00A2172A"/>
    <w:rPr>
      <w:rFonts w:ascii="Courier New" w:eastAsia="Calibri" w:hAnsi="Courier New"/>
      <w:lang w:val="ru-RU" w:eastAsia="ru-RU"/>
    </w:rPr>
  </w:style>
  <w:style w:type="character" w:customStyle="1" w:styleId="ab">
    <w:name w:val="Абзац списка Знак"/>
    <w:link w:val="a0"/>
    <w:uiPriority w:val="34"/>
    <w:rsid w:val="001C15E4"/>
    <w:rPr>
      <w:color w:val="333333"/>
      <w:sz w:val="24"/>
      <w:lang w:val="ru-RU" w:eastAsia="en-US"/>
    </w:rPr>
  </w:style>
  <w:style w:type="paragraph" w:styleId="22">
    <w:name w:val="Body Text 2"/>
    <w:basedOn w:val="a"/>
    <w:link w:val="23"/>
    <w:rsid w:val="001223FA"/>
    <w:pPr>
      <w:spacing w:before="0" w:after="120" w:line="480" w:lineRule="auto"/>
      <w:ind w:firstLine="0"/>
      <w:jc w:val="left"/>
    </w:pPr>
    <w:rPr>
      <w:rFonts w:eastAsia="Calibri"/>
      <w:color w:val="auto"/>
      <w:sz w:val="20"/>
      <w:lang w:eastAsia="ru-RU"/>
    </w:rPr>
  </w:style>
  <w:style w:type="character" w:customStyle="1" w:styleId="23">
    <w:name w:val="Основной текст 2 Знак"/>
    <w:link w:val="22"/>
    <w:rsid w:val="001223FA"/>
    <w:rPr>
      <w:rFonts w:eastAsia="Calibri"/>
      <w:lang w:val="ru-RU" w:eastAsia="ru-RU"/>
    </w:rPr>
  </w:style>
  <w:style w:type="paragraph" w:styleId="HTML">
    <w:name w:val="HTML Preformatted"/>
    <w:basedOn w:val="a"/>
    <w:link w:val="HTML0"/>
    <w:rsid w:val="00F0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color w:val="auto"/>
      <w:sz w:val="20"/>
      <w:lang w:val="uk-UA" w:eastAsia="uk-UA"/>
    </w:rPr>
  </w:style>
  <w:style w:type="character" w:customStyle="1" w:styleId="HTML0">
    <w:name w:val="Стандартный HTML Знак"/>
    <w:link w:val="HTML"/>
    <w:rsid w:val="00F02DB2"/>
    <w:rPr>
      <w:rFonts w:ascii="Courier New" w:hAnsi="Courier New" w:cs="Courier New"/>
    </w:rPr>
  </w:style>
  <w:style w:type="character" w:styleId="af">
    <w:name w:val="Hyperlink"/>
    <w:uiPriority w:val="99"/>
    <w:rsid w:val="00F02DB2"/>
    <w:rPr>
      <w:color w:val="701826"/>
      <w:u w:val="single"/>
    </w:rPr>
  </w:style>
  <w:style w:type="paragraph" w:customStyle="1" w:styleId="tjbmf">
    <w:name w:val="tj bmf"/>
    <w:basedOn w:val="a"/>
    <w:rsid w:val="00F02DB2"/>
    <w:pPr>
      <w:spacing w:before="113" w:after="113" w:line="240" w:lineRule="auto"/>
      <w:ind w:firstLine="0"/>
      <w:jc w:val="left"/>
    </w:pPr>
    <w:rPr>
      <w:color w:val="auto"/>
      <w:szCs w:val="24"/>
      <w:lang w:val="uk-UA" w:eastAsia="uk-UA"/>
    </w:rPr>
  </w:style>
  <w:style w:type="character" w:customStyle="1" w:styleId="30">
    <w:name w:val="Заголовок 3 Знак"/>
    <w:link w:val="3"/>
    <w:uiPriority w:val="9"/>
    <w:rsid w:val="00A55FE6"/>
    <w:rPr>
      <w:b/>
      <w:color w:val="333333"/>
      <w:lang w:val="uk-UA" w:eastAsia="en-US"/>
    </w:rPr>
  </w:style>
  <w:style w:type="paragraph" w:styleId="af0">
    <w:name w:val="Body Text Indent"/>
    <w:basedOn w:val="a"/>
    <w:link w:val="af1"/>
    <w:rsid w:val="008929C0"/>
    <w:pPr>
      <w:spacing w:after="120"/>
      <w:ind w:left="283"/>
    </w:pPr>
  </w:style>
  <w:style w:type="character" w:customStyle="1" w:styleId="af1">
    <w:name w:val="Основной текст с отступом Знак"/>
    <w:link w:val="af0"/>
    <w:rsid w:val="008929C0"/>
    <w:rPr>
      <w:color w:val="333333"/>
      <w:sz w:val="24"/>
      <w:lang w:val="ru-RU" w:eastAsia="en-US"/>
    </w:rPr>
  </w:style>
  <w:style w:type="character" w:customStyle="1" w:styleId="10">
    <w:name w:val="Заголовок 1 Знак"/>
    <w:link w:val="1"/>
    <w:rsid w:val="00E46151"/>
    <w:rPr>
      <w:b/>
      <w:bCs/>
      <w:color w:val="000000"/>
      <w:lang w:val="uk-UA" w:eastAsia="uk-UA"/>
    </w:rPr>
  </w:style>
  <w:style w:type="paragraph" w:styleId="af2">
    <w:name w:val="TOC Heading"/>
    <w:basedOn w:val="1"/>
    <w:next w:val="a"/>
    <w:uiPriority w:val="39"/>
    <w:semiHidden/>
    <w:unhideWhenUsed/>
    <w:qFormat/>
    <w:rsid w:val="00A4604B"/>
    <w:pPr>
      <w:keepLines/>
      <w:spacing w:before="480" w:after="0"/>
      <w:jc w:val="left"/>
      <w:outlineLvl w:val="9"/>
    </w:pPr>
    <w:rPr>
      <w:color w:val="365F91"/>
      <w:sz w:val="28"/>
      <w:szCs w:val="28"/>
      <w:lang w:eastAsia="ru-RU"/>
    </w:rPr>
  </w:style>
  <w:style w:type="paragraph" w:styleId="13">
    <w:name w:val="toc 1"/>
    <w:basedOn w:val="a"/>
    <w:next w:val="a"/>
    <w:uiPriority w:val="39"/>
    <w:rsid w:val="003A2A3E"/>
    <w:pPr>
      <w:spacing w:before="0" w:after="120" w:line="240" w:lineRule="auto"/>
      <w:ind w:firstLine="0"/>
      <w:jc w:val="left"/>
    </w:pPr>
    <w:rPr>
      <w:sz w:val="20"/>
    </w:rPr>
  </w:style>
  <w:style w:type="paragraph" w:styleId="31">
    <w:name w:val="toc 3"/>
    <w:basedOn w:val="a"/>
    <w:next w:val="a"/>
    <w:uiPriority w:val="39"/>
    <w:rsid w:val="003A2A3E"/>
    <w:pPr>
      <w:spacing w:before="0" w:after="0" w:line="240" w:lineRule="auto"/>
      <w:ind w:firstLine="0"/>
      <w:jc w:val="left"/>
    </w:pPr>
    <w:rPr>
      <w:sz w:val="20"/>
    </w:rPr>
  </w:style>
  <w:style w:type="paragraph" w:styleId="24">
    <w:name w:val="toc 2"/>
    <w:basedOn w:val="a"/>
    <w:next w:val="a"/>
    <w:uiPriority w:val="39"/>
    <w:unhideWhenUsed/>
    <w:rsid w:val="003A2A3E"/>
    <w:pPr>
      <w:spacing w:before="0" w:after="0" w:line="240" w:lineRule="auto"/>
      <w:ind w:firstLine="0"/>
      <w:jc w:val="left"/>
    </w:pPr>
    <w:rPr>
      <w:color w:val="auto"/>
      <w:sz w:val="20"/>
      <w:szCs w:val="22"/>
      <w:lang w:eastAsia="ru-RU"/>
    </w:rPr>
  </w:style>
  <w:style w:type="paragraph" w:styleId="41">
    <w:name w:val="toc 4"/>
    <w:basedOn w:val="a"/>
    <w:next w:val="a"/>
    <w:autoRedefine/>
    <w:uiPriority w:val="39"/>
    <w:unhideWhenUsed/>
    <w:rsid w:val="00A4604B"/>
    <w:pPr>
      <w:spacing w:before="0" w:after="100"/>
      <w:ind w:left="660" w:firstLine="0"/>
      <w:jc w:val="left"/>
    </w:pPr>
    <w:rPr>
      <w:rFonts w:ascii="Calibri" w:hAnsi="Calibri"/>
      <w:color w:val="auto"/>
      <w:sz w:val="22"/>
      <w:szCs w:val="22"/>
      <w:lang w:eastAsia="ru-RU"/>
    </w:rPr>
  </w:style>
  <w:style w:type="paragraph" w:styleId="5">
    <w:name w:val="toc 5"/>
    <w:basedOn w:val="a"/>
    <w:next w:val="a"/>
    <w:autoRedefine/>
    <w:uiPriority w:val="39"/>
    <w:unhideWhenUsed/>
    <w:rsid w:val="00A4604B"/>
    <w:pPr>
      <w:spacing w:before="0" w:after="100"/>
      <w:ind w:left="880" w:firstLine="0"/>
      <w:jc w:val="left"/>
    </w:pPr>
    <w:rPr>
      <w:rFonts w:ascii="Calibri" w:hAnsi="Calibri"/>
      <w:color w:val="auto"/>
      <w:sz w:val="22"/>
      <w:szCs w:val="22"/>
      <w:lang w:eastAsia="ru-RU"/>
    </w:rPr>
  </w:style>
  <w:style w:type="paragraph" w:styleId="6">
    <w:name w:val="toc 6"/>
    <w:basedOn w:val="a"/>
    <w:next w:val="a"/>
    <w:autoRedefine/>
    <w:uiPriority w:val="39"/>
    <w:unhideWhenUsed/>
    <w:rsid w:val="00A4604B"/>
    <w:pPr>
      <w:spacing w:before="0" w:after="100"/>
      <w:ind w:left="1100" w:firstLine="0"/>
      <w:jc w:val="left"/>
    </w:pPr>
    <w:rPr>
      <w:rFonts w:ascii="Calibri" w:hAnsi="Calibri"/>
      <w:color w:val="auto"/>
      <w:sz w:val="22"/>
      <w:szCs w:val="22"/>
      <w:lang w:eastAsia="ru-RU"/>
    </w:rPr>
  </w:style>
  <w:style w:type="paragraph" w:styleId="7">
    <w:name w:val="toc 7"/>
    <w:basedOn w:val="a"/>
    <w:next w:val="a"/>
    <w:autoRedefine/>
    <w:uiPriority w:val="39"/>
    <w:unhideWhenUsed/>
    <w:rsid w:val="00A4604B"/>
    <w:pPr>
      <w:spacing w:before="0" w:after="100"/>
      <w:ind w:left="1320" w:firstLine="0"/>
      <w:jc w:val="left"/>
    </w:pPr>
    <w:rPr>
      <w:rFonts w:ascii="Calibri" w:hAnsi="Calibri"/>
      <w:color w:val="auto"/>
      <w:sz w:val="22"/>
      <w:szCs w:val="22"/>
      <w:lang w:eastAsia="ru-RU"/>
    </w:rPr>
  </w:style>
  <w:style w:type="paragraph" w:styleId="8">
    <w:name w:val="toc 8"/>
    <w:basedOn w:val="a"/>
    <w:next w:val="a"/>
    <w:autoRedefine/>
    <w:uiPriority w:val="39"/>
    <w:unhideWhenUsed/>
    <w:rsid w:val="00A4604B"/>
    <w:pPr>
      <w:spacing w:before="0" w:after="100"/>
      <w:ind w:left="1540" w:firstLine="0"/>
      <w:jc w:val="left"/>
    </w:pPr>
    <w:rPr>
      <w:rFonts w:ascii="Calibri" w:hAnsi="Calibri"/>
      <w:color w:val="auto"/>
      <w:sz w:val="22"/>
      <w:szCs w:val="22"/>
      <w:lang w:eastAsia="ru-RU"/>
    </w:rPr>
  </w:style>
  <w:style w:type="paragraph" w:styleId="9">
    <w:name w:val="toc 9"/>
    <w:basedOn w:val="a"/>
    <w:next w:val="a"/>
    <w:autoRedefine/>
    <w:uiPriority w:val="39"/>
    <w:unhideWhenUsed/>
    <w:rsid w:val="00A4604B"/>
    <w:pPr>
      <w:spacing w:before="0" w:after="100"/>
      <w:ind w:left="1760" w:firstLine="0"/>
      <w:jc w:val="left"/>
    </w:pPr>
    <w:rPr>
      <w:rFonts w:ascii="Calibri" w:hAnsi="Calibri"/>
      <w:color w:val="auto"/>
      <w:sz w:val="22"/>
      <w:szCs w:val="22"/>
      <w:lang w:eastAsia="ru-RU"/>
    </w:rPr>
  </w:style>
  <w:style w:type="paragraph" w:customStyle="1" w:styleId="210">
    <w:name w:val="Основной текст 21"/>
    <w:basedOn w:val="a"/>
    <w:rsid w:val="00E002DE"/>
    <w:pPr>
      <w:suppressAutoHyphens/>
      <w:spacing w:before="0" w:after="120" w:line="480" w:lineRule="auto"/>
      <w:ind w:firstLine="0"/>
      <w:jc w:val="left"/>
    </w:pPr>
    <w:rPr>
      <w:color w:val="auto"/>
      <w:szCs w:val="24"/>
      <w:lang w:eastAsia="ar-SA"/>
    </w:rPr>
  </w:style>
  <w:style w:type="character" w:styleId="af3">
    <w:name w:val="Strong"/>
    <w:basedOn w:val="a1"/>
    <w:qFormat/>
    <w:rsid w:val="008A17D4"/>
    <w:rPr>
      <w:b/>
      <w:bCs/>
    </w:rPr>
  </w:style>
  <w:style w:type="character" w:styleId="af4">
    <w:name w:val="Emphasis"/>
    <w:basedOn w:val="a1"/>
    <w:uiPriority w:val="20"/>
    <w:qFormat/>
    <w:rsid w:val="00F6276C"/>
    <w:rPr>
      <w:i/>
      <w:iCs/>
      <w:color w:val="222224"/>
    </w:rPr>
  </w:style>
  <w:style w:type="paragraph" w:customStyle="1" w:styleId="14">
    <w:name w:val="1"/>
    <w:basedOn w:val="a"/>
    <w:rsid w:val="00D85F3E"/>
    <w:pPr>
      <w:spacing w:before="100" w:beforeAutospacing="1" w:after="100" w:afterAutospacing="1" w:line="240" w:lineRule="auto"/>
      <w:ind w:firstLine="0"/>
      <w:jc w:val="left"/>
    </w:pPr>
    <w:rPr>
      <w:color w:val="000000"/>
      <w:szCs w:val="24"/>
      <w:lang w:val="uk-UA" w:eastAsia="uk-UA"/>
    </w:rPr>
  </w:style>
  <w:style w:type="paragraph" w:styleId="af5">
    <w:name w:val="Document Map"/>
    <w:basedOn w:val="a"/>
    <w:link w:val="af6"/>
    <w:semiHidden/>
    <w:unhideWhenUsed/>
    <w:rsid w:val="00561D53"/>
    <w:pPr>
      <w:spacing w:before="0" w:after="0" w:line="240" w:lineRule="auto"/>
    </w:pPr>
    <w:rPr>
      <w:rFonts w:ascii="Tahoma" w:hAnsi="Tahoma" w:cs="Tahoma"/>
      <w:sz w:val="16"/>
      <w:szCs w:val="16"/>
    </w:rPr>
  </w:style>
  <w:style w:type="character" w:customStyle="1" w:styleId="af6">
    <w:name w:val="Схема документа Знак"/>
    <w:basedOn w:val="a1"/>
    <w:link w:val="af5"/>
    <w:semiHidden/>
    <w:rsid w:val="00561D53"/>
    <w:rPr>
      <w:rFonts w:ascii="Tahoma" w:hAnsi="Tahoma" w:cs="Tahoma"/>
      <w:color w:val="333333"/>
      <w:sz w:val="16"/>
      <w:szCs w:val="16"/>
      <w:lang w:eastAsia="en-US"/>
    </w:rPr>
  </w:style>
  <w:style w:type="paragraph" w:styleId="af7">
    <w:name w:val="Normal (Web)"/>
    <w:basedOn w:val="a"/>
    <w:uiPriority w:val="99"/>
    <w:rsid w:val="00A00E17"/>
    <w:pPr>
      <w:spacing w:before="100" w:beforeAutospacing="1" w:after="100" w:afterAutospacing="1" w:line="240" w:lineRule="auto"/>
      <w:ind w:firstLine="0"/>
      <w:jc w:val="left"/>
    </w:pPr>
    <w:rPr>
      <w:color w:val="auto"/>
      <w:szCs w:val="24"/>
      <w:lang w:eastAsia="ru-RU"/>
    </w:rPr>
  </w:style>
  <w:style w:type="paragraph" w:styleId="af8">
    <w:name w:val="footnote text"/>
    <w:basedOn w:val="a"/>
    <w:link w:val="af9"/>
    <w:uiPriority w:val="99"/>
    <w:unhideWhenUsed/>
    <w:rsid w:val="00A00E17"/>
    <w:pPr>
      <w:spacing w:before="120" w:after="0" w:line="240" w:lineRule="auto"/>
      <w:ind w:firstLine="0"/>
    </w:pPr>
    <w:rPr>
      <w:rFonts w:ascii="Calibri" w:eastAsia="Calibri" w:hAnsi="Calibri"/>
      <w:color w:val="auto"/>
      <w:sz w:val="20"/>
      <w:lang w:val="uk-UA"/>
    </w:rPr>
  </w:style>
  <w:style w:type="character" w:customStyle="1" w:styleId="af9">
    <w:name w:val="Текст сноски Знак"/>
    <w:basedOn w:val="a1"/>
    <w:link w:val="af8"/>
    <w:uiPriority w:val="99"/>
    <w:rsid w:val="00A00E17"/>
    <w:rPr>
      <w:rFonts w:ascii="Calibri" w:eastAsia="Calibri" w:hAnsi="Calibri"/>
      <w:lang w:val="uk-UA" w:eastAsia="en-US"/>
    </w:rPr>
  </w:style>
  <w:style w:type="character" w:styleId="afa">
    <w:name w:val="footnote reference"/>
    <w:uiPriority w:val="99"/>
    <w:semiHidden/>
    <w:unhideWhenUsed/>
    <w:rsid w:val="00A00E17"/>
    <w:rPr>
      <w:vertAlign w:val="superscript"/>
    </w:rPr>
  </w:style>
  <w:style w:type="character" w:styleId="afb">
    <w:name w:val="endnote reference"/>
    <w:basedOn w:val="a1"/>
    <w:uiPriority w:val="99"/>
    <w:semiHidden/>
    <w:unhideWhenUsed/>
    <w:rsid w:val="00A00E17"/>
    <w:rPr>
      <w:vertAlign w:val="superscript"/>
    </w:rPr>
  </w:style>
  <w:style w:type="character" w:customStyle="1" w:styleId="20">
    <w:name w:val="Заголовок 2 Знак"/>
    <w:basedOn w:val="a1"/>
    <w:link w:val="2"/>
    <w:rsid w:val="0000323F"/>
    <w:rPr>
      <w:b/>
      <w:lang w:val="uk-UA" w:eastAsia="en-US"/>
    </w:rPr>
  </w:style>
  <w:style w:type="character" w:customStyle="1" w:styleId="40">
    <w:name w:val="Заголовок 4 Знак"/>
    <w:basedOn w:val="a1"/>
    <w:link w:val="4"/>
    <w:uiPriority w:val="9"/>
    <w:semiHidden/>
    <w:rsid w:val="0095684B"/>
    <w:rPr>
      <w:rFonts w:asciiTheme="majorHAnsi" w:eastAsiaTheme="majorEastAsia" w:hAnsiTheme="majorHAnsi" w:cstheme="majorBidi"/>
      <w:b/>
      <w:bCs/>
      <w:i/>
      <w:iCs/>
      <w:color w:val="4F81BD" w:themeColor="accent1"/>
      <w:sz w:val="24"/>
      <w:lang w:eastAsia="en-US"/>
    </w:rPr>
  </w:style>
  <w:style w:type="paragraph" w:customStyle="1" w:styleId="footnotedescription">
    <w:name w:val="footnote description"/>
    <w:next w:val="a"/>
    <w:link w:val="footnotedescriptionChar"/>
    <w:hidden/>
    <w:rsid w:val="0095684B"/>
    <w:pPr>
      <w:spacing w:line="259" w:lineRule="auto"/>
      <w:jc w:val="both"/>
    </w:pPr>
    <w:rPr>
      <w:rFonts w:ascii="Calibri" w:eastAsia="Calibri" w:hAnsi="Calibri" w:cs="Calibri"/>
      <w:color w:val="000000"/>
      <w:sz w:val="16"/>
      <w:szCs w:val="22"/>
      <w:lang w:val="uk-UA" w:eastAsia="uk-UA"/>
    </w:rPr>
  </w:style>
  <w:style w:type="character" w:customStyle="1" w:styleId="footnotedescriptionChar">
    <w:name w:val="footnote description Char"/>
    <w:link w:val="footnotedescription"/>
    <w:rsid w:val="0095684B"/>
    <w:rPr>
      <w:rFonts w:ascii="Calibri" w:eastAsia="Calibri" w:hAnsi="Calibri" w:cs="Calibri"/>
      <w:color w:val="000000"/>
      <w:sz w:val="16"/>
      <w:szCs w:val="22"/>
      <w:lang w:val="uk-UA" w:eastAsia="uk-UA"/>
    </w:rPr>
  </w:style>
  <w:style w:type="character" w:customStyle="1" w:styleId="footnotemark">
    <w:name w:val="footnote mark"/>
    <w:hidden/>
    <w:rsid w:val="0095684B"/>
    <w:rPr>
      <w:rFonts w:ascii="Calibri" w:eastAsia="Calibri" w:hAnsi="Calibri" w:cs="Calibri"/>
      <w:color w:val="000000"/>
      <w:sz w:val="16"/>
      <w:vertAlign w:val="superscript"/>
    </w:rPr>
  </w:style>
  <w:style w:type="paragraph" w:customStyle="1" w:styleId="m-2666219006425913730msolistparagraph">
    <w:name w:val="m_-2666219006425913730msolistparagraph"/>
    <w:basedOn w:val="a"/>
    <w:rsid w:val="009E19A8"/>
    <w:pPr>
      <w:spacing w:before="100" w:beforeAutospacing="1" w:after="100" w:afterAutospacing="1" w:line="240" w:lineRule="auto"/>
      <w:ind w:firstLine="0"/>
      <w:jc w:val="left"/>
    </w:pPr>
    <w:rPr>
      <w:color w:val="auto"/>
      <w:szCs w:val="24"/>
      <w:lang w:val="uk-UA" w:eastAsia="uk-UA"/>
    </w:rPr>
  </w:style>
  <w:style w:type="character" w:customStyle="1" w:styleId="apple-converted-space">
    <w:name w:val="apple-converted-space"/>
    <w:basedOn w:val="a1"/>
    <w:rsid w:val="009E19A8"/>
  </w:style>
  <w:style w:type="character" w:customStyle="1" w:styleId="afc">
    <w:name w:val="Основной текст_"/>
    <w:basedOn w:val="a1"/>
    <w:link w:val="15"/>
    <w:rsid w:val="00295CEB"/>
    <w:rPr>
      <w:rFonts w:ascii="Arial" w:eastAsia="Arial" w:hAnsi="Arial" w:cs="Arial"/>
      <w:sz w:val="16"/>
      <w:szCs w:val="16"/>
      <w:shd w:val="clear" w:color="auto" w:fill="FFFFFF"/>
    </w:rPr>
  </w:style>
  <w:style w:type="character" w:customStyle="1" w:styleId="32">
    <w:name w:val="Основной текст (3)_"/>
    <w:basedOn w:val="a1"/>
    <w:link w:val="33"/>
    <w:rsid w:val="00295CEB"/>
    <w:rPr>
      <w:rFonts w:ascii="Arial" w:eastAsia="Arial" w:hAnsi="Arial" w:cs="Arial"/>
      <w:sz w:val="17"/>
      <w:szCs w:val="17"/>
      <w:shd w:val="clear" w:color="auto" w:fill="FFFFFF"/>
    </w:rPr>
  </w:style>
  <w:style w:type="character" w:customStyle="1" w:styleId="afd">
    <w:name w:val="Подпись к таблице_"/>
    <w:basedOn w:val="a1"/>
    <w:link w:val="afe"/>
    <w:rsid w:val="00295CEB"/>
    <w:rPr>
      <w:rFonts w:ascii="Arial" w:eastAsia="Arial" w:hAnsi="Arial" w:cs="Arial"/>
      <w:sz w:val="16"/>
      <w:szCs w:val="16"/>
      <w:shd w:val="clear" w:color="auto" w:fill="FFFFFF"/>
    </w:rPr>
  </w:style>
  <w:style w:type="paragraph" w:customStyle="1" w:styleId="15">
    <w:name w:val="Основной текст1"/>
    <w:basedOn w:val="a"/>
    <w:link w:val="afc"/>
    <w:rsid w:val="00295CEB"/>
    <w:pPr>
      <w:shd w:val="clear" w:color="auto" w:fill="FFFFFF"/>
      <w:spacing w:before="0" w:after="180" w:line="206" w:lineRule="exact"/>
      <w:ind w:firstLine="0"/>
    </w:pPr>
    <w:rPr>
      <w:rFonts w:ascii="Arial" w:eastAsia="Arial" w:hAnsi="Arial" w:cs="Arial"/>
      <w:color w:val="auto"/>
      <w:sz w:val="16"/>
      <w:szCs w:val="16"/>
      <w:lang w:eastAsia="ru-RU"/>
    </w:rPr>
  </w:style>
  <w:style w:type="paragraph" w:customStyle="1" w:styleId="33">
    <w:name w:val="Основной текст (3)"/>
    <w:basedOn w:val="a"/>
    <w:link w:val="32"/>
    <w:rsid w:val="00295CEB"/>
    <w:pPr>
      <w:shd w:val="clear" w:color="auto" w:fill="FFFFFF"/>
      <w:spacing w:before="180" w:after="180" w:line="0" w:lineRule="atLeast"/>
      <w:ind w:firstLine="0"/>
    </w:pPr>
    <w:rPr>
      <w:rFonts w:ascii="Arial" w:eastAsia="Arial" w:hAnsi="Arial" w:cs="Arial"/>
      <w:color w:val="auto"/>
      <w:sz w:val="17"/>
      <w:szCs w:val="17"/>
      <w:lang w:eastAsia="ru-RU"/>
    </w:rPr>
  </w:style>
  <w:style w:type="paragraph" w:customStyle="1" w:styleId="afe">
    <w:name w:val="Подпись к таблице"/>
    <w:basedOn w:val="a"/>
    <w:link w:val="afd"/>
    <w:rsid w:val="00295CEB"/>
    <w:pPr>
      <w:shd w:val="clear" w:color="auto" w:fill="FFFFFF"/>
      <w:spacing w:before="0" w:after="0" w:line="0" w:lineRule="atLeast"/>
      <w:ind w:firstLine="0"/>
      <w:jc w:val="left"/>
    </w:pPr>
    <w:rPr>
      <w:rFonts w:ascii="Arial" w:eastAsia="Arial" w:hAnsi="Arial" w:cs="Arial"/>
      <w:color w:val="auto"/>
      <w:sz w:val="16"/>
      <w:szCs w:val="16"/>
      <w:lang w:eastAsia="ru-RU"/>
    </w:rPr>
  </w:style>
  <w:style w:type="paragraph" w:customStyle="1" w:styleId="StyleABC-paragrahinNotesUnivers45Light1">
    <w:name w:val="Style ABC - paragrah in Notes + Univers 45 Light1"/>
    <w:basedOn w:val="a"/>
    <w:link w:val="StyleABC-paragrahinNotesUnivers45Light10"/>
    <w:uiPriority w:val="99"/>
    <w:rsid w:val="00816C5D"/>
    <w:pPr>
      <w:spacing w:before="0" w:line="240" w:lineRule="auto"/>
      <w:ind w:firstLine="0"/>
    </w:pPr>
    <w:rPr>
      <w:rFonts w:ascii="Univers 45 Light" w:eastAsia="Calibri" w:hAnsi="Univers 45 Light"/>
      <w:color w:val="auto"/>
      <w:sz w:val="20"/>
      <w:lang w:val="en-GB"/>
    </w:rPr>
  </w:style>
  <w:style w:type="character" w:customStyle="1" w:styleId="StyleABC-paragrahinNotesUnivers45Light10">
    <w:name w:val="Style ABC - paragrah in Notes + Univers 45 Light1 Знак"/>
    <w:link w:val="StyleABC-paragrahinNotesUnivers45Light1"/>
    <w:uiPriority w:val="99"/>
    <w:locked/>
    <w:rsid w:val="00816C5D"/>
    <w:rPr>
      <w:rFonts w:ascii="Univers 45 Light" w:eastAsia="Calibri" w:hAnsi="Univers 45 Light"/>
      <w:lang w:val="en-GB" w:eastAsia="en-US"/>
    </w:rPr>
  </w:style>
  <w:style w:type="paragraph" w:customStyle="1" w:styleId="aff">
    <w:name w:val="ДинРазделОбыч"/>
    <w:basedOn w:val="a"/>
    <w:autoRedefine/>
    <w:rsid w:val="00B26DD2"/>
    <w:pPr>
      <w:widowControl w:val="0"/>
      <w:spacing w:before="0" w:after="0" w:line="240" w:lineRule="auto"/>
      <w:ind w:right="-1" w:firstLine="0"/>
    </w:pPr>
    <w:rPr>
      <w:color w:val="000000"/>
      <w:sz w:val="22"/>
      <w:szCs w:val="22"/>
      <w:u w:val="single"/>
      <w:lang w:val="uk-UA" w:eastAsia="ru-RU"/>
    </w:rPr>
  </w:style>
  <w:style w:type="paragraph" w:customStyle="1" w:styleId="000Normal">
    <w:name w:val="000 Normal"/>
    <w:basedOn w:val="a"/>
    <w:link w:val="000NormalChar"/>
    <w:rsid w:val="00B26DD2"/>
    <w:pPr>
      <w:overflowPunct w:val="0"/>
      <w:autoSpaceDE w:val="0"/>
      <w:autoSpaceDN w:val="0"/>
      <w:adjustRightInd w:val="0"/>
      <w:spacing w:before="60" w:after="40" w:line="220" w:lineRule="exact"/>
      <w:ind w:firstLine="0"/>
      <w:textAlignment w:val="baseline"/>
    </w:pPr>
    <w:rPr>
      <w:rFonts w:ascii="Garamond" w:hAnsi="Garamond"/>
      <w:color w:val="auto"/>
      <w:sz w:val="20"/>
      <w:lang w:val="en-GB"/>
    </w:rPr>
  </w:style>
  <w:style w:type="character" w:customStyle="1" w:styleId="000NormalChar">
    <w:name w:val="000 Normal Char"/>
    <w:link w:val="000Normal"/>
    <w:locked/>
    <w:rsid w:val="00B26DD2"/>
    <w:rPr>
      <w:rFonts w:ascii="Garamond" w:hAnsi="Garamond"/>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end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5D7"/>
    <w:pPr>
      <w:spacing w:before="240" w:after="240" w:line="276" w:lineRule="auto"/>
      <w:ind w:firstLine="709"/>
      <w:jc w:val="both"/>
    </w:pPr>
    <w:rPr>
      <w:color w:val="333333"/>
      <w:sz w:val="24"/>
      <w:lang w:eastAsia="en-US"/>
    </w:rPr>
  </w:style>
  <w:style w:type="paragraph" w:styleId="1">
    <w:name w:val="heading 1"/>
    <w:basedOn w:val="a"/>
    <w:next w:val="a"/>
    <w:link w:val="10"/>
    <w:qFormat/>
    <w:rsid w:val="00E46151"/>
    <w:pPr>
      <w:spacing w:before="0" w:after="120" w:line="240" w:lineRule="auto"/>
      <w:ind w:firstLine="0"/>
      <w:outlineLvl w:val="0"/>
    </w:pPr>
    <w:rPr>
      <w:b/>
      <w:bCs/>
      <w:color w:val="000000"/>
      <w:sz w:val="20"/>
      <w:lang w:val="uk-UA" w:eastAsia="uk-UA"/>
    </w:rPr>
  </w:style>
  <w:style w:type="paragraph" w:styleId="2">
    <w:name w:val="heading 2"/>
    <w:basedOn w:val="a0"/>
    <w:next w:val="a"/>
    <w:link w:val="20"/>
    <w:unhideWhenUsed/>
    <w:qFormat/>
    <w:rsid w:val="0000323F"/>
    <w:pPr>
      <w:numPr>
        <w:numId w:val="5"/>
      </w:numPr>
      <w:spacing w:before="0" w:after="120" w:line="240" w:lineRule="auto"/>
      <w:jc w:val="left"/>
      <w:outlineLvl w:val="1"/>
    </w:pPr>
    <w:rPr>
      <w:b/>
      <w:color w:val="auto"/>
      <w:sz w:val="20"/>
      <w:lang w:val="uk-UA"/>
    </w:rPr>
  </w:style>
  <w:style w:type="paragraph" w:styleId="3">
    <w:name w:val="heading 3"/>
    <w:basedOn w:val="a"/>
    <w:next w:val="a"/>
    <w:link w:val="30"/>
    <w:uiPriority w:val="9"/>
    <w:unhideWhenUsed/>
    <w:qFormat/>
    <w:rsid w:val="00A55FE6"/>
    <w:pPr>
      <w:spacing w:before="0" w:after="120" w:line="240" w:lineRule="auto"/>
      <w:ind w:left="567" w:hanging="567"/>
      <w:jc w:val="left"/>
      <w:outlineLvl w:val="2"/>
    </w:pPr>
    <w:rPr>
      <w:b/>
      <w:sz w:val="20"/>
      <w:lang w:val="uk-UA"/>
    </w:rPr>
  </w:style>
  <w:style w:type="paragraph" w:styleId="4">
    <w:name w:val="heading 4"/>
    <w:basedOn w:val="a"/>
    <w:next w:val="a"/>
    <w:link w:val="40"/>
    <w:uiPriority w:val="9"/>
    <w:semiHidden/>
    <w:unhideWhenUsed/>
    <w:qFormat/>
    <w:rsid w:val="009568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1A25D7"/>
    <w:pPr>
      <w:tabs>
        <w:tab w:val="center" w:pos="4677"/>
        <w:tab w:val="right" w:pos="9355"/>
      </w:tabs>
      <w:spacing w:after="0" w:line="240" w:lineRule="auto"/>
    </w:pPr>
  </w:style>
  <w:style w:type="character" w:customStyle="1" w:styleId="a5">
    <w:name w:val="Верхний колонтитул Знак"/>
    <w:link w:val="a4"/>
    <w:locked/>
    <w:rsid w:val="001A25D7"/>
    <w:rPr>
      <w:color w:val="333333"/>
      <w:sz w:val="24"/>
      <w:lang w:val="ru-RU" w:eastAsia="en-US" w:bidi="ar-SA"/>
    </w:rPr>
  </w:style>
  <w:style w:type="paragraph" w:styleId="a6">
    <w:name w:val="footer"/>
    <w:basedOn w:val="a"/>
    <w:link w:val="a7"/>
    <w:unhideWhenUsed/>
    <w:rsid w:val="001A25D7"/>
    <w:pPr>
      <w:tabs>
        <w:tab w:val="center" w:pos="4677"/>
        <w:tab w:val="right" w:pos="9355"/>
      </w:tabs>
      <w:spacing w:after="0" w:line="240" w:lineRule="auto"/>
    </w:pPr>
  </w:style>
  <w:style w:type="character" w:customStyle="1" w:styleId="a7">
    <w:name w:val="Нижний колонтитул Знак"/>
    <w:link w:val="a6"/>
    <w:locked/>
    <w:rsid w:val="001A25D7"/>
    <w:rPr>
      <w:color w:val="333333"/>
      <w:sz w:val="24"/>
      <w:lang w:val="ru-RU" w:eastAsia="en-US" w:bidi="ar-SA"/>
    </w:rPr>
  </w:style>
  <w:style w:type="paragraph" w:customStyle="1" w:styleId="11">
    <w:name w:val="Абзац списка1"/>
    <w:basedOn w:val="a"/>
    <w:link w:val="ListParagraphChar"/>
    <w:qFormat/>
    <w:rsid w:val="001A25D7"/>
    <w:pPr>
      <w:ind w:left="720"/>
      <w:contextualSpacing/>
    </w:pPr>
  </w:style>
  <w:style w:type="character" w:customStyle="1" w:styleId="ListParagraphChar">
    <w:name w:val="List Paragraph Char"/>
    <w:link w:val="11"/>
    <w:locked/>
    <w:rsid w:val="001A25D7"/>
    <w:rPr>
      <w:color w:val="333333"/>
      <w:sz w:val="24"/>
      <w:lang w:val="ru-RU" w:eastAsia="en-US" w:bidi="ar-SA"/>
    </w:rPr>
  </w:style>
  <w:style w:type="paragraph" w:customStyle="1" w:styleId="Default">
    <w:name w:val="Default"/>
    <w:rsid w:val="001A25D7"/>
    <w:pPr>
      <w:widowControl w:val="0"/>
      <w:autoSpaceDE w:val="0"/>
      <w:autoSpaceDN w:val="0"/>
      <w:adjustRightInd w:val="0"/>
    </w:pPr>
    <w:rPr>
      <w:color w:val="000000"/>
      <w:sz w:val="24"/>
      <w:szCs w:val="24"/>
      <w:lang w:val="uk-UA" w:eastAsia="uk-UA"/>
    </w:rPr>
  </w:style>
  <w:style w:type="character" w:customStyle="1" w:styleId="FontStyle15">
    <w:name w:val="Font Style15"/>
    <w:uiPriority w:val="99"/>
    <w:rsid w:val="007F3AFE"/>
    <w:rPr>
      <w:rFonts w:ascii="Times New Roman" w:hAnsi="Times New Roman" w:cs="Times New Roman"/>
      <w:sz w:val="26"/>
      <w:szCs w:val="26"/>
    </w:rPr>
  </w:style>
  <w:style w:type="paragraph" w:customStyle="1" w:styleId="Style7">
    <w:name w:val="Style7"/>
    <w:basedOn w:val="a"/>
    <w:uiPriority w:val="99"/>
    <w:rsid w:val="007F3AFE"/>
    <w:pPr>
      <w:widowControl w:val="0"/>
      <w:autoSpaceDE w:val="0"/>
      <w:autoSpaceDN w:val="0"/>
      <w:adjustRightInd w:val="0"/>
      <w:spacing w:before="0" w:after="0" w:line="374" w:lineRule="exact"/>
      <w:ind w:hanging="324"/>
    </w:pPr>
    <w:rPr>
      <w:color w:val="auto"/>
      <w:szCs w:val="24"/>
      <w:lang w:val="uk-UA" w:eastAsia="uk-UA"/>
    </w:rPr>
  </w:style>
  <w:style w:type="paragraph" w:styleId="a8">
    <w:name w:val="Balloon Text"/>
    <w:basedOn w:val="a"/>
    <w:link w:val="a9"/>
    <w:rsid w:val="007019D7"/>
    <w:pPr>
      <w:spacing w:before="0" w:after="0" w:line="240" w:lineRule="auto"/>
    </w:pPr>
    <w:rPr>
      <w:rFonts w:ascii="Tahoma" w:hAnsi="Tahoma" w:cs="Tahoma"/>
      <w:sz w:val="16"/>
      <w:szCs w:val="16"/>
    </w:rPr>
  </w:style>
  <w:style w:type="character" w:customStyle="1" w:styleId="a9">
    <w:name w:val="Текст выноски Знак"/>
    <w:link w:val="a8"/>
    <w:rsid w:val="007019D7"/>
    <w:rPr>
      <w:rFonts w:ascii="Tahoma" w:hAnsi="Tahoma" w:cs="Tahoma"/>
      <w:color w:val="333333"/>
      <w:sz w:val="16"/>
      <w:szCs w:val="16"/>
      <w:lang w:val="ru-RU" w:eastAsia="en-US"/>
    </w:rPr>
  </w:style>
  <w:style w:type="paragraph" w:styleId="aa">
    <w:name w:val="Revision"/>
    <w:hidden/>
    <w:uiPriority w:val="99"/>
    <w:semiHidden/>
    <w:rsid w:val="002A0EC7"/>
    <w:rPr>
      <w:color w:val="333333"/>
      <w:sz w:val="24"/>
      <w:lang w:eastAsia="en-US"/>
    </w:rPr>
  </w:style>
  <w:style w:type="paragraph" w:customStyle="1" w:styleId="12">
    <w:name w:val="Обычный1"/>
    <w:rsid w:val="006A5C1F"/>
    <w:pPr>
      <w:widowControl w:val="0"/>
    </w:pPr>
    <w:rPr>
      <w:rFonts w:eastAsia="Calibri"/>
      <w:lang w:val="en-US"/>
    </w:rPr>
  </w:style>
  <w:style w:type="paragraph" w:customStyle="1" w:styleId="21">
    <w:name w:val="Абзац списка2"/>
    <w:basedOn w:val="a"/>
    <w:rsid w:val="006A5C1F"/>
    <w:pPr>
      <w:spacing w:before="0" w:after="0" w:line="240" w:lineRule="auto"/>
      <w:ind w:left="720" w:firstLine="0"/>
      <w:contextualSpacing/>
      <w:jc w:val="left"/>
    </w:pPr>
    <w:rPr>
      <w:rFonts w:eastAsia="Calibri"/>
      <w:color w:val="auto"/>
      <w:sz w:val="20"/>
      <w:lang w:eastAsia="ru-RU"/>
    </w:rPr>
  </w:style>
  <w:style w:type="paragraph" w:styleId="a0">
    <w:name w:val="List Paragraph"/>
    <w:basedOn w:val="a"/>
    <w:link w:val="ab"/>
    <w:uiPriority w:val="34"/>
    <w:qFormat/>
    <w:rsid w:val="00746415"/>
    <w:pPr>
      <w:ind w:left="708"/>
    </w:pPr>
  </w:style>
  <w:style w:type="table" w:styleId="ac">
    <w:name w:val="Table Grid"/>
    <w:basedOn w:val="a2"/>
    <w:uiPriority w:val="59"/>
    <w:rsid w:val="00C93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Plain Text"/>
    <w:basedOn w:val="a"/>
    <w:link w:val="ae"/>
    <w:rsid w:val="00A2172A"/>
    <w:pPr>
      <w:spacing w:before="0" w:after="0" w:line="240" w:lineRule="auto"/>
      <w:ind w:firstLine="0"/>
      <w:jc w:val="left"/>
    </w:pPr>
    <w:rPr>
      <w:rFonts w:ascii="Courier New" w:eastAsia="Calibri" w:hAnsi="Courier New"/>
      <w:color w:val="auto"/>
      <w:sz w:val="20"/>
      <w:lang w:eastAsia="ru-RU"/>
    </w:rPr>
  </w:style>
  <w:style w:type="character" w:customStyle="1" w:styleId="ae">
    <w:name w:val="Текст Знак"/>
    <w:link w:val="ad"/>
    <w:rsid w:val="00A2172A"/>
    <w:rPr>
      <w:rFonts w:ascii="Courier New" w:eastAsia="Calibri" w:hAnsi="Courier New"/>
      <w:lang w:val="ru-RU" w:eastAsia="ru-RU"/>
    </w:rPr>
  </w:style>
  <w:style w:type="character" w:customStyle="1" w:styleId="ab">
    <w:name w:val="Абзац списка Знак"/>
    <w:link w:val="a0"/>
    <w:uiPriority w:val="34"/>
    <w:rsid w:val="001C15E4"/>
    <w:rPr>
      <w:color w:val="333333"/>
      <w:sz w:val="24"/>
      <w:lang w:val="ru-RU" w:eastAsia="en-US"/>
    </w:rPr>
  </w:style>
  <w:style w:type="paragraph" w:styleId="22">
    <w:name w:val="Body Text 2"/>
    <w:basedOn w:val="a"/>
    <w:link w:val="23"/>
    <w:rsid w:val="001223FA"/>
    <w:pPr>
      <w:spacing w:before="0" w:after="120" w:line="480" w:lineRule="auto"/>
      <w:ind w:firstLine="0"/>
      <w:jc w:val="left"/>
    </w:pPr>
    <w:rPr>
      <w:rFonts w:eastAsia="Calibri"/>
      <w:color w:val="auto"/>
      <w:sz w:val="20"/>
      <w:lang w:eastAsia="ru-RU"/>
    </w:rPr>
  </w:style>
  <w:style w:type="character" w:customStyle="1" w:styleId="23">
    <w:name w:val="Основной текст 2 Знак"/>
    <w:link w:val="22"/>
    <w:rsid w:val="001223FA"/>
    <w:rPr>
      <w:rFonts w:eastAsia="Calibri"/>
      <w:lang w:val="ru-RU" w:eastAsia="ru-RU"/>
    </w:rPr>
  </w:style>
  <w:style w:type="paragraph" w:styleId="HTML">
    <w:name w:val="HTML Preformatted"/>
    <w:basedOn w:val="a"/>
    <w:link w:val="HTML0"/>
    <w:rsid w:val="00F0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color w:val="auto"/>
      <w:sz w:val="20"/>
      <w:lang w:val="uk-UA" w:eastAsia="uk-UA"/>
    </w:rPr>
  </w:style>
  <w:style w:type="character" w:customStyle="1" w:styleId="HTML0">
    <w:name w:val="Стандартный HTML Знак"/>
    <w:link w:val="HTML"/>
    <w:rsid w:val="00F02DB2"/>
    <w:rPr>
      <w:rFonts w:ascii="Courier New" w:hAnsi="Courier New" w:cs="Courier New"/>
    </w:rPr>
  </w:style>
  <w:style w:type="character" w:styleId="af">
    <w:name w:val="Hyperlink"/>
    <w:uiPriority w:val="99"/>
    <w:rsid w:val="00F02DB2"/>
    <w:rPr>
      <w:color w:val="701826"/>
      <w:u w:val="single"/>
    </w:rPr>
  </w:style>
  <w:style w:type="paragraph" w:customStyle="1" w:styleId="tjbmf">
    <w:name w:val="tj bmf"/>
    <w:basedOn w:val="a"/>
    <w:rsid w:val="00F02DB2"/>
    <w:pPr>
      <w:spacing w:before="113" w:after="113" w:line="240" w:lineRule="auto"/>
      <w:ind w:firstLine="0"/>
      <w:jc w:val="left"/>
    </w:pPr>
    <w:rPr>
      <w:color w:val="auto"/>
      <w:szCs w:val="24"/>
      <w:lang w:val="uk-UA" w:eastAsia="uk-UA"/>
    </w:rPr>
  </w:style>
  <w:style w:type="character" w:customStyle="1" w:styleId="30">
    <w:name w:val="Заголовок 3 Знак"/>
    <w:link w:val="3"/>
    <w:uiPriority w:val="9"/>
    <w:rsid w:val="00A55FE6"/>
    <w:rPr>
      <w:b/>
      <w:color w:val="333333"/>
      <w:lang w:val="uk-UA" w:eastAsia="en-US"/>
    </w:rPr>
  </w:style>
  <w:style w:type="paragraph" w:styleId="af0">
    <w:name w:val="Body Text Indent"/>
    <w:basedOn w:val="a"/>
    <w:link w:val="af1"/>
    <w:rsid w:val="008929C0"/>
    <w:pPr>
      <w:spacing w:after="120"/>
      <w:ind w:left="283"/>
    </w:pPr>
  </w:style>
  <w:style w:type="character" w:customStyle="1" w:styleId="af1">
    <w:name w:val="Основной текст с отступом Знак"/>
    <w:link w:val="af0"/>
    <w:rsid w:val="008929C0"/>
    <w:rPr>
      <w:color w:val="333333"/>
      <w:sz w:val="24"/>
      <w:lang w:val="ru-RU" w:eastAsia="en-US"/>
    </w:rPr>
  </w:style>
  <w:style w:type="character" w:customStyle="1" w:styleId="10">
    <w:name w:val="Заголовок 1 Знак"/>
    <w:link w:val="1"/>
    <w:rsid w:val="00E46151"/>
    <w:rPr>
      <w:b/>
      <w:bCs/>
      <w:color w:val="000000"/>
      <w:lang w:val="uk-UA" w:eastAsia="uk-UA"/>
    </w:rPr>
  </w:style>
  <w:style w:type="paragraph" w:styleId="af2">
    <w:name w:val="TOC Heading"/>
    <w:basedOn w:val="1"/>
    <w:next w:val="a"/>
    <w:uiPriority w:val="39"/>
    <w:semiHidden/>
    <w:unhideWhenUsed/>
    <w:qFormat/>
    <w:rsid w:val="00A4604B"/>
    <w:pPr>
      <w:keepLines/>
      <w:spacing w:before="480" w:after="0"/>
      <w:jc w:val="left"/>
      <w:outlineLvl w:val="9"/>
    </w:pPr>
    <w:rPr>
      <w:color w:val="365F91"/>
      <w:sz w:val="28"/>
      <w:szCs w:val="28"/>
      <w:lang w:eastAsia="ru-RU"/>
    </w:rPr>
  </w:style>
  <w:style w:type="paragraph" w:styleId="13">
    <w:name w:val="toc 1"/>
    <w:basedOn w:val="a"/>
    <w:next w:val="a"/>
    <w:uiPriority w:val="39"/>
    <w:rsid w:val="003A2A3E"/>
    <w:pPr>
      <w:spacing w:before="0" w:after="120" w:line="240" w:lineRule="auto"/>
      <w:ind w:firstLine="0"/>
      <w:jc w:val="left"/>
    </w:pPr>
    <w:rPr>
      <w:sz w:val="20"/>
    </w:rPr>
  </w:style>
  <w:style w:type="paragraph" w:styleId="31">
    <w:name w:val="toc 3"/>
    <w:basedOn w:val="a"/>
    <w:next w:val="a"/>
    <w:uiPriority w:val="39"/>
    <w:rsid w:val="003A2A3E"/>
    <w:pPr>
      <w:spacing w:before="0" w:after="0" w:line="240" w:lineRule="auto"/>
      <w:ind w:firstLine="0"/>
      <w:jc w:val="left"/>
    </w:pPr>
    <w:rPr>
      <w:sz w:val="20"/>
    </w:rPr>
  </w:style>
  <w:style w:type="paragraph" w:styleId="24">
    <w:name w:val="toc 2"/>
    <w:basedOn w:val="a"/>
    <w:next w:val="a"/>
    <w:uiPriority w:val="39"/>
    <w:unhideWhenUsed/>
    <w:rsid w:val="003A2A3E"/>
    <w:pPr>
      <w:spacing w:before="0" w:after="0" w:line="240" w:lineRule="auto"/>
      <w:ind w:firstLine="0"/>
      <w:jc w:val="left"/>
    </w:pPr>
    <w:rPr>
      <w:color w:val="auto"/>
      <w:sz w:val="20"/>
      <w:szCs w:val="22"/>
      <w:lang w:eastAsia="ru-RU"/>
    </w:rPr>
  </w:style>
  <w:style w:type="paragraph" w:styleId="41">
    <w:name w:val="toc 4"/>
    <w:basedOn w:val="a"/>
    <w:next w:val="a"/>
    <w:autoRedefine/>
    <w:uiPriority w:val="39"/>
    <w:unhideWhenUsed/>
    <w:rsid w:val="00A4604B"/>
    <w:pPr>
      <w:spacing w:before="0" w:after="100"/>
      <w:ind w:left="660" w:firstLine="0"/>
      <w:jc w:val="left"/>
    </w:pPr>
    <w:rPr>
      <w:rFonts w:ascii="Calibri" w:hAnsi="Calibri"/>
      <w:color w:val="auto"/>
      <w:sz w:val="22"/>
      <w:szCs w:val="22"/>
      <w:lang w:eastAsia="ru-RU"/>
    </w:rPr>
  </w:style>
  <w:style w:type="paragraph" w:styleId="5">
    <w:name w:val="toc 5"/>
    <w:basedOn w:val="a"/>
    <w:next w:val="a"/>
    <w:autoRedefine/>
    <w:uiPriority w:val="39"/>
    <w:unhideWhenUsed/>
    <w:rsid w:val="00A4604B"/>
    <w:pPr>
      <w:spacing w:before="0" w:after="100"/>
      <w:ind w:left="880" w:firstLine="0"/>
      <w:jc w:val="left"/>
    </w:pPr>
    <w:rPr>
      <w:rFonts w:ascii="Calibri" w:hAnsi="Calibri"/>
      <w:color w:val="auto"/>
      <w:sz w:val="22"/>
      <w:szCs w:val="22"/>
      <w:lang w:eastAsia="ru-RU"/>
    </w:rPr>
  </w:style>
  <w:style w:type="paragraph" w:styleId="6">
    <w:name w:val="toc 6"/>
    <w:basedOn w:val="a"/>
    <w:next w:val="a"/>
    <w:autoRedefine/>
    <w:uiPriority w:val="39"/>
    <w:unhideWhenUsed/>
    <w:rsid w:val="00A4604B"/>
    <w:pPr>
      <w:spacing w:before="0" w:after="100"/>
      <w:ind w:left="1100" w:firstLine="0"/>
      <w:jc w:val="left"/>
    </w:pPr>
    <w:rPr>
      <w:rFonts w:ascii="Calibri" w:hAnsi="Calibri"/>
      <w:color w:val="auto"/>
      <w:sz w:val="22"/>
      <w:szCs w:val="22"/>
      <w:lang w:eastAsia="ru-RU"/>
    </w:rPr>
  </w:style>
  <w:style w:type="paragraph" w:styleId="7">
    <w:name w:val="toc 7"/>
    <w:basedOn w:val="a"/>
    <w:next w:val="a"/>
    <w:autoRedefine/>
    <w:uiPriority w:val="39"/>
    <w:unhideWhenUsed/>
    <w:rsid w:val="00A4604B"/>
    <w:pPr>
      <w:spacing w:before="0" w:after="100"/>
      <w:ind w:left="1320" w:firstLine="0"/>
      <w:jc w:val="left"/>
    </w:pPr>
    <w:rPr>
      <w:rFonts w:ascii="Calibri" w:hAnsi="Calibri"/>
      <w:color w:val="auto"/>
      <w:sz w:val="22"/>
      <w:szCs w:val="22"/>
      <w:lang w:eastAsia="ru-RU"/>
    </w:rPr>
  </w:style>
  <w:style w:type="paragraph" w:styleId="8">
    <w:name w:val="toc 8"/>
    <w:basedOn w:val="a"/>
    <w:next w:val="a"/>
    <w:autoRedefine/>
    <w:uiPriority w:val="39"/>
    <w:unhideWhenUsed/>
    <w:rsid w:val="00A4604B"/>
    <w:pPr>
      <w:spacing w:before="0" w:after="100"/>
      <w:ind w:left="1540" w:firstLine="0"/>
      <w:jc w:val="left"/>
    </w:pPr>
    <w:rPr>
      <w:rFonts w:ascii="Calibri" w:hAnsi="Calibri"/>
      <w:color w:val="auto"/>
      <w:sz w:val="22"/>
      <w:szCs w:val="22"/>
      <w:lang w:eastAsia="ru-RU"/>
    </w:rPr>
  </w:style>
  <w:style w:type="paragraph" w:styleId="9">
    <w:name w:val="toc 9"/>
    <w:basedOn w:val="a"/>
    <w:next w:val="a"/>
    <w:autoRedefine/>
    <w:uiPriority w:val="39"/>
    <w:unhideWhenUsed/>
    <w:rsid w:val="00A4604B"/>
    <w:pPr>
      <w:spacing w:before="0" w:after="100"/>
      <w:ind w:left="1760" w:firstLine="0"/>
      <w:jc w:val="left"/>
    </w:pPr>
    <w:rPr>
      <w:rFonts w:ascii="Calibri" w:hAnsi="Calibri"/>
      <w:color w:val="auto"/>
      <w:sz w:val="22"/>
      <w:szCs w:val="22"/>
      <w:lang w:eastAsia="ru-RU"/>
    </w:rPr>
  </w:style>
  <w:style w:type="paragraph" w:customStyle="1" w:styleId="210">
    <w:name w:val="Основной текст 21"/>
    <w:basedOn w:val="a"/>
    <w:rsid w:val="00E002DE"/>
    <w:pPr>
      <w:suppressAutoHyphens/>
      <w:spacing w:before="0" w:after="120" w:line="480" w:lineRule="auto"/>
      <w:ind w:firstLine="0"/>
      <w:jc w:val="left"/>
    </w:pPr>
    <w:rPr>
      <w:color w:val="auto"/>
      <w:szCs w:val="24"/>
      <w:lang w:eastAsia="ar-SA"/>
    </w:rPr>
  </w:style>
  <w:style w:type="character" w:styleId="af3">
    <w:name w:val="Strong"/>
    <w:basedOn w:val="a1"/>
    <w:qFormat/>
    <w:rsid w:val="008A17D4"/>
    <w:rPr>
      <w:b/>
      <w:bCs/>
    </w:rPr>
  </w:style>
  <w:style w:type="character" w:styleId="af4">
    <w:name w:val="Emphasis"/>
    <w:basedOn w:val="a1"/>
    <w:uiPriority w:val="20"/>
    <w:qFormat/>
    <w:rsid w:val="00F6276C"/>
    <w:rPr>
      <w:i/>
      <w:iCs/>
      <w:color w:val="222224"/>
    </w:rPr>
  </w:style>
  <w:style w:type="paragraph" w:customStyle="1" w:styleId="14">
    <w:name w:val="1"/>
    <w:basedOn w:val="a"/>
    <w:rsid w:val="00D85F3E"/>
    <w:pPr>
      <w:spacing w:before="100" w:beforeAutospacing="1" w:after="100" w:afterAutospacing="1" w:line="240" w:lineRule="auto"/>
      <w:ind w:firstLine="0"/>
      <w:jc w:val="left"/>
    </w:pPr>
    <w:rPr>
      <w:color w:val="000000"/>
      <w:szCs w:val="24"/>
      <w:lang w:val="uk-UA" w:eastAsia="uk-UA"/>
    </w:rPr>
  </w:style>
  <w:style w:type="paragraph" w:styleId="af5">
    <w:name w:val="Document Map"/>
    <w:basedOn w:val="a"/>
    <w:link w:val="af6"/>
    <w:semiHidden/>
    <w:unhideWhenUsed/>
    <w:rsid w:val="00561D53"/>
    <w:pPr>
      <w:spacing w:before="0" w:after="0" w:line="240" w:lineRule="auto"/>
    </w:pPr>
    <w:rPr>
      <w:rFonts w:ascii="Tahoma" w:hAnsi="Tahoma" w:cs="Tahoma"/>
      <w:sz w:val="16"/>
      <w:szCs w:val="16"/>
    </w:rPr>
  </w:style>
  <w:style w:type="character" w:customStyle="1" w:styleId="af6">
    <w:name w:val="Схема документа Знак"/>
    <w:basedOn w:val="a1"/>
    <w:link w:val="af5"/>
    <w:semiHidden/>
    <w:rsid w:val="00561D53"/>
    <w:rPr>
      <w:rFonts w:ascii="Tahoma" w:hAnsi="Tahoma" w:cs="Tahoma"/>
      <w:color w:val="333333"/>
      <w:sz w:val="16"/>
      <w:szCs w:val="16"/>
      <w:lang w:eastAsia="en-US"/>
    </w:rPr>
  </w:style>
  <w:style w:type="paragraph" w:styleId="af7">
    <w:name w:val="Normal (Web)"/>
    <w:basedOn w:val="a"/>
    <w:uiPriority w:val="99"/>
    <w:rsid w:val="00A00E17"/>
    <w:pPr>
      <w:spacing w:before="100" w:beforeAutospacing="1" w:after="100" w:afterAutospacing="1" w:line="240" w:lineRule="auto"/>
      <w:ind w:firstLine="0"/>
      <w:jc w:val="left"/>
    </w:pPr>
    <w:rPr>
      <w:color w:val="auto"/>
      <w:szCs w:val="24"/>
      <w:lang w:eastAsia="ru-RU"/>
    </w:rPr>
  </w:style>
  <w:style w:type="paragraph" w:styleId="af8">
    <w:name w:val="footnote text"/>
    <w:basedOn w:val="a"/>
    <w:link w:val="af9"/>
    <w:uiPriority w:val="99"/>
    <w:unhideWhenUsed/>
    <w:rsid w:val="00A00E17"/>
    <w:pPr>
      <w:spacing w:before="120" w:after="0" w:line="240" w:lineRule="auto"/>
      <w:ind w:firstLine="0"/>
    </w:pPr>
    <w:rPr>
      <w:rFonts w:ascii="Calibri" w:eastAsia="Calibri" w:hAnsi="Calibri"/>
      <w:color w:val="auto"/>
      <w:sz w:val="20"/>
      <w:lang w:val="uk-UA"/>
    </w:rPr>
  </w:style>
  <w:style w:type="character" w:customStyle="1" w:styleId="af9">
    <w:name w:val="Текст сноски Знак"/>
    <w:basedOn w:val="a1"/>
    <w:link w:val="af8"/>
    <w:uiPriority w:val="99"/>
    <w:rsid w:val="00A00E17"/>
    <w:rPr>
      <w:rFonts w:ascii="Calibri" w:eastAsia="Calibri" w:hAnsi="Calibri"/>
      <w:lang w:val="uk-UA" w:eastAsia="en-US"/>
    </w:rPr>
  </w:style>
  <w:style w:type="character" w:styleId="afa">
    <w:name w:val="footnote reference"/>
    <w:uiPriority w:val="99"/>
    <w:semiHidden/>
    <w:unhideWhenUsed/>
    <w:rsid w:val="00A00E17"/>
    <w:rPr>
      <w:vertAlign w:val="superscript"/>
    </w:rPr>
  </w:style>
  <w:style w:type="character" w:styleId="afb">
    <w:name w:val="endnote reference"/>
    <w:basedOn w:val="a1"/>
    <w:uiPriority w:val="99"/>
    <w:semiHidden/>
    <w:unhideWhenUsed/>
    <w:rsid w:val="00A00E17"/>
    <w:rPr>
      <w:vertAlign w:val="superscript"/>
    </w:rPr>
  </w:style>
  <w:style w:type="character" w:customStyle="1" w:styleId="20">
    <w:name w:val="Заголовок 2 Знак"/>
    <w:basedOn w:val="a1"/>
    <w:link w:val="2"/>
    <w:rsid w:val="0000323F"/>
    <w:rPr>
      <w:b/>
      <w:lang w:val="uk-UA" w:eastAsia="en-US"/>
    </w:rPr>
  </w:style>
  <w:style w:type="character" w:customStyle="1" w:styleId="40">
    <w:name w:val="Заголовок 4 Знак"/>
    <w:basedOn w:val="a1"/>
    <w:link w:val="4"/>
    <w:uiPriority w:val="9"/>
    <w:semiHidden/>
    <w:rsid w:val="0095684B"/>
    <w:rPr>
      <w:rFonts w:asciiTheme="majorHAnsi" w:eastAsiaTheme="majorEastAsia" w:hAnsiTheme="majorHAnsi" w:cstheme="majorBidi"/>
      <w:b/>
      <w:bCs/>
      <w:i/>
      <w:iCs/>
      <w:color w:val="4F81BD" w:themeColor="accent1"/>
      <w:sz w:val="24"/>
      <w:lang w:eastAsia="en-US"/>
    </w:rPr>
  </w:style>
  <w:style w:type="paragraph" w:customStyle="1" w:styleId="footnotedescription">
    <w:name w:val="footnote description"/>
    <w:next w:val="a"/>
    <w:link w:val="footnotedescriptionChar"/>
    <w:hidden/>
    <w:rsid w:val="0095684B"/>
    <w:pPr>
      <w:spacing w:line="259" w:lineRule="auto"/>
      <w:jc w:val="both"/>
    </w:pPr>
    <w:rPr>
      <w:rFonts w:ascii="Calibri" w:eastAsia="Calibri" w:hAnsi="Calibri" w:cs="Calibri"/>
      <w:color w:val="000000"/>
      <w:sz w:val="16"/>
      <w:szCs w:val="22"/>
      <w:lang w:val="uk-UA" w:eastAsia="uk-UA"/>
    </w:rPr>
  </w:style>
  <w:style w:type="character" w:customStyle="1" w:styleId="footnotedescriptionChar">
    <w:name w:val="footnote description Char"/>
    <w:link w:val="footnotedescription"/>
    <w:rsid w:val="0095684B"/>
    <w:rPr>
      <w:rFonts w:ascii="Calibri" w:eastAsia="Calibri" w:hAnsi="Calibri" w:cs="Calibri"/>
      <w:color w:val="000000"/>
      <w:sz w:val="16"/>
      <w:szCs w:val="22"/>
      <w:lang w:val="uk-UA" w:eastAsia="uk-UA"/>
    </w:rPr>
  </w:style>
  <w:style w:type="character" w:customStyle="1" w:styleId="footnotemark">
    <w:name w:val="footnote mark"/>
    <w:hidden/>
    <w:rsid w:val="0095684B"/>
    <w:rPr>
      <w:rFonts w:ascii="Calibri" w:eastAsia="Calibri" w:hAnsi="Calibri" w:cs="Calibri"/>
      <w:color w:val="000000"/>
      <w:sz w:val="16"/>
      <w:vertAlign w:val="superscript"/>
    </w:rPr>
  </w:style>
  <w:style w:type="paragraph" w:customStyle="1" w:styleId="m-2666219006425913730msolistparagraph">
    <w:name w:val="m_-2666219006425913730msolistparagraph"/>
    <w:basedOn w:val="a"/>
    <w:rsid w:val="009E19A8"/>
    <w:pPr>
      <w:spacing w:before="100" w:beforeAutospacing="1" w:after="100" w:afterAutospacing="1" w:line="240" w:lineRule="auto"/>
      <w:ind w:firstLine="0"/>
      <w:jc w:val="left"/>
    </w:pPr>
    <w:rPr>
      <w:color w:val="auto"/>
      <w:szCs w:val="24"/>
      <w:lang w:val="uk-UA" w:eastAsia="uk-UA"/>
    </w:rPr>
  </w:style>
  <w:style w:type="character" w:customStyle="1" w:styleId="apple-converted-space">
    <w:name w:val="apple-converted-space"/>
    <w:basedOn w:val="a1"/>
    <w:rsid w:val="009E19A8"/>
  </w:style>
  <w:style w:type="character" w:customStyle="1" w:styleId="afc">
    <w:name w:val="Основной текст_"/>
    <w:basedOn w:val="a1"/>
    <w:link w:val="15"/>
    <w:rsid w:val="00295CEB"/>
    <w:rPr>
      <w:rFonts w:ascii="Arial" w:eastAsia="Arial" w:hAnsi="Arial" w:cs="Arial"/>
      <w:sz w:val="16"/>
      <w:szCs w:val="16"/>
      <w:shd w:val="clear" w:color="auto" w:fill="FFFFFF"/>
    </w:rPr>
  </w:style>
  <w:style w:type="character" w:customStyle="1" w:styleId="32">
    <w:name w:val="Основной текст (3)_"/>
    <w:basedOn w:val="a1"/>
    <w:link w:val="33"/>
    <w:rsid w:val="00295CEB"/>
    <w:rPr>
      <w:rFonts w:ascii="Arial" w:eastAsia="Arial" w:hAnsi="Arial" w:cs="Arial"/>
      <w:sz w:val="17"/>
      <w:szCs w:val="17"/>
      <w:shd w:val="clear" w:color="auto" w:fill="FFFFFF"/>
    </w:rPr>
  </w:style>
  <w:style w:type="character" w:customStyle="1" w:styleId="afd">
    <w:name w:val="Подпись к таблице_"/>
    <w:basedOn w:val="a1"/>
    <w:link w:val="afe"/>
    <w:rsid w:val="00295CEB"/>
    <w:rPr>
      <w:rFonts w:ascii="Arial" w:eastAsia="Arial" w:hAnsi="Arial" w:cs="Arial"/>
      <w:sz w:val="16"/>
      <w:szCs w:val="16"/>
      <w:shd w:val="clear" w:color="auto" w:fill="FFFFFF"/>
    </w:rPr>
  </w:style>
  <w:style w:type="paragraph" w:customStyle="1" w:styleId="15">
    <w:name w:val="Основной текст1"/>
    <w:basedOn w:val="a"/>
    <w:link w:val="afc"/>
    <w:rsid w:val="00295CEB"/>
    <w:pPr>
      <w:shd w:val="clear" w:color="auto" w:fill="FFFFFF"/>
      <w:spacing w:before="0" w:after="180" w:line="206" w:lineRule="exact"/>
      <w:ind w:firstLine="0"/>
    </w:pPr>
    <w:rPr>
      <w:rFonts w:ascii="Arial" w:eastAsia="Arial" w:hAnsi="Arial" w:cs="Arial"/>
      <w:color w:val="auto"/>
      <w:sz w:val="16"/>
      <w:szCs w:val="16"/>
      <w:lang w:eastAsia="ru-RU"/>
    </w:rPr>
  </w:style>
  <w:style w:type="paragraph" w:customStyle="1" w:styleId="33">
    <w:name w:val="Основной текст (3)"/>
    <w:basedOn w:val="a"/>
    <w:link w:val="32"/>
    <w:rsid w:val="00295CEB"/>
    <w:pPr>
      <w:shd w:val="clear" w:color="auto" w:fill="FFFFFF"/>
      <w:spacing w:before="180" w:after="180" w:line="0" w:lineRule="atLeast"/>
      <w:ind w:firstLine="0"/>
    </w:pPr>
    <w:rPr>
      <w:rFonts w:ascii="Arial" w:eastAsia="Arial" w:hAnsi="Arial" w:cs="Arial"/>
      <w:color w:val="auto"/>
      <w:sz w:val="17"/>
      <w:szCs w:val="17"/>
      <w:lang w:eastAsia="ru-RU"/>
    </w:rPr>
  </w:style>
  <w:style w:type="paragraph" w:customStyle="1" w:styleId="afe">
    <w:name w:val="Подпись к таблице"/>
    <w:basedOn w:val="a"/>
    <w:link w:val="afd"/>
    <w:rsid w:val="00295CEB"/>
    <w:pPr>
      <w:shd w:val="clear" w:color="auto" w:fill="FFFFFF"/>
      <w:spacing w:before="0" w:after="0" w:line="0" w:lineRule="atLeast"/>
      <w:ind w:firstLine="0"/>
      <w:jc w:val="left"/>
    </w:pPr>
    <w:rPr>
      <w:rFonts w:ascii="Arial" w:eastAsia="Arial" w:hAnsi="Arial" w:cs="Arial"/>
      <w:color w:val="auto"/>
      <w:sz w:val="16"/>
      <w:szCs w:val="16"/>
      <w:lang w:eastAsia="ru-RU"/>
    </w:rPr>
  </w:style>
  <w:style w:type="paragraph" w:customStyle="1" w:styleId="StyleABC-paragrahinNotesUnivers45Light1">
    <w:name w:val="Style ABC - paragrah in Notes + Univers 45 Light1"/>
    <w:basedOn w:val="a"/>
    <w:link w:val="StyleABC-paragrahinNotesUnivers45Light10"/>
    <w:uiPriority w:val="99"/>
    <w:rsid w:val="00816C5D"/>
    <w:pPr>
      <w:spacing w:before="0" w:line="240" w:lineRule="auto"/>
      <w:ind w:firstLine="0"/>
    </w:pPr>
    <w:rPr>
      <w:rFonts w:ascii="Univers 45 Light" w:eastAsia="Calibri" w:hAnsi="Univers 45 Light"/>
      <w:color w:val="auto"/>
      <w:sz w:val="20"/>
      <w:lang w:val="en-GB"/>
    </w:rPr>
  </w:style>
  <w:style w:type="character" w:customStyle="1" w:styleId="StyleABC-paragrahinNotesUnivers45Light10">
    <w:name w:val="Style ABC - paragrah in Notes + Univers 45 Light1 Знак"/>
    <w:link w:val="StyleABC-paragrahinNotesUnivers45Light1"/>
    <w:uiPriority w:val="99"/>
    <w:locked/>
    <w:rsid w:val="00816C5D"/>
    <w:rPr>
      <w:rFonts w:ascii="Univers 45 Light" w:eastAsia="Calibri" w:hAnsi="Univers 45 Light"/>
      <w:lang w:val="en-GB" w:eastAsia="en-US"/>
    </w:rPr>
  </w:style>
  <w:style w:type="paragraph" w:customStyle="1" w:styleId="aff">
    <w:name w:val="ДинРазделОбыч"/>
    <w:basedOn w:val="a"/>
    <w:autoRedefine/>
    <w:rsid w:val="00B26DD2"/>
    <w:pPr>
      <w:widowControl w:val="0"/>
      <w:spacing w:before="0" w:after="0" w:line="240" w:lineRule="auto"/>
      <w:ind w:right="-1" w:firstLine="0"/>
    </w:pPr>
    <w:rPr>
      <w:color w:val="000000"/>
      <w:sz w:val="22"/>
      <w:szCs w:val="22"/>
      <w:u w:val="single"/>
      <w:lang w:val="uk-UA" w:eastAsia="ru-RU"/>
    </w:rPr>
  </w:style>
  <w:style w:type="paragraph" w:customStyle="1" w:styleId="000Normal">
    <w:name w:val="000 Normal"/>
    <w:basedOn w:val="a"/>
    <w:link w:val="000NormalChar"/>
    <w:rsid w:val="00B26DD2"/>
    <w:pPr>
      <w:overflowPunct w:val="0"/>
      <w:autoSpaceDE w:val="0"/>
      <w:autoSpaceDN w:val="0"/>
      <w:adjustRightInd w:val="0"/>
      <w:spacing w:before="60" w:after="40" w:line="220" w:lineRule="exact"/>
      <w:ind w:firstLine="0"/>
      <w:textAlignment w:val="baseline"/>
    </w:pPr>
    <w:rPr>
      <w:rFonts w:ascii="Garamond" w:hAnsi="Garamond"/>
      <w:color w:val="auto"/>
      <w:sz w:val="20"/>
      <w:lang w:val="en-GB"/>
    </w:rPr>
  </w:style>
  <w:style w:type="character" w:customStyle="1" w:styleId="000NormalChar">
    <w:name w:val="000 Normal Char"/>
    <w:link w:val="000Normal"/>
    <w:locked/>
    <w:rsid w:val="00B26DD2"/>
    <w:rPr>
      <w:rFonts w:ascii="Garamond" w:hAnsi="Garamond"/>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13208">
      <w:bodyDiv w:val="1"/>
      <w:marLeft w:val="0"/>
      <w:marRight w:val="0"/>
      <w:marTop w:val="0"/>
      <w:marBottom w:val="0"/>
      <w:divBdr>
        <w:top w:val="none" w:sz="0" w:space="0" w:color="auto"/>
        <w:left w:val="none" w:sz="0" w:space="0" w:color="auto"/>
        <w:bottom w:val="none" w:sz="0" w:space="0" w:color="auto"/>
        <w:right w:val="none" w:sz="0" w:space="0" w:color="auto"/>
      </w:divBdr>
    </w:div>
    <w:div w:id="276982877">
      <w:bodyDiv w:val="1"/>
      <w:marLeft w:val="0"/>
      <w:marRight w:val="0"/>
      <w:marTop w:val="0"/>
      <w:marBottom w:val="0"/>
      <w:divBdr>
        <w:top w:val="none" w:sz="0" w:space="0" w:color="auto"/>
        <w:left w:val="none" w:sz="0" w:space="0" w:color="auto"/>
        <w:bottom w:val="none" w:sz="0" w:space="0" w:color="auto"/>
        <w:right w:val="none" w:sz="0" w:space="0" w:color="auto"/>
      </w:divBdr>
    </w:div>
    <w:div w:id="385884161">
      <w:bodyDiv w:val="1"/>
      <w:marLeft w:val="0"/>
      <w:marRight w:val="0"/>
      <w:marTop w:val="0"/>
      <w:marBottom w:val="0"/>
      <w:divBdr>
        <w:top w:val="none" w:sz="0" w:space="0" w:color="auto"/>
        <w:left w:val="none" w:sz="0" w:space="0" w:color="auto"/>
        <w:bottom w:val="none" w:sz="0" w:space="0" w:color="auto"/>
        <w:right w:val="none" w:sz="0" w:space="0" w:color="auto"/>
      </w:divBdr>
    </w:div>
    <w:div w:id="488669176">
      <w:bodyDiv w:val="1"/>
      <w:marLeft w:val="0"/>
      <w:marRight w:val="0"/>
      <w:marTop w:val="0"/>
      <w:marBottom w:val="0"/>
      <w:divBdr>
        <w:top w:val="none" w:sz="0" w:space="0" w:color="auto"/>
        <w:left w:val="none" w:sz="0" w:space="0" w:color="auto"/>
        <w:bottom w:val="none" w:sz="0" w:space="0" w:color="auto"/>
        <w:right w:val="none" w:sz="0" w:space="0" w:color="auto"/>
      </w:divBdr>
    </w:div>
    <w:div w:id="533152365">
      <w:bodyDiv w:val="1"/>
      <w:marLeft w:val="0"/>
      <w:marRight w:val="0"/>
      <w:marTop w:val="0"/>
      <w:marBottom w:val="0"/>
      <w:divBdr>
        <w:top w:val="none" w:sz="0" w:space="0" w:color="auto"/>
        <w:left w:val="none" w:sz="0" w:space="0" w:color="auto"/>
        <w:bottom w:val="none" w:sz="0" w:space="0" w:color="auto"/>
        <w:right w:val="none" w:sz="0" w:space="0" w:color="auto"/>
      </w:divBdr>
    </w:div>
    <w:div w:id="667563197">
      <w:bodyDiv w:val="1"/>
      <w:marLeft w:val="0"/>
      <w:marRight w:val="0"/>
      <w:marTop w:val="0"/>
      <w:marBottom w:val="0"/>
      <w:divBdr>
        <w:top w:val="none" w:sz="0" w:space="0" w:color="auto"/>
        <w:left w:val="none" w:sz="0" w:space="0" w:color="auto"/>
        <w:bottom w:val="none" w:sz="0" w:space="0" w:color="auto"/>
        <w:right w:val="none" w:sz="0" w:space="0" w:color="auto"/>
      </w:divBdr>
    </w:div>
    <w:div w:id="701977424">
      <w:bodyDiv w:val="1"/>
      <w:marLeft w:val="0"/>
      <w:marRight w:val="0"/>
      <w:marTop w:val="0"/>
      <w:marBottom w:val="0"/>
      <w:divBdr>
        <w:top w:val="none" w:sz="0" w:space="0" w:color="auto"/>
        <w:left w:val="none" w:sz="0" w:space="0" w:color="auto"/>
        <w:bottom w:val="none" w:sz="0" w:space="0" w:color="auto"/>
        <w:right w:val="none" w:sz="0" w:space="0" w:color="auto"/>
      </w:divBdr>
    </w:div>
    <w:div w:id="745612355">
      <w:bodyDiv w:val="1"/>
      <w:marLeft w:val="0"/>
      <w:marRight w:val="0"/>
      <w:marTop w:val="0"/>
      <w:marBottom w:val="0"/>
      <w:divBdr>
        <w:top w:val="none" w:sz="0" w:space="0" w:color="auto"/>
        <w:left w:val="none" w:sz="0" w:space="0" w:color="auto"/>
        <w:bottom w:val="none" w:sz="0" w:space="0" w:color="auto"/>
        <w:right w:val="none" w:sz="0" w:space="0" w:color="auto"/>
      </w:divBdr>
    </w:div>
    <w:div w:id="752778285">
      <w:bodyDiv w:val="1"/>
      <w:marLeft w:val="0"/>
      <w:marRight w:val="0"/>
      <w:marTop w:val="0"/>
      <w:marBottom w:val="0"/>
      <w:divBdr>
        <w:top w:val="none" w:sz="0" w:space="0" w:color="auto"/>
        <w:left w:val="none" w:sz="0" w:space="0" w:color="auto"/>
        <w:bottom w:val="none" w:sz="0" w:space="0" w:color="auto"/>
        <w:right w:val="none" w:sz="0" w:space="0" w:color="auto"/>
      </w:divBdr>
    </w:div>
    <w:div w:id="805586689">
      <w:bodyDiv w:val="1"/>
      <w:marLeft w:val="0"/>
      <w:marRight w:val="0"/>
      <w:marTop w:val="0"/>
      <w:marBottom w:val="0"/>
      <w:divBdr>
        <w:top w:val="none" w:sz="0" w:space="0" w:color="auto"/>
        <w:left w:val="none" w:sz="0" w:space="0" w:color="auto"/>
        <w:bottom w:val="none" w:sz="0" w:space="0" w:color="auto"/>
        <w:right w:val="none" w:sz="0" w:space="0" w:color="auto"/>
      </w:divBdr>
    </w:div>
    <w:div w:id="809588911">
      <w:bodyDiv w:val="1"/>
      <w:marLeft w:val="0"/>
      <w:marRight w:val="0"/>
      <w:marTop w:val="0"/>
      <w:marBottom w:val="0"/>
      <w:divBdr>
        <w:top w:val="none" w:sz="0" w:space="0" w:color="auto"/>
        <w:left w:val="none" w:sz="0" w:space="0" w:color="auto"/>
        <w:bottom w:val="none" w:sz="0" w:space="0" w:color="auto"/>
        <w:right w:val="none" w:sz="0" w:space="0" w:color="auto"/>
      </w:divBdr>
    </w:div>
    <w:div w:id="1106116736">
      <w:bodyDiv w:val="1"/>
      <w:marLeft w:val="0"/>
      <w:marRight w:val="0"/>
      <w:marTop w:val="0"/>
      <w:marBottom w:val="0"/>
      <w:divBdr>
        <w:top w:val="none" w:sz="0" w:space="0" w:color="auto"/>
        <w:left w:val="none" w:sz="0" w:space="0" w:color="auto"/>
        <w:bottom w:val="none" w:sz="0" w:space="0" w:color="auto"/>
        <w:right w:val="none" w:sz="0" w:space="0" w:color="auto"/>
      </w:divBdr>
    </w:div>
    <w:div w:id="1283727054">
      <w:bodyDiv w:val="1"/>
      <w:marLeft w:val="0"/>
      <w:marRight w:val="0"/>
      <w:marTop w:val="0"/>
      <w:marBottom w:val="0"/>
      <w:divBdr>
        <w:top w:val="none" w:sz="0" w:space="0" w:color="auto"/>
        <w:left w:val="none" w:sz="0" w:space="0" w:color="auto"/>
        <w:bottom w:val="none" w:sz="0" w:space="0" w:color="auto"/>
        <w:right w:val="none" w:sz="0" w:space="0" w:color="auto"/>
      </w:divBdr>
    </w:div>
    <w:div w:id="1298530376">
      <w:bodyDiv w:val="1"/>
      <w:marLeft w:val="0"/>
      <w:marRight w:val="0"/>
      <w:marTop w:val="0"/>
      <w:marBottom w:val="0"/>
      <w:divBdr>
        <w:top w:val="none" w:sz="0" w:space="0" w:color="auto"/>
        <w:left w:val="none" w:sz="0" w:space="0" w:color="auto"/>
        <w:bottom w:val="none" w:sz="0" w:space="0" w:color="auto"/>
        <w:right w:val="none" w:sz="0" w:space="0" w:color="auto"/>
      </w:divBdr>
    </w:div>
    <w:div w:id="1299917512">
      <w:bodyDiv w:val="1"/>
      <w:marLeft w:val="0"/>
      <w:marRight w:val="0"/>
      <w:marTop w:val="0"/>
      <w:marBottom w:val="0"/>
      <w:divBdr>
        <w:top w:val="none" w:sz="0" w:space="0" w:color="auto"/>
        <w:left w:val="none" w:sz="0" w:space="0" w:color="auto"/>
        <w:bottom w:val="none" w:sz="0" w:space="0" w:color="auto"/>
        <w:right w:val="none" w:sz="0" w:space="0" w:color="auto"/>
      </w:divBdr>
    </w:div>
    <w:div w:id="1386878457">
      <w:bodyDiv w:val="1"/>
      <w:marLeft w:val="0"/>
      <w:marRight w:val="0"/>
      <w:marTop w:val="0"/>
      <w:marBottom w:val="0"/>
      <w:divBdr>
        <w:top w:val="none" w:sz="0" w:space="0" w:color="auto"/>
        <w:left w:val="none" w:sz="0" w:space="0" w:color="auto"/>
        <w:bottom w:val="none" w:sz="0" w:space="0" w:color="auto"/>
        <w:right w:val="none" w:sz="0" w:space="0" w:color="auto"/>
      </w:divBdr>
    </w:div>
    <w:div w:id="1393117742">
      <w:bodyDiv w:val="1"/>
      <w:marLeft w:val="0"/>
      <w:marRight w:val="0"/>
      <w:marTop w:val="0"/>
      <w:marBottom w:val="0"/>
      <w:divBdr>
        <w:top w:val="none" w:sz="0" w:space="0" w:color="auto"/>
        <w:left w:val="none" w:sz="0" w:space="0" w:color="auto"/>
        <w:bottom w:val="none" w:sz="0" w:space="0" w:color="auto"/>
        <w:right w:val="none" w:sz="0" w:space="0" w:color="auto"/>
      </w:divBdr>
    </w:div>
    <w:div w:id="1418864837">
      <w:bodyDiv w:val="1"/>
      <w:marLeft w:val="0"/>
      <w:marRight w:val="0"/>
      <w:marTop w:val="0"/>
      <w:marBottom w:val="0"/>
      <w:divBdr>
        <w:top w:val="none" w:sz="0" w:space="0" w:color="auto"/>
        <w:left w:val="none" w:sz="0" w:space="0" w:color="auto"/>
        <w:bottom w:val="none" w:sz="0" w:space="0" w:color="auto"/>
        <w:right w:val="none" w:sz="0" w:space="0" w:color="auto"/>
      </w:divBdr>
    </w:div>
    <w:div w:id="1424447425">
      <w:bodyDiv w:val="1"/>
      <w:marLeft w:val="0"/>
      <w:marRight w:val="0"/>
      <w:marTop w:val="0"/>
      <w:marBottom w:val="0"/>
      <w:divBdr>
        <w:top w:val="none" w:sz="0" w:space="0" w:color="auto"/>
        <w:left w:val="none" w:sz="0" w:space="0" w:color="auto"/>
        <w:bottom w:val="none" w:sz="0" w:space="0" w:color="auto"/>
        <w:right w:val="none" w:sz="0" w:space="0" w:color="auto"/>
      </w:divBdr>
    </w:div>
    <w:div w:id="1514954329">
      <w:bodyDiv w:val="1"/>
      <w:marLeft w:val="0"/>
      <w:marRight w:val="0"/>
      <w:marTop w:val="0"/>
      <w:marBottom w:val="0"/>
      <w:divBdr>
        <w:top w:val="none" w:sz="0" w:space="0" w:color="auto"/>
        <w:left w:val="none" w:sz="0" w:space="0" w:color="auto"/>
        <w:bottom w:val="none" w:sz="0" w:space="0" w:color="auto"/>
        <w:right w:val="none" w:sz="0" w:space="0" w:color="auto"/>
      </w:divBdr>
    </w:div>
    <w:div w:id="1532298291">
      <w:bodyDiv w:val="1"/>
      <w:marLeft w:val="0"/>
      <w:marRight w:val="0"/>
      <w:marTop w:val="0"/>
      <w:marBottom w:val="0"/>
      <w:divBdr>
        <w:top w:val="none" w:sz="0" w:space="0" w:color="auto"/>
        <w:left w:val="none" w:sz="0" w:space="0" w:color="auto"/>
        <w:bottom w:val="none" w:sz="0" w:space="0" w:color="auto"/>
        <w:right w:val="none" w:sz="0" w:space="0" w:color="auto"/>
      </w:divBdr>
    </w:div>
    <w:div w:id="1543592776">
      <w:bodyDiv w:val="1"/>
      <w:marLeft w:val="0"/>
      <w:marRight w:val="0"/>
      <w:marTop w:val="0"/>
      <w:marBottom w:val="0"/>
      <w:divBdr>
        <w:top w:val="none" w:sz="0" w:space="0" w:color="auto"/>
        <w:left w:val="none" w:sz="0" w:space="0" w:color="auto"/>
        <w:bottom w:val="none" w:sz="0" w:space="0" w:color="auto"/>
        <w:right w:val="none" w:sz="0" w:space="0" w:color="auto"/>
      </w:divBdr>
    </w:div>
    <w:div w:id="1610354316">
      <w:bodyDiv w:val="1"/>
      <w:marLeft w:val="0"/>
      <w:marRight w:val="0"/>
      <w:marTop w:val="0"/>
      <w:marBottom w:val="0"/>
      <w:divBdr>
        <w:top w:val="none" w:sz="0" w:space="0" w:color="auto"/>
        <w:left w:val="none" w:sz="0" w:space="0" w:color="auto"/>
        <w:bottom w:val="none" w:sz="0" w:space="0" w:color="auto"/>
        <w:right w:val="none" w:sz="0" w:space="0" w:color="auto"/>
      </w:divBdr>
    </w:div>
    <w:div w:id="1639608581">
      <w:bodyDiv w:val="1"/>
      <w:marLeft w:val="0"/>
      <w:marRight w:val="0"/>
      <w:marTop w:val="0"/>
      <w:marBottom w:val="0"/>
      <w:divBdr>
        <w:top w:val="none" w:sz="0" w:space="0" w:color="auto"/>
        <w:left w:val="none" w:sz="0" w:space="0" w:color="auto"/>
        <w:bottom w:val="none" w:sz="0" w:space="0" w:color="auto"/>
        <w:right w:val="none" w:sz="0" w:space="0" w:color="auto"/>
      </w:divBdr>
    </w:div>
    <w:div w:id="1661037601">
      <w:bodyDiv w:val="1"/>
      <w:marLeft w:val="0"/>
      <w:marRight w:val="0"/>
      <w:marTop w:val="0"/>
      <w:marBottom w:val="0"/>
      <w:divBdr>
        <w:top w:val="none" w:sz="0" w:space="0" w:color="auto"/>
        <w:left w:val="none" w:sz="0" w:space="0" w:color="auto"/>
        <w:bottom w:val="none" w:sz="0" w:space="0" w:color="auto"/>
        <w:right w:val="none" w:sz="0" w:space="0" w:color="auto"/>
      </w:divBdr>
    </w:div>
    <w:div w:id="1665014975">
      <w:bodyDiv w:val="1"/>
      <w:marLeft w:val="0"/>
      <w:marRight w:val="0"/>
      <w:marTop w:val="0"/>
      <w:marBottom w:val="0"/>
      <w:divBdr>
        <w:top w:val="none" w:sz="0" w:space="0" w:color="auto"/>
        <w:left w:val="none" w:sz="0" w:space="0" w:color="auto"/>
        <w:bottom w:val="none" w:sz="0" w:space="0" w:color="auto"/>
        <w:right w:val="none" w:sz="0" w:space="0" w:color="auto"/>
      </w:divBdr>
    </w:div>
    <w:div w:id="1722829976">
      <w:bodyDiv w:val="1"/>
      <w:marLeft w:val="0"/>
      <w:marRight w:val="0"/>
      <w:marTop w:val="0"/>
      <w:marBottom w:val="0"/>
      <w:divBdr>
        <w:top w:val="none" w:sz="0" w:space="0" w:color="auto"/>
        <w:left w:val="none" w:sz="0" w:space="0" w:color="auto"/>
        <w:bottom w:val="none" w:sz="0" w:space="0" w:color="auto"/>
        <w:right w:val="none" w:sz="0" w:space="0" w:color="auto"/>
      </w:divBdr>
    </w:div>
    <w:div w:id="1746610791">
      <w:bodyDiv w:val="1"/>
      <w:marLeft w:val="0"/>
      <w:marRight w:val="0"/>
      <w:marTop w:val="0"/>
      <w:marBottom w:val="0"/>
      <w:divBdr>
        <w:top w:val="none" w:sz="0" w:space="0" w:color="auto"/>
        <w:left w:val="none" w:sz="0" w:space="0" w:color="auto"/>
        <w:bottom w:val="none" w:sz="0" w:space="0" w:color="auto"/>
        <w:right w:val="none" w:sz="0" w:space="0" w:color="auto"/>
      </w:divBdr>
    </w:div>
    <w:div w:id="1802109822">
      <w:bodyDiv w:val="1"/>
      <w:marLeft w:val="0"/>
      <w:marRight w:val="0"/>
      <w:marTop w:val="0"/>
      <w:marBottom w:val="0"/>
      <w:divBdr>
        <w:top w:val="none" w:sz="0" w:space="0" w:color="auto"/>
        <w:left w:val="none" w:sz="0" w:space="0" w:color="auto"/>
        <w:bottom w:val="none" w:sz="0" w:space="0" w:color="auto"/>
        <w:right w:val="none" w:sz="0" w:space="0" w:color="auto"/>
      </w:divBdr>
    </w:div>
    <w:div w:id="1858157601">
      <w:bodyDiv w:val="1"/>
      <w:marLeft w:val="0"/>
      <w:marRight w:val="0"/>
      <w:marTop w:val="0"/>
      <w:marBottom w:val="0"/>
      <w:divBdr>
        <w:top w:val="none" w:sz="0" w:space="0" w:color="auto"/>
        <w:left w:val="none" w:sz="0" w:space="0" w:color="auto"/>
        <w:bottom w:val="none" w:sz="0" w:space="0" w:color="auto"/>
        <w:right w:val="none" w:sz="0" w:space="0" w:color="auto"/>
      </w:divBdr>
    </w:div>
    <w:div w:id="1864127820">
      <w:bodyDiv w:val="1"/>
      <w:marLeft w:val="0"/>
      <w:marRight w:val="0"/>
      <w:marTop w:val="0"/>
      <w:marBottom w:val="0"/>
      <w:divBdr>
        <w:top w:val="none" w:sz="0" w:space="0" w:color="auto"/>
        <w:left w:val="none" w:sz="0" w:space="0" w:color="auto"/>
        <w:bottom w:val="none" w:sz="0" w:space="0" w:color="auto"/>
        <w:right w:val="none" w:sz="0" w:space="0" w:color="auto"/>
      </w:divBdr>
    </w:div>
    <w:div w:id="1934315169">
      <w:bodyDiv w:val="1"/>
      <w:marLeft w:val="0"/>
      <w:marRight w:val="0"/>
      <w:marTop w:val="0"/>
      <w:marBottom w:val="0"/>
      <w:divBdr>
        <w:top w:val="none" w:sz="0" w:space="0" w:color="auto"/>
        <w:left w:val="none" w:sz="0" w:space="0" w:color="auto"/>
        <w:bottom w:val="none" w:sz="0" w:space="0" w:color="auto"/>
        <w:right w:val="none" w:sz="0" w:space="0" w:color="auto"/>
      </w:divBdr>
    </w:div>
    <w:div w:id="2032486190">
      <w:bodyDiv w:val="1"/>
      <w:marLeft w:val="0"/>
      <w:marRight w:val="0"/>
      <w:marTop w:val="0"/>
      <w:marBottom w:val="0"/>
      <w:divBdr>
        <w:top w:val="none" w:sz="0" w:space="0" w:color="auto"/>
        <w:left w:val="none" w:sz="0" w:space="0" w:color="auto"/>
        <w:bottom w:val="none" w:sz="0" w:space="0" w:color="auto"/>
        <w:right w:val="none" w:sz="0" w:space="0" w:color="auto"/>
      </w:divBdr>
    </w:div>
    <w:div w:id="21242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5C8A76-44E8-4F5E-BA21-EA144750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15382</Words>
  <Characters>87680</Characters>
  <Application>Microsoft Office Word</Application>
  <DocSecurity>0</DocSecurity>
  <Lines>730</Lines>
  <Paragraphs>205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1</vt:lpstr>
      <vt:lpstr>1</vt:lpstr>
    </vt:vector>
  </TitlesOfParts>
  <Company>Home</Company>
  <LinksUpToDate>false</LinksUpToDate>
  <CharactersWithSpaces>102857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Овчинникова</dc:creator>
  <cp:lastModifiedBy>Vit</cp:lastModifiedBy>
  <cp:revision>2</cp:revision>
  <cp:lastPrinted>2018-04-19T14:11:00Z</cp:lastPrinted>
  <dcterms:created xsi:type="dcterms:W3CDTF">2018-04-19T14:11:00Z</dcterms:created>
  <dcterms:modified xsi:type="dcterms:W3CDTF">2018-04-19T14:11:00Z</dcterms:modified>
</cp:coreProperties>
</file>