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riefLabel"/>
      </w:pPr>
      <w:r>
        <w:t>CLAUDE / DESIGNER IMPLEMENTATION BRIEF</w:t>
      </w:r>
    </w:p>
    <w:p>
      <w:pPr>
        <w:pStyle w:val="Title"/>
      </w:pPr>
      <w:r>
        <w:t>Ukrainian Dedicated Plagiarism Checker</w:t>
      </w:r>
    </w:p>
    <w:p>
      <w:r>
        <w:rPr>
          <w:b/>
          <w:color w:val="28506F"/>
          <w:sz w:val="30"/>
        </w:rPr>
        <w:t>/ua/plagiarism-check</w:t>
      </w:r>
    </w:p>
    <w:tbl>
      <w:tblPr>
        <w:tblW w:type="auto" w:w="0"/>
        <w:jc w:val="center"/>
        <w:tblLook w:firstColumn="1" w:firstRow="1" w:lastColumn="0" w:lastRow="0" w:noHBand="0" w:noVBand="1" w:val="04A0"/>
      </w:tblPr>
      <w:tblGrid>
        <w:gridCol w:w="10166"/>
      </w:tblGrid>
      <w:tr>
        <w:tc>
          <w:tcPr>
            <w:tcW w:type="dxa" w:w="10166"/>
            <w:shd w:fill="EDF6EE"/>
            <w:tcBorders>
              <w:top w:val="single" w:sz="8" w:color="D6DFEA"/>
              <w:left w:val="single" w:sz="8" w:color="D6DFEA"/>
              <w:bottom w:val="single" w:sz="8" w:color="D6DFEA"/>
              <w:right w:val="single" w:sz="8" w:color="D6DFEA"/>
            </w:tcBorders>
          </w:tcPr>
          <w:p>
            <w:pPr>
              <w:spacing w:after="80"/>
            </w:pPr>
            <w:r>
              <w:rPr>
                <w:b/>
                <w:sz w:val="21"/>
              </w:rPr>
              <w:t>Status</w:t>
            </w:r>
          </w:p>
          <w:p>
            <w:pPr>
              <w:spacing w:after="80"/>
            </w:pPr>
            <w:r>
              <w:t>Stage 2 strategy + Stage 3 content baseline approved for implementation. This page is the first production master for AR-03 and must establish a reusable funnel/design system for future locales where a dedicated /{locale}/plagiarism-check route owns transactional intent.</w:t>
            </w:r>
          </w:p>
        </w:tc>
        <w:trPr>
          <w:tblHeader/>
        </w:trPr>
      </w:tr>
    </w:tbl>
    <w:p>
      <w:pPr>
        <w:spacing w:after="0"/>
      </w:pP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EAF0F7"/>
            <w:vAlign w:val="center"/>
          </w:tcPr>
          <w:p>
            <w:r>
              <w:rPr>
                <w:b/>
                <w:sz w:val="18"/>
              </w:rPr>
              <w:t>Field</w:t>
            </w:r>
          </w:p>
        </w:tc>
        <w:tc>
          <w:tcPr>
            <w:tcW w:type="dxa" w:w="8208"/>
            <w:shd w:fill="EAF0F7"/>
            <w:vAlign w:val="center"/>
          </w:tcPr>
          <w:p>
            <w:r>
              <w:rPr>
                <w:b/>
                <w:sz w:val="18"/>
              </w:rPr>
              <w:t>Decision</w:t>
            </w:r>
          </w:p>
        </w:tc>
      </w:tr>
      <w:tr>
        <w:tc>
          <w:tcPr>
            <w:tcW w:type="dxa" w:w="2304"/>
            <w:vAlign w:val="top"/>
          </w:tcPr>
          <w:p>
            <w:r>
              <w:rPr>
                <w:sz w:val="17"/>
              </w:rPr>
              <w:t>Date</w:t>
            </w:r>
          </w:p>
        </w:tc>
        <w:tc>
          <w:tcPr>
            <w:tcW w:type="dxa" w:w="8208"/>
            <w:vAlign w:val="top"/>
          </w:tcPr>
          <w:p>
            <w:r>
              <w:rPr>
                <w:sz w:val="17"/>
              </w:rPr>
              <w:t>16 September 2026</w:t>
            </w:r>
          </w:p>
        </w:tc>
      </w:tr>
      <w:tr>
        <w:tc>
          <w:tcPr>
            <w:tcW w:type="dxa" w:w="2304"/>
            <w:vAlign w:val="top"/>
          </w:tcPr>
          <w:p>
            <w:r>
              <w:rPr>
                <w:sz w:val="17"/>
              </w:rPr>
              <w:t>Priority</w:t>
            </w:r>
          </w:p>
        </w:tc>
        <w:tc>
          <w:tcPr>
            <w:tcW w:type="dxa" w:w="8208"/>
            <w:vAlign w:val="top"/>
          </w:tcPr>
          <w:p>
            <w:r>
              <w:rPr>
                <w:sz w:val="17"/>
              </w:rPr>
              <w:t>P0 — protect / recover high-value existing URL</w:t>
            </w:r>
          </w:p>
        </w:tc>
      </w:tr>
      <w:tr>
        <w:tc>
          <w:tcPr>
            <w:tcW w:type="dxa" w:w="2304"/>
            <w:vAlign w:val="top"/>
          </w:tcPr>
          <w:p>
            <w:r>
              <w:rPr>
                <w:sz w:val="17"/>
              </w:rPr>
              <w:t>Primary role</w:t>
            </w:r>
          </w:p>
        </w:tc>
        <w:tc>
          <w:tcPr>
            <w:tcW w:type="dxa" w:w="8208"/>
            <w:vAlign w:val="top"/>
          </w:tcPr>
          <w:p>
            <w:r>
              <w:rPr>
                <w:sz w:val="17"/>
              </w:rPr>
              <w:t>Ukrainian broad transactional plagiarism-checker owner</w:t>
            </w:r>
          </w:p>
        </w:tc>
      </w:tr>
      <w:tr>
        <w:tc>
          <w:tcPr>
            <w:tcW w:type="dxa" w:w="2304"/>
            <w:vAlign w:val="top"/>
          </w:tcPr>
          <w:p>
            <w:r>
              <w:rPr>
                <w:sz w:val="17"/>
              </w:rPr>
              <w:t>Design mode</w:t>
            </w:r>
          </w:p>
        </w:tc>
        <w:tc>
          <w:tcPr>
            <w:tcW w:type="dxa" w:w="8208"/>
            <w:vAlign w:val="top"/>
          </w:tcPr>
          <w:p>
            <w:r>
              <w:rPr>
                <w:sz w:val="17"/>
              </w:rPr>
              <w:t>Bespoke master + section-first reuse</w:t>
            </w:r>
          </w:p>
        </w:tc>
      </w:tr>
      <w:tr>
        <w:tc>
          <w:tcPr>
            <w:tcW w:type="dxa" w:w="2304"/>
            <w:vAlign w:val="top"/>
          </w:tcPr>
          <w:p>
            <w:r>
              <w:rPr>
                <w:sz w:val="17"/>
              </w:rPr>
              <w:t>Content language</w:t>
            </w:r>
          </w:p>
        </w:tc>
        <w:tc>
          <w:tcPr>
            <w:tcW w:type="dxa" w:w="8208"/>
            <w:vAlign w:val="top"/>
          </w:tcPr>
          <w:p>
            <w:r>
              <w:rPr>
                <w:sz w:val="17"/>
              </w:rPr>
              <w:t>Native Ukrainian — not an EN translation</w:t>
            </w:r>
          </w:p>
        </w:tc>
      </w:tr>
      <w:tr>
        <w:tc>
          <w:tcPr>
            <w:tcW w:type="dxa" w:w="2304"/>
            <w:vAlign w:val="top"/>
          </w:tcPr>
          <w:p>
            <w:r>
              <w:rPr>
                <w:sz w:val="17"/>
              </w:rPr>
              <w:t>Reusable master role</w:t>
            </w:r>
          </w:p>
        </w:tc>
        <w:tc>
          <w:tcPr>
            <w:tcW w:type="dxa" w:w="8208"/>
            <w:vAlign w:val="top"/>
          </w:tcPr>
          <w:p>
            <w:r>
              <w:rPr>
                <w:sz w:val="17"/>
              </w:rPr>
              <w:t>AR-03 Dedicated Plagiarism Checker Landing</w:t>
            </w:r>
          </w:p>
        </w:tc>
      </w:tr>
      <w:tr>
        <w:tc>
          <w:tcPr>
            <w:tcW w:type="dxa" w:w="2304"/>
            <w:vAlign w:val="top"/>
          </w:tcPr>
          <w:p>
            <w:r>
              <w:rPr>
                <w:sz w:val="17"/>
              </w:rPr>
              <w:t>Primary operational source of truth</w:t>
            </w:r>
          </w:p>
        </w:tc>
        <w:tc>
          <w:tcPr>
            <w:tcW w:type="dxa" w:w="8208"/>
            <w:vAlign w:val="top"/>
          </w:tcPr>
          <w:p>
            <w:r>
              <w:rPr>
                <w:sz w:val="17"/>
              </w:rPr>
              <w:t>PlagiarismSearch SEO Recovery — Control Center</w:t>
            </w:r>
          </w:p>
        </w:tc>
      </w:tr>
    </w:tbl>
    <w:p>
      <w:pPr>
        <w:spacing w:after="0"/>
      </w:pPr>
    </w:p>
    <w:p>
      <w:pPr>
        <w:pStyle w:val="SmallNote"/>
      </w:pPr>
      <w:r>
        <w:t>This document is an implementation contract. Claude has visual freedom inside the approved design system, but must not change page intent, factual meaning, product boundaries, conversion logic, or multilingual architecture rules.</w:t>
      </w:r>
    </w:p>
    <w:p>
      <w:r>
        <w:br w:type="page"/>
      </w:r>
    </w:p>
    <w:p>
      <w:pPr>
        <w:pStyle w:val="Heading1"/>
        <w:keepNext/>
      </w:pPr>
      <w:r>
        <w:t>1. Executive implementation context</w:t>
      </w:r>
    </w:p>
    <w:p>
      <w:r>
        <w:t>This is not a new SEO landing and not a student-only page. The existing /ua/plagiarism-check URL is a proven high-value asset with historical broad transactional ownership. The redesign must protect the route while materially improving product evidence, clarity, trust, and conversion quality.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EAF0F7"/>
            <w:vAlign w:val="center"/>
          </w:tcPr>
          <w:p>
            <w:r>
              <w:rPr>
                <w:b/>
                <w:sz w:val="18"/>
              </w:rPr>
              <w:t>Signal</w:t>
            </w:r>
          </w:p>
        </w:tc>
        <w:tc>
          <w:tcPr>
            <w:tcW w:type="dxa" w:w="8064"/>
            <w:shd w:fill="EAF0F7"/>
            <w:vAlign w:val="center"/>
          </w:tcPr>
          <w:p>
            <w:r>
              <w:rPr>
                <w:b/>
                <w:sz w:val="18"/>
              </w:rPr>
              <w:t>Evidence / implication</w:t>
            </w:r>
          </w:p>
        </w:tc>
      </w:tr>
      <w:tr>
        <w:tc>
          <w:tcPr>
            <w:tcW w:type="dxa" w:w="2448"/>
            <w:vAlign w:val="top"/>
          </w:tcPr>
          <w:p>
            <w:r>
              <w:rPr>
                <w:sz w:val="17"/>
              </w:rPr>
              <w:t>Historical owner role</w:t>
            </w:r>
          </w:p>
        </w:tc>
        <w:tc>
          <w:tcPr>
            <w:tcW w:type="dxa" w:w="8064"/>
            <w:vAlign w:val="top"/>
          </w:tcPr>
          <w:p>
            <w:r>
              <w:rPr>
                <w:sz w:val="17"/>
              </w:rPr>
              <w:t>Dedicated UA checker decisively outperforms the UA homepage for plagiarism-check intent.</w:t>
            </w:r>
          </w:p>
        </w:tc>
      </w:tr>
      <w:tr>
        <w:tc>
          <w:tcPr>
            <w:tcW w:type="dxa" w:w="2448"/>
            <w:vAlign w:val="top"/>
          </w:tcPr>
          <w:p>
            <w:r>
              <w:rPr>
                <w:sz w:val="17"/>
              </w:rPr>
              <w:t>Commercial value</w:t>
            </w:r>
          </w:p>
        </w:tc>
        <w:tc>
          <w:tcPr>
            <w:tcW w:type="dxa" w:w="8064"/>
            <w:vAlign w:val="top"/>
          </w:tcPr>
          <w:p>
            <w:r>
              <w:rPr>
                <w:sz w:val="17"/>
              </w:rPr>
              <w:t>Historically acquisition- and payment-bearing; treat implementation changes as recovery-sensitive.</w:t>
            </w:r>
          </w:p>
        </w:tc>
      </w:tr>
      <w:tr>
        <w:tc>
          <w:tcPr>
            <w:tcW w:type="dxa" w:w="2448"/>
            <w:vAlign w:val="top"/>
          </w:tcPr>
          <w:p>
            <w:r>
              <w:rPr>
                <w:sz w:val="17"/>
              </w:rPr>
              <w:t>Ranking loss pattern</w:t>
            </w:r>
          </w:p>
        </w:tc>
        <w:tc>
          <w:tcPr>
            <w:tcW w:type="dxa" w:w="8064"/>
            <w:vAlign w:val="top"/>
          </w:tcPr>
          <w:p>
            <w:r>
              <w:rPr>
                <w:sz w:val="17"/>
              </w:rPr>
              <w:t>The strongest real ranking deterioration is late June–July 2026; broad generic and “online” cohorts weakened materially.</w:t>
            </w:r>
          </w:p>
        </w:tc>
      </w:tr>
      <w:tr>
        <w:tc>
          <w:tcPr>
            <w:tcW w:type="dxa" w:w="2448"/>
            <w:vAlign w:val="top"/>
          </w:tcPr>
          <w:p>
            <w:r>
              <w:rPr>
                <w:sz w:val="17"/>
              </w:rPr>
              <w:t>Resilient demand</w:t>
            </w:r>
          </w:p>
        </w:tc>
        <w:tc>
          <w:tcPr>
            <w:tcW w:type="dxa" w:w="8064"/>
            <w:vAlign w:val="top"/>
          </w:tcPr>
          <w:p>
            <w:r>
              <w:rPr>
                <w:sz w:val="17"/>
              </w:rPr>
              <w:t>Free-intent queries remain important; free entry must stay transparent and immediate.</w:t>
            </w:r>
          </w:p>
        </w:tc>
      </w:tr>
      <w:tr>
        <w:tc>
          <w:tcPr>
            <w:tcW w:type="dxa" w:w="2448"/>
            <w:vAlign w:val="top"/>
          </w:tcPr>
          <w:p>
            <w:r>
              <w:rPr>
                <w:sz w:val="17"/>
              </w:rPr>
              <w:t>AR-03 principle</w:t>
            </w:r>
          </w:p>
        </w:tc>
        <w:tc>
          <w:tcPr>
            <w:tcW w:type="dxa" w:w="8064"/>
            <w:vAlign w:val="top"/>
          </w:tcPr>
          <w:p>
            <w:r>
              <w:rPr>
                <w:sz w:val="17"/>
              </w:rPr>
              <w:t>Broad transactional checker first. Academic/student context is a local secondary layer, not the funnel backbone.</w:t>
            </w:r>
          </w:p>
        </w:tc>
      </w:tr>
    </w:tbl>
    <w:p>
      <w:pPr>
        <w:spacing w:after="0"/>
      </w:pPr>
    </w:p>
    <w:tbl>
      <w:tblPr>
        <w:tblW w:type="auto" w:w="0"/>
        <w:jc w:val="center"/>
        <w:tblLook w:firstColumn="1" w:firstRow="1" w:lastColumn="0" w:lastRow="0" w:noHBand="0" w:noVBand="1" w:val="04A0"/>
      </w:tblPr>
      <w:tblGrid>
        <w:gridCol w:w="10166"/>
      </w:tblGrid>
      <w:tr>
        <w:tc>
          <w:tcPr>
            <w:tcW w:type="dxa" w:w="10166"/>
            <w:shd w:fill="FFF6E7"/>
            <w:tcBorders>
              <w:top w:val="single" w:sz="8" w:color="D6DFEA"/>
              <w:left w:val="single" w:sz="8" w:color="D6DFEA"/>
              <w:bottom w:val="single" w:sz="8" w:color="D6DFEA"/>
              <w:right w:val="single" w:sz="8" w:color="D6DFEA"/>
            </w:tcBorders>
          </w:tcPr>
          <w:p>
            <w:pPr>
              <w:spacing w:after="80"/>
            </w:pPr>
            <w:r>
              <w:rPr>
                <w:b/>
                <w:sz w:val="21"/>
              </w:rPr>
              <w:t>Core recovery objective</w:t>
            </w:r>
          </w:p>
          <w:p>
            <w:pPr>
              <w:spacing w:after="80"/>
            </w:pPr>
            <w:r>
              <w:t>Regain broad/general + online relevance without sacrificing resilient free-intent, without narrowing the page to academic-only use, and without creating homepage cannibalization.</w:t>
            </w:r>
          </w:p>
        </w:tc>
        <w:trPr>
          <w:tblHeader/>
        </w:trPr>
      </w:tr>
    </w:tbl>
    <w:p>
      <w:pPr>
        <w:spacing w:after="0"/>
      </w:pPr>
    </w:p>
    <w:p>
      <w:pPr>
        <w:pStyle w:val="Heading1"/>
        <w:keepNext/>
      </w:pPr>
      <w:r>
        <w:t>2. Architecture rules that must not be changed</w:t>
      </w:r>
    </w:p>
    <w:p>
      <w:pPr>
        <w:pStyle w:val="ListBullet"/>
      </w:pPr>
      <w:r>
        <w:t>KEEP the exact existing URL /ua/plagiarism-check.</w:t>
      </w:r>
    </w:p>
    <w:p>
      <w:pPr>
        <w:pStyle w:val="ListBullet"/>
      </w:pPr>
      <w:r>
        <w:t>Self-canonical. Do not redirect to /ua/.</w:t>
      </w:r>
    </w:p>
    <w:p>
      <w:pPr>
        <w:pStyle w:val="ListBullet"/>
      </w:pPr>
      <w:r>
        <w:t>This URL is the Ukrainian transactional plagiarism-checker owner; the UA homepage has a broader role.</w:t>
      </w:r>
    </w:p>
    <w:p>
      <w:pPr>
        <w:pStyle w:val="ListBullet"/>
      </w:pPr>
      <w:r>
        <w:t>AR-03 is reusable only for locales where 32_Language_Architecture confirms a dedicated checker owner. Do not assume every locale gets /{locale}/plagiarism-check.</w:t>
      </w:r>
    </w:p>
    <w:p>
      <w:pPr>
        <w:pStyle w:val="ListBullet"/>
      </w:pPr>
      <w:r>
        <w:t>Future locale implementations reuse funnel/design logic, not Ukrainian copy. Each locale requires native SERP/query/content research.</w:t>
      </w:r>
    </w:p>
    <w:p>
      <w:pPr>
        <w:pStyle w:val="ListBullet"/>
      </w:pPr>
      <w:r>
        <w:t>Geo-specific proof modules are optional and removable. Their absence must not break spacing, transitions, or narrative flow.</w:t>
      </w:r>
    </w:p>
    <w:tbl>
      <w:tblPr>
        <w:tblW w:type="auto" w:w="0"/>
        <w:jc w:val="center"/>
        <w:tblLook w:firstColumn="1" w:firstRow="1" w:lastColumn="0" w:lastRow="0" w:noHBand="0" w:noVBand="1" w:val="04A0"/>
      </w:tblPr>
      <w:tblGrid>
        <w:gridCol w:w="10166"/>
      </w:tblGrid>
      <w:tr>
        <w:tc>
          <w:tcPr>
            <w:tcW w:type="dxa" w:w="10166"/>
            <w:shd w:fill="FDECEC"/>
            <w:tcBorders>
              <w:top w:val="single" w:sz="8" w:color="D6DFEA"/>
              <w:left w:val="single" w:sz="8" w:color="D6DFEA"/>
              <w:bottom w:val="single" w:sz="8" w:color="D6DFEA"/>
              <w:right w:val="single" w:sz="8" w:color="D6DFEA"/>
            </w:tcBorders>
          </w:tcPr>
          <w:p>
            <w:pPr>
              <w:spacing w:after="80"/>
            </w:pPr>
            <w:r>
              <w:rPr>
                <w:b/>
                <w:sz w:val="21"/>
              </w:rPr>
              <w:t>Do not create a new EN checker page from this master</w:t>
            </w:r>
          </w:p>
          <w:p>
            <w:pPr>
              <w:spacing w:after="80"/>
            </w:pPr>
            <w:r>
              <w:t>The EN /plagiarism-check route remains a migration source. AR-03 is for confirmed dedicated-owner locales only.</w:t>
            </w:r>
          </w:p>
        </w:tc>
        <w:trPr>
          <w:tblHeader/>
        </w:trPr>
      </w:tr>
    </w:tbl>
    <w:p>
      <w:pPr>
        <w:spacing w:after="0"/>
      </w:pPr>
    </w:p>
    <w:p>
      <w:pPr>
        <w:pStyle w:val="Heading1"/>
        <w:keepNext/>
      </w:pPr>
      <w:r>
        <w:t>3. Claude design freedom and constraints</w:t>
      </w:r>
    </w:p>
    <w:p>
      <w:r>
        <w:t>Claude is the visual implementation executor, not the content strategist. Use the information contract below, but choose the best composition within the approved PlagiarismSearch design system.</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184"/>
            <w:shd w:fill="EAF0F7"/>
            <w:vAlign w:val="center"/>
          </w:tcPr>
          <w:p>
            <w:r>
              <w:rPr>
                <w:b/>
                <w:sz w:val="18"/>
              </w:rPr>
              <w:t>Claude may decide</w:t>
            </w:r>
          </w:p>
        </w:tc>
        <w:tc>
          <w:tcPr>
            <w:tcW w:type="dxa" w:w="5328"/>
            <w:shd w:fill="EAF0F7"/>
            <w:vAlign w:val="center"/>
          </w:tcPr>
          <w:p>
            <w:r>
              <w:rPr>
                <w:b/>
                <w:sz w:val="18"/>
              </w:rPr>
              <w:t>Claude may not change</w:t>
            </w:r>
          </w:p>
        </w:tc>
      </w:tr>
      <w:tr>
        <w:tc>
          <w:tcPr>
            <w:tcW w:type="dxa" w:w="5184"/>
            <w:vAlign w:val="top"/>
          </w:tcPr>
          <w:p>
            <w:r>
              <w:rPr>
                <w:sz w:val="17"/>
              </w:rPr>
              <w:t>Grid, proportions, section heights, desktop/mobile composition</w:t>
            </w:r>
          </w:p>
        </w:tc>
        <w:tc>
          <w:tcPr>
            <w:tcW w:type="dxa" w:w="5328"/>
            <w:vAlign w:val="top"/>
          </w:tcPr>
          <w:p>
            <w:r>
              <w:rPr>
                <w:sz w:val="17"/>
              </w:rPr>
              <w:t>Primary intent, URL ownership, H1 semantics</w:t>
            </w:r>
          </w:p>
        </w:tc>
      </w:tr>
      <w:tr>
        <w:tc>
          <w:tcPr>
            <w:tcW w:type="dxa" w:w="5184"/>
            <w:vAlign w:val="top"/>
          </w:tcPr>
          <w:p>
            <w:r>
              <w:rPr>
                <w:sz w:val="17"/>
              </w:rPr>
              <w:t>Visual rhythm, spacing, cards vs non-card composition</w:t>
            </w:r>
          </w:p>
        </w:tc>
        <w:tc>
          <w:tcPr>
            <w:tcW w:type="dxa" w:w="5328"/>
            <w:vAlign w:val="top"/>
          </w:tcPr>
          <w:p>
            <w:r>
              <w:rPr>
                <w:sz w:val="17"/>
              </w:rPr>
              <w:t>Exact product facts and free limits</w:t>
            </w:r>
          </w:p>
        </w:tc>
      </w:tr>
      <w:tr>
        <w:tc>
          <w:tcPr>
            <w:tcW w:type="dxa" w:w="5184"/>
            <w:vAlign w:val="top"/>
          </w:tcPr>
          <w:p>
            <w:r>
              <w:rPr>
                <w:sz w:val="17"/>
              </w:rPr>
              <w:t>How report evidence dominates the page visually</w:t>
            </w:r>
          </w:p>
        </w:tc>
        <w:tc>
          <w:tcPr>
            <w:tcW w:type="dxa" w:w="5328"/>
            <w:vAlign w:val="top"/>
          </w:tcPr>
          <w:p>
            <w:r>
              <w:rPr>
                <w:sz w:val="17"/>
              </w:rPr>
              <w:t>Match ≠ automatic plagiarism verdict</w:t>
            </w:r>
          </w:p>
        </w:tc>
      </w:tr>
      <w:tr>
        <w:tc>
          <w:tcPr>
            <w:tcW w:type="dxa" w:w="5184"/>
            <w:vAlign w:val="top"/>
          </w:tcPr>
          <w:p>
            <w:r>
              <w:rPr>
                <w:sz w:val="17"/>
              </w:rPr>
              <w:t>How the optional university proof is presented</w:t>
            </w:r>
          </w:p>
        </w:tc>
        <w:tc>
          <w:tcPr>
            <w:tcW w:type="dxa" w:w="5328"/>
            <w:vAlign w:val="top"/>
          </w:tcPr>
          <w:p>
            <w:r>
              <w:rPr>
                <w:sz w:val="17"/>
              </w:rPr>
              <w:t>Its meaning: student usage only, never institutional endorsement</w:t>
            </w:r>
          </w:p>
        </w:tc>
      </w:tr>
      <w:tr>
        <w:tc>
          <w:tcPr>
            <w:tcW w:type="dxa" w:w="5184"/>
            <w:vAlign w:val="top"/>
          </w:tcPr>
          <w:p>
            <w:r>
              <w:rPr>
                <w:sz w:val="17"/>
              </w:rPr>
              <w:t>Whether compact acts are visually merged</w:t>
            </w:r>
          </w:p>
        </w:tc>
        <w:tc>
          <w:tcPr>
            <w:tcW w:type="dxa" w:w="5328"/>
            <w:vAlign w:val="top"/>
          </w:tcPr>
          <w:p>
            <w:r>
              <w:rPr>
                <w:sz w:val="17"/>
              </w:rPr>
              <w:t>The core funnel order / information jobs</w:t>
            </w:r>
          </w:p>
        </w:tc>
      </w:tr>
      <w:tr>
        <w:tc>
          <w:tcPr>
            <w:tcW w:type="dxa" w:w="5184"/>
            <w:vAlign w:val="top"/>
          </w:tcPr>
          <w:p>
            <w:r>
              <w:rPr>
                <w:sz w:val="17"/>
              </w:rPr>
              <w:t>How pricing handoff is minimized</w:t>
            </w:r>
          </w:p>
        </w:tc>
        <w:tc>
          <w:tcPr>
            <w:tcW w:type="dxa" w:w="5328"/>
            <w:vAlign w:val="top"/>
          </w:tcPr>
          <w:p>
            <w:r>
              <w:rPr>
                <w:sz w:val="17"/>
              </w:rPr>
              <w:t>Backend ownership of prices and checker gating</w:t>
            </w:r>
          </w:p>
        </w:tc>
      </w:tr>
    </w:tbl>
    <w:p>
      <w:pPr>
        <w:spacing w:after="0"/>
      </w:pPr>
    </w:p>
    <w:tbl>
      <w:tblPr>
        <w:tblW w:type="auto" w:w="0"/>
        <w:jc w:val="center"/>
        <w:tblLook w:firstColumn="1" w:firstRow="1" w:lastColumn="0" w:lastRow="0" w:noHBand="0" w:noVBand="1" w:val="04A0"/>
      </w:tblPr>
      <w:tblGrid>
        <w:gridCol w:w="10166"/>
      </w:tblGrid>
      <w:tr>
        <w:tc>
          <w:tcPr>
            <w:tcW w:type="dxa" w:w="10166"/>
            <w:shd w:fill="FFF6E7"/>
            <w:tcBorders>
              <w:top w:val="single" w:sz="8" w:color="D6DFEA"/>
              <w:left w:val="single" w:sz="8" w:color="D6DFEA"/>
              <w:bottom w:val="single" w:sz="8" w:color="D6DFEA"/>
              <w:right w:val="single" w:sz="8" w:color="D6DFEA"/>
            </w:tcBorders>
          </w:tcPr>
          <w:p>
            <w:pPr>
              <w:spacing w:after="80"/>
            </w:pPr>
            <w:r>
              <w:rPr>
                <w:b/>
                <w:sz w:val="21"/>
              </w:rPr>
              <w:t>Critical anti-pattern</w:t>
            </w:r>
          </w:p>
          <w:p>
            <w:pPr>
              <w:spacing w:after="80"/>
            </w:pPr>
            <w:r>
              <w:t>Do not rebuild the homepage in Ukrainian by mechanically copying the same section order. Existing SEC-* patterns are reusable vocabulary, not a mandatory wireframe.</w:t>
            </w:r>
          </w:p>
        </w:tc>
        <w:trPr>
          <w:tblHeader/>
        </w:trPr>
      </w:tr>
    </w:tbl>
    <w:p>
      <w:pPr>
        <w:spacing w:after="0"/>
      </w:pPr>
    </w:p>
    <w:p>
      <w:pPr>
        <w:pStyle w:val="Heading1"/>
        <w:keepNext/>
      </w:pPr>
      <w:r>
        <w:t>4. Funnel to preserve</w:t>
      </w:r>
    </w:p>
    <w:p>
      <w:r>
        <w:t>The page must communicate this user journey:</w:t>
      </w:r>
    </w:p>
    <w:tbl>
      <w:tblPr>
        <w:tblW w:type="auto" w:w="0"/>
        <w:jc w:val="center"/>
        <w:tblLook w:firstColumn="1" w:firstRow="1" w:lastColumn="0" w:lastRow="0" w:noHBand="0" w:noVBand="1" w:val="04A0"/>
      </w:tblPr>
      <w:tblGrid>
        <w:gridCol w:w="10166"/>
      </w:tblGrid>
      <w:tr>
        <w:tc>
          <w:tcPr>
            <w:tcW w:type="dxa" w:w="10166"/>
            <w:shd w:fill="EDF6EE"/>
            <w:tcBorders>
              <w:top w:val="single" w:sz="8" w:color="D6DFEA"/>
              <w:left w:val="single" w:sz="8" w:color="D6DFEA"/>
              <w:bottom w:val="single" w:sz="8" w:color="D6DFEA"/>
              <w:right w:val="single" w:sz="8" w:color="D6DFEA"/>
            </w:tcBorders>
          </w:tcPr>
          <w:p>
            <w:pPr>
              <w:spacing w:after="80"/>
            </w:pPr>
            <w:r>
              <w:rPr>
                <w:b/>
                <w:sz w:val="21"/>
              </w:rPr>
              <w:t>User journey</w:t>
            </w:r>
          </w:p>
          <w:p>
            <w:pPr>
              <w:spacing w:after="80"/>
            </w:pPr>
            <w:r>
              <w:t>I need to check text → I can start immediately → I understand the free limit → I can see what the report gives me → I understand sources/settings → I know how to interpret a match → I understand document/report handling → I can upgrade if needed → I can distinguish plagiarism checking from AI detection.</w:t>
            </w:r>
          </w:p>
        </w:tc>
        <w:trPr>
          <w:tblHeader/>
        </w:trPr>
      </w:tr>
    </w:tbl>
    <w:p>
      <w:pPr>
        <w:spacing w:after="0"/>
      </w:pP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720"/>
            <w:shd w:fill="EAF0F7"/>
            <w:vAlign w:val="center"/>
          </w:tcPr>
          <w:p>
            <w:r>
              <w:rPr>
                <w:b/>
                <w:sz w:val="18"/>
              </w:rPr>
              <w:t>Order</w:t>
            </w:r>
          </w:p>
        </w:tc>
        <w:tc>
          <w:tcPr>
            <w:tcW w:type="dxa" w:w="2592"/>
            <w:shd w:fill="EAF0F7"/>
            <w:vAlign w:val="center"/>
          </w:tcPr>
          <w:p>
            <w:r>
              <w:rPr>
                <w:b/>
                <w:sz w:val="18"/>
              </w:rPr>
              <w:t>Page act</w:t>
            </w:r>
          </w:p>
        </w:tc>
        <w:tc>
          <w:tcPr>
            <w:tcW w:type="dxa" w:w="4320"/>
            <w:shd w:fill="EAF0F7"/>
            <w:vAlign w:val="center"/>
          </w:tcPr>
          <w:p>
            <w:r>
              <w:rPr>
                <w:b/>
                <w:sz w:val="18"/>
              </w:rPr>
              <w:t>Information job</w:t>
            </w:r>
          </w:p>
        </w:tc>
        <w:tc>
          <w:tcPr>
            <w:tcW w:type="dxa" w:w="2880"/>
            <w:shd w:fill="EAF0F7"/>
            <w:vAlign w:val="center"/>
          </w:tcPr>
          <w:p>
            <w:r>
              <w:rPr>
                <w:b/>
                <w:sz w:val="18"/>
              </w:rPr>
              <w:t>Reuse</w:t>
            </w:r>
          </w:p>
        </w:tc>
      </w:tr>
      <w:tr>
        <w:tc>
          <w:tcPr>
            <w:tcW w:type="dxa" w:w="720"/>
            <w:vAlign w:val="top"/>
          </w:tcPr>
          <w:p>
            <w:r>
              <w:rPr>
                <w:sz w:val="17"/>
              </w:rPr>
              <w:t>1</w:t>
            </w:r>
          </w:p>
        </w:tc>
        <w:tc>
          <w:tcPr>
            <w:tcW w:type="dxa" w:w="2592"/>
            <w:vAlign w:val="top"/>
          </w:tcPr>
          <w:p>
            <w:r>
              <w:rPr>
                <w:sz w:val="17"/>
              </w:rPr>
              <w:t>Real checker hero</w:t>
            </w:r>
          </w:p>
        </w:tc>
        <w:tc>
          <w:tcPr>
            <w:tcW w:type="dxa" w:w="4320"/>
            <w:vAlign w:val="top"/>
          </w:tcPr>
          <w:p>
            <w:r>
              <w:rPr>
                <w:sz w:val="17"/>
              </w:rPr>
              <w:t>Can I check right now?</w:t>
            </w:r>
          </w:p>
        </w:tc>
        <w:tc>
          <w:tcPr>
            <w:tcW w:type="dxa" w:w="2880"/>
            <w:vAlign w:val="top"/>
          </w:tcPr>
          <w:p>
            <w:r>
              <w:rPr>
                <w:sz w:val="17"/>
              </w:rPr>
              <w:t>SEC-HERO-01</w:t>
            </w:r>
          </w:p>
        </w:tc>
      </w:tr>
      <w:tr>
        <w:tc>
          <w:tcPr>
            <w:tcW w:type="dxa" w:w="720"/>
            <w:vAlign w:val="top"/>
          </w:tcPr>
          <w:p>
            <w:r>
              <w:rPr>
                <w:sz w:val="17"/>
              </w:rPr>
              <w:t>2</w:t>
            </w:r>
          </w:p>
        </w:tc>
        <w:tc>
          <w:tcPr>
            <w:tcW w:type="dxa" w:w="2592"/>
            <w:vAlign w:val="top"/>
          </w:tcPr>
          <w:p>
            <w:r>
              <w:rPr>
                <w:sz w:val="17"/>
              </w:rPr>
              <w:t>Real report evidence</w:t>
            </w:r>
          </w:p>
        </w:tc>
        <w:tc>
          <w:tcPr>
            <w:tcW w:type="dxa" w:w="4320"/>
            <w:vAlign w:val="top"/>
          </w:tcPr>
          <w:p>
            <w:r>
              <w:rPr>
                <w:sz w:val="17"/>
              </w:rPr>
              <w:t>What exactly will I get?</w:t>
            </w:r>
          </w:p>
        </w:tc>
        <w:tc>
          <w:tcPr>
            <w:tcW w:type="dxa" w:w="2880"/>
            <w:vAlign w:val="top"/>
          </w:tcPr>
          <w:p>
            <w:r>
              <w:rPr>
                <w:sz w:val="17"/>
              </w:rPr>
              <w:t>SEC-REPORT-01</w:t>
            </w:r>
          </w:p>
        </w:tc>
      </w:tr>
      <w:tr>
        <w:tc>
          <w:tcPr>
            <w:tcW w:type="dxa" w:w="720"/>
            <w:vAlign w:val="top"/>
          </w:tcPr>
          <w:p>
            <w:r>
              <w:rPr>
                <w:sz w:val="17"/>
              </w:rPr>
              <w:t>3</w:t>
            </w:r>
          </w:p>
        </w:tc>
        <w:tc>
          <w:tcPr>
            <w:tcW w:type="dxa" w:w="2592"/>
            <w:vAlign w:val="top"/>
          </w:tcPr>
          <w:p>
            <w:r>
              <w:rPr>
                <w:sz w:val="17"/>
              </w:rPr>
              <w:t>Optional UA university-user proof</w:t>
            </w:r>
          </w:p>
        </w:tc>
        <w:tc>
          <w:tcPr>
            <w:tcW w:type="dxa" w:w="4320"/>
            <w:vAlign w:val="top"/>
          </w:tcPr>
          <w:p>
            <w:r>
              <w:rPr>
                <w:sz w:val="17"/>
              </w:rPr>
              <w:t>Do real users in my market use this?</w:t>
            </w:r>
          </w:p>
        </w:tc>
        <w:tc>
          <w:tcPr>
            <w:tcW w:type="dxa" w:w="2880"/>
            <w:vAlign w:val="top"/>
          </w:tcPr>
          <w:p>
            <w:r>
              <w:rPr>
                <w:sz w:val="17"/>
              </w:rPr>
              <w:t>Page-specific optional module</w:t>
            </w:r>
          </w:p>
        </w:tc>
      </w:tr>
      <w:tr>
        <w:tc>
          <w:tcPr>
            <w:tcW w:type="dxa" w:w="720"/>
            <w:vAlign w:val="top"/>
          </w:tcPr>
          <w:p>
            <w:r>
              <w:rPr>
                <w:sz w:val="17"/>
              </w:rPr>
              <w:t>4</w:t>
            </w:r>
          </w:p>
        </w:tc>
        <w:tc>
          <w:tcPr>
            <w:tcW w:type="dxa" w:w="2592"/>
            <w:vAlign w:val="top"/>
          </w:tcPr>
          <w:p>
            <w:r>
              <w:rPr>
                <w:sz w:val="17"/>
              </w:rPr>
              <w:t>Sources &amp; controls</w:t>
            </w:r>
          </w:p>
        </w:tc>
        <w:tc>
          <w:tcPr>
            <w:tcW w:type="dxa" w:w="4320"/>
            <w:vAlign w:val="top"/>
          </w:tcPr>
          <w:p>
            <w:r>
              <w:rPr>
                <w:sz w:val="17"/>
              </w:rPr>
              <w:t>What can be searched / controlled?</w:t>
            </w:r>
          </w:p>
        </w:tc>
        <w:tc>
          <w:tcPr>
            <w:tcW w:type="dxa" w:w="2880"/>
            <w:vAlign w:val="top"/>
          </w:tcPr>
          <w:p>
            <w:r>
              <w:rPr>
                <w:sz w:val="17"/>
              </w:rPr>
              <w:t>SEC-CONTROL-01</w:t>
            </w:r>
          </w:p>
        </w:tc>
      </w:tr>
      <w:tr>
        <w:tc>
          <w:tcPr>
            <w:tcW w:type="dxa" w:w="720"/>
            <w:vAlign w:val="top"/>
          </w:tcPr>
          <w:p>
            <w:r>
              <w:rPr>
                <w:sz w:val="17"/>
              </w:rPr>
              <w:t>5</w:t>
            </w:r>
          </w:p>
        </w:tc>
        <w:tc>
          <w:tcPr>
            <w:tcW w:type="dxa" w:w="2592"/>
            <w:vAlign w:val="top"/>
          </w:tcPr>
          <w:p>
            <w:r>
              <w:rPr>
                <w:sz w:val="17"/>
              </w:rPr>
              <w:t>Interpretation workflow</w:t>
            </w:r>
          </w:p>
        </w:tc>
        <w:tc>
          <w:tcPr>
            <w:tcW w:type="dxa" w:w="4320"/>
            <w:vAlign w:val="top"/>
          </w:tcPr>
          <w:p>
            <w:r>
              <w:rPr>
                <w:sz w:val="17"/>
              </w:rPr>
              <w:t>What does a match mean?</w:t>
            </w:r>
          </w:p>
        </w:tc>
        <w:tc>
          <w:tcPr>
            <w:tcW w:type="dxa" w:w="2880"/>
            <w:vAlign w:val="top"/>
          </w:tcPr>
          <w:p>
            <w:r>
              <w:rPr>
                <w:sz w:val="17"/>
              </w:rPr>
              <w:t>Adapt SEC-INTERPRET-01 grammar</w:t>
            </w:r>
          </w:p>
        </w:tc>
      </w:tr>
      <w:tr>
        <w:tc>
          <w:tcPr>
            <w:tcW w:type="dxa" w:w="720"/>
            <w:vAlign w:val="top"/>
          </w:tcPr>
          <w:p>
            <w:r>
              <w:rPr>
                <w:sz w:val="17"/>
              </w:rPr>
              <w:t>6</w:t>
            </w:r>
          </w:p>
        </w:tc>
        <w:tc>
          <w:tcPr>
            <w:tcW w:type="dxa" w:w="2592"/>
            <w:vAlign w:val="top"/>
          </w:tcPr>
          <w:p>
            <w:r>
              <w:rPr>
                <w:sz w:val="17"/>
              </w:rPr>
              <w:t>Document/report lifecycle</w:t>
            </w:r>
          </w:p>
        </w:tc>
        <w:tc>
          <w:tcPr>
            <w:tcW w:type="dxa" w:w="4320"/>
            <w:vAlign w:val="top"/>
          </w:tcPr>
          <w:p>
            <w:r>
              <w:rPr>
                <w:sz w:val="17"/>
              </w:rPr>
              <w:t>What happens to my text/report?</w:t>
            </w:r>
          </w:p>
        </w:tc>
        <w:tc>
          <w:tcPr>
            <w:tcW w:type="dxa" w:w="2880"/>
            <w:vAlign w:val="top"/>
          </w:tcPr>
          <w:p>
            <w:r>
              <w:rPr>
                <w:sz w:val="17"/>
              </w:rPr>
              <w:t>SEC-TRUST-01</w:t>
            </w:r>
          </w:p>
        </w:tc>
      </w:tr>
      <w:tr>
        <w:tc>
          <w:tcPr>
            <w:tcW w:type="dxa" w:w="720"/>
            <w:vAlign w:val="top"/>
          </w:tcPr>
          <w:p>
            <w:r>
              <w:rPr>
                <w:sz w:val="17"/>
              </w:rPr>
              <w:t>7</w:t>
            </w:r>
          </w:p>
        </w:tc>
        <w:tc>
          <w:tcPr>
            <w:tcW w:type="dxa" w:w="2592"/>
            <w:vAlign w:val="top"/>
          </w:tcPr>
          <w:p>
            <w:r>
              <w:rPr>
                <w:sz w:val="17"/>
              </w:rPr>
              <w:t>Free → paid access</w:t>
            </w:r>
          </w:p>
        </w:tc>
        <w:tc>
          <w:tcPr>
            <w:tcW w:type="dxa" w:w="4320"/>
            <w:vAlign w:val="top"/>
          </w:tcPr>
          <w:p>
            <w:r>
              <w:rPr>
                <w:sz w:val="17"/>
              </w:rPr>
              <w:t>What is free and when do I pay?</w:t>
            </w:r>
          </w:p>
        </w:tc>
        <w:tc>
          <w:tcPr>
            <w:tcW w:type="dxa" w:w="2880"/>
            <w:vAlign w:val="top"/>
          </w:tcPr>
          <w:p>
            <w:r>
              <w:rPr>
                <w:sz w:val="17"/>
              </w:rPr>
              <w:t>Compact / backend-driven</w:t>
            </w:r>
          </w:p>
        </w:tc>
      </w:tr>
      <w:tr>
        <w:tc>
          <w:tcPr>
            <w:tcW w:type="dxa" w:w="720"/>
            <w:vAlign w:val="top"/>
          </w:tcPr>
          <w:p>
            <w:r>
              <w:rPr>
                <w:sz w:val="17"/>
              </w:rPr>
              <w:t>8</w:t>
            </w:r>
          </w:p>
        </w:tc>
        <w:tc>
          <w:tcPr>
            <w:tcW w:type="dxa" w:w="2592"/>
            <w:vAlign w:val="top"/>
          </w:tcPr>
          <w:p>
            <w:r>
              <w:rPr>
                <w:sz w:val="17"/>
              </w:rPr>
              <w:t>Reviews</w:t>
            </w:r>
          </w:p>
        </w:tc>
        <w:tc>
          <w:tcPr>
            <w:tcW w:type="dxa" w:w="4320"/>
            <w:vAlign w:val="top"/>
          </w:tcPr>
          <w:p>
            <w:r>
              <w:rPr>
                <w:sz w:val="17"/>
              </w:rPr>
              <w:t>Is there independent user proof?</w:t>
            </w:r>
          </w:p>
        </w:tc>
        <w:tc>
          <w:tcPr>
            <w:tcW w:type="dxa" w:w="2880"/>
            <w:vAlign w:val="top"/>
          </w:tcPr>
          <w:p>
            <w:r>
              <w:rPr>
                <w:sz w:val="17"/>
              </w:rPr>
              <w:t>SEC-REVIEWS-01</w:t>
            </w:r>
          </w:p>
        </w:tc>
      </w:tr>
      <w:tr>
        <w:tc>
          <w:tcPr>
            <w:tcW w:type="dxa" w:w="720"/>
            <w:vAlign w:val="top"/>
          </w:tcPr>
          <w:p>
            <w:r>
              <w:rPr>
                <w:sz w:val="17"/>
              </w:rPr>
              <w:t>9</w:t>
            </w:r>
          </w:p>
        </w:tc>
        <w:tc>
          <w:tcPr>
            <w:tcW w:type="dxa" w:w="2592"/>
            <w:vAlign w:val="top"/>
          </w:tcPr>
          <w:p>
            <w:r>
              <w:rPr>
                <w:sz w:val="17"/>
              </w:rPr>
              <w:t>AI distinction</w:t>
            </w:r>
          </w:p>
        </w:tc>
        <w:tc>
          <w:tcPr>
            <w:tcW w:type="dxa" w:w="4320"/>
            <w:vAlign w:val="top"/>
          </w:tcPr>
          <w:p>
            <w:r>
              <w:rPr>
                <w:sz w:val="17"/>
              </w:rPr>
              <w:t>Do I need a separate AI check?</w:t>
            </w:r>
          </w:p>
        </w:tc>
        <w:tc>
          <w:tcPr>
            <w:tcW w:type="dxa" w:w="2880"/>
            <w:vAlign w:val="top"/>
          </w:tcPr>
          <w:p>
            <w:r>
              <w:rPr>
                <w:sz w:val="17"/>
              </w:rPr>
              <w:t>SEC-CROSSSELL-01 compact</w:t>
            </w:r>
          </w:p>
        </w:tc>
      </w:tr>
      <w:tr>
        <w:tc>
          <w:tcPr>
            <w:tcW w:type="dxa" w:w="720"/>
            <w:vAlign w:val="top"/>
          </w:tcPr>
          <w:p>
            <w:r>
              <w:rPr>
                <w:sz w:val="17"/>
              </w:rPr>
              <w:t>10</w:t>
            </w:r>
          </w:p>
        </w:tc>
        <w:tc>
          <w:tcPr>
            <w:tcW w:type="dxa" w:w="2592"/>
            <w:vAlign w:val="top"/>
          </w:tcPr>
          <w:p>
            <w:r>
              <w:rPr>
                <w:sz w:val="17"/>
              </w:rPr>
              <w:t>FAQ</w:t>
            </w:r>
          </w:p>
        </w:tc>
        <w:tc>
          <w:tcPr>
            <w:tcW w:type="dxa" w:w="4320"/>
            <w:vAlign w:val="top"/>
          </w:tcPr>
          <w:p>
            <w:r>
              <w:rPr>
                <w:sz w:val="17"/>
              </w:rPr>
              <w:t>Resolve high-value objections / long-tail</w:t>
            </w:r>
          </w:p>
        </w:tc>
        <w:tc>
          <w:tcPr>
            <w:tcW w:type="dxa" w:w="2880"/>
            <w:vAlign w:val="top"/>
          </w:tcPr>
          <w:p>
            <w:r>
              <w:rPr>
                <w:sz w:val="17"/>
              </w:rPr>
              <w:t>SEC-FAQ-01</w:t>
            </w:r>
          </w:p>
        </w:tc>
      </w:tr>
      <w:tr>
        <w:tc>
          <w:tcPr>
            <w:tcW w:type="dxa" w:w="720"/>
            <w:vAlign w:val="top"/>
          </w:tcPr>
          <w:p>
            <w:r>
              <w:rPr>
                <w:sz w:val="17"/>
              </w:rPr>
              <w:t>11</w:t>
            </w:r>
          </w:p>
        </w:tc>
        <w:tc>
          <w:tcPr>
            <w:tcW w:type="dxa" w:w="2592"/>
            <w:vAlign w:val="top"/>
          </w:tcPr>
          <w:p>
            <w:r>
              <w:rPr>
                <w:sz w:val="17"/>
              </w:rPr>
              <w:t>Final CTA</w:t>
            </w:r>
          </w:p>
        </w:tc>
        <w:tc>
          <w:tcPr>
            <w:tcW w:type="dxa" w:w="4320"/>
            <w:vAlign w:val="top"/>
          </w:tcPr>
          <w:p>
            <w:r>
              <w:rPr>
                <w:sz w:val="17"/>
              </w:rPr>
              <w:t>Return to the checker</w:t>
            </w:r>
          </w:p>
        </w:tc>
        <w:tc>
          <w:tcPr>
            <w:tcW w:type="dxa" w:w="2880"/>
            <w:vAlign w:val="top"/>
          </w:tcPr>
          <w:p>
            <w:r>
              <w:rPr>
                <w:sz w:val="17"/>
              </w:rPr>
              <w:t>SEC-CTA-01</w:t>
            </w:r>
          </w:p>
        </w:tc>
      </w:tr>
    </w:tbl>
    <w:p>
      <w:pPr>
        <w:spacing w:after="0"/>
      </w:pPr>
    </w:p>
    <w:p>
      <w:pPr>
        <w:pStyle w:val="SmallNote"/>
      </w:pPr>
      <w:r>
        <w:t>Do not add a generic “Features” grid, a standalone “3 easy steps” section, a large “Students &amp; Teachers” section, or a long “How to avoid plagiarism” article unless a real information gap emerges during implementation.</w:t>
      </w:r>
    </w:p>
    <w:p>
      <w:pPr>
        <w:pStyle w:val="Heading1"/>
        <w:keepNext/>
      </w:pPr>
      <w:r>
        <w:t>5. SEO / metadata baseline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EAF0F7"/>
            <w:vAlign w:val="center"/>
          </w:tcPr>
          <w:p>
            <w:r>
              <w:rPr>
                <w:b/>
                <w:sz w:val="18"/>
              </w:rPr>
              <w:t>Element</w:t>
            </w:r>
          </w:p>
        </w:tc>
        <w:tc>
          <w:tcPr>
            <w:tcW w:type="dxa" w:w="8064"/>
            <w:shd w:fill="EAF0F7"/>
            <w:vAlign w:val="center"/>
          </w:tcPr>
          <w:p>
            <w:r>
              <w:rPr>
                <w:b/>
                <w:sz w:val="18"/>
              </w:rPr>
              <w:t>Approved baseline</w:t>
            </w:r>
          </w:p>
        </w:tc>
      </w:tr>
      <w:tr>
        <w:tc>
          <w:tcPr>
            <w:tcW w:type="dxa" w:w="2448"/>
            <w:vAlign w:val="top"/>
          </w:tcPr>
          <w:p>
            <w:r>
              <w:rPr>
                <w:sz w:val="17"/>
              </w:rPr>
              <w:t>URL</w:t>
            </w:r>
          </w:p>
        </w:tc>
        <w:tc>
          <w:tcPr>
            <w:tcW w:type="dxa" w:w="8064"/>
            <w:vAlign w:val="top"/>
          </w:tcPr>
          <w:p>
            <w:r>
              <w:rPr>
                <w:sz w:val="17"/>
              </w:rPr>
              <w:t>https://plagiarismsearch.com/ua/plagiarism-check</w:t>
            </w:r>
          </w:p>
        </w:tc>
      </w:tr>
      <w:tr>
        <w:tc>
          <w:tcPr>
            <w:tcW w:type="dxa" w:w="2448"/>
            <w:vAlign w:val="top"/>
          </w:tcPr>
          <w:p>
            <w:r>
              <w:rPr>
                <w:sz w:val="17"/>
              </w:rPr>
              <w:t>H1</w:t>
            </w:r>
          </w:p>
        </w:tc>
        <w:tc>
          <w:tcPr>
            <w:tcW w:type="dxa" w:w="8064"/>
            <w:vAlign w:val="top"/>
          </w:tcPr>
          <w:p>
            <w:r>
              <w:rPr>
                <w:sz w:val="17"/>
              </w:rPr>
              <w:t>Перевірка на плагіат онлайн</w:t>
            </w:r>
          </w:p>
        </w:tc>
      </w:tr>
      <w:tr>
        <w:tc>
          <w:tcPr>
            <w:tcW w:type="dxa" w:w="2448"/>
            <w:vAlign w:val="top"/>
          </w:tcPr>
          <w:p>
            <w:r>
              <w:rPr>
                <w:sz w:val="17"/>
              </w:rPr>
              <w:t>SEO Title</w:t>
            </w:r>
          </w:p>
        </w:tc>
        <w:tc>
          <w:tcPr>
            <w:tcW w:type="dxa" w:w="8064"/>
            <w:vAlign w:val="top"/>
          </w:tcPr>
          <w:p>
            <w:r>
              <w:rPr>
                <w:sz w:val="17"/>
              </w:rPr>
              <w:t>Перевірка на плагіат онлайн безкоштовно | PlagiarismSearch</w:t>
            </w:r>
          </w:p>
        </w:tc>
      </w:tr>
      <w:tr>
        <w:tc>
          <w:tcPr>
            <w:tcW w:type="dxa" w:w="2448"/>
            <w:vAlign w:val="top"/>
          </w:tcPr>
          <w:p>
            <w:r>
              <w:rPr>
                <w:sz w:val="17"/>
              </w:rPr>
              <w:t>Meta description</w:t>
            </w:r>
          </w:p>
        </w:tc>
        <w:tc>
          <w:tcPr>
            <w:tcW w:type="dxa" w:w="8064"/>
            <w:vAlign w:val="top"/>
          </w:tcPr>
          <w:p>
            <w:r>
              <w:rPr>
                <w:sz w:val="17"/>
              </w:rPr>
              <w:t>Перевірте текст або документ на плагіат онлайн. Переглядайте знайдені збіги та джерела у звіті. До 150 слів без реєстрації, 300 слів щодня для зареєстрованих користувачів.</w:t>
            </w:r>
          </w:p>
        </w:tc>
      </w:tr>
      <w:tr>
        <w:tc>
          <w:tcPr>
            <w:tcW w:type="dxa" w:w="2448"/>
            <w:vAlign w:val="top"/>
          </w:tcPr>
          <w:p>
            <w:r>
              <w:rPr>
                <w:sz w:val="17"/>
              </w:rPr>
              <w:t>Canonical</w:t>
            </w:r>
          </w:p>
        </w:tc>
        <w:tc>
          <w:tcPr>
            <w:tcW w:type="dxa" w:w="8064"/>
            <w:vAlign w:val="top"/>
          </w:tcPr>
          <w:p>
            <w:r>
              <w:rPr>
                <w:sz w:val="17"/>
              </w:rPr>
              <w:t>Self-canonical</w:t>
            </w:r>
          </w:p>
        </w:tc>
      </w:tr>
    </w:tbl>
    <w:p>
      <w:pPr>
        <w:spacing w:after="0"/>
      </w:pPr>
    </w:p>
    <w:p>
      <w:pPr>
        <w:pStyle w:val="SmallNote"/>
      </w:pPr>
      <w:r>
        <w:t>Do not use in metadata: “100% точність”, “100% унікальність”, “миттєво”, “за хвилину”, “мільярди джерел”, “офіційна перевірка університету”.</w:t>
      </w:r>
    </w:p>
    <w:p>
      <w:pPr>
        <w:pStyle w:val="Heading1"/>
        <w:keepNext/>
      </w:pPr>
      <w:r>
        <w:t>6. Section 01 — Checker-first hero</w:t>
      </w:r>
    </w:p>
    <w:p>
      <w:r>
        <w:t>Reuse intent: SEC-HERO-01. Production checker must be real, not a visual mockup.</w:t>
      </w:r>
    </w:p>
    <w:p>
      <w:pPr>
        <w:pStyle w:val="BriefLabel"/>
      </w:pPr>
      <w:r>
        <w:t>H1</w:t>
      </w:r>
    </w:p>
    <w:p>
      <w:r>
        <w:t>Перевірка на плагіат онлайн</w:t>
      </w:r>
    </w:p>
    <w:p>
      <w:pPr>
        <w:pStyle w:val="BriefLabel"/>
      </w:pPr>
      <w:r>
        <w:t>Supporting copy</w:t>
      </w:r>
    </w:p>
    <w:p>
      <w:r>
        <w:t>Вставте текст або завантажте документ. PlagiarismSearch знаходить текстові збіги з доступними джерелами та показує їх у звіті, щоб ви могли перевірити контекст і за потреби доопрацювати текст.</w:t>
      </w:r>
    </w:p>
    <w:p>
      <w:pPr>
        <w:pStyle w:val="BriefLabel"/>
      </w:pPr>
      <w:r>
        <w:t>Free offer line</w:t>
      </w:r>
    </w:p>
    <w:p>
      <w:r>
        <w:t>До 150 слів без реєстрації · 300 слів щодня для зареєстрованих користувачів</w:t>
      </w:r>
    </w:p>
    <w:tbl>
      <w:tblPr>
        <w:tblW w:type="auto" w:w="0"/>
        <w:jc w:val="center"/>
        <w:tblLook w:firstColumn="1" w:firstRow="1" w:lastColumn="0" w:lastRow="0" w:noHBand="0" w:noVBand="1" w:val="04A0"/>
      </w:tblPr>
      <w:tblGrid>
        <w:gridCol w:w="10166"/>
      </w:tblGrid>
      <w:tr>
        <w:tc>
          <w:tcPr>
            <w:tcW w:type="dxa" w:w="10166"/>
            <w:shd w:fill="F3F6FA"/>
            <w:tcBorders>
              <w:top w:val="single" w:sz="8" w:color="D6DFEA"/>
              <w:left w:val="single" w:sz="8" w:color="D6DFEA"/>
              <w:bottom w:val="single" w:sz="8" w:color="D6DFEA"/>
              <w:right w:val="single" w:sz="8" w:color="D6DFEA"/>
            </w:tcBorders>
          </w:tcPr>
          <w:p>
            <w:pPr>
              <w:spacing w:after="80"/>
            </w:pPr>
            <w:r>
              <w:rPr>
                <w:b/>
                <w:sz w:val="21"/>
              </w:rPr>
              <w:t>Widget requirements</w:t>
            </w:r>
          </w:p>
          <w:p>
            <w:pPr>
              <w:spacing w:after="80"/>
            </w:pPr>
            <w:r>
              <w:t>Bind the real production checker with real text input, file upload, supported import methods, checker states, registration state, and purchase state. Do not add a fake CTA that duplicates the widget’s own main action.</w:t>
            </w:r>
          </w:p>
        </w:tc>
        <w:trPr>
          <w:tblHeader/>
        </w:trPr>
      </w:tr>
    </w:tbl>
    <w:p>
      <w:pPr>
        <w:spacing w:after="0"/>
      </w:pPr>
    </w:p>
    <w:tbl>
      <w:tblPr>
        <w:tblW w:type="auto" w:w="0"/>
        <w:jc w:val="center"/>
        <w:tblLook w:firstColumn="1" w:firstRow="1" w:lastColumn="0" w:lastRow="0" w:noHBand="0" w:noVBand="1" w:val="04A0"/>
      </w:tblPr>
      <w:tblGrid>
        <w:gridCol w:w="10166"/>
      </w:tblGrid>
      <w:tr>
        <w:tc>
          <w:tcPr>
            <w:tcW w:type="dxa" w:w="10166"/>
            <w:shd w:fill="FDECEC"/>
            <w:tcBorders>
              <w:top w:val="single" w:sz="8" w:color="D6DFEA"/>
              <w:left w:val="single" w:sz="8" w:color="D6DFEA"/>
              <w:bottom w:val="single" w:sz="8" w:color="D6DFEA"/>
              <w:right w:val="single" w:sz="8" w:color="D6DFEA"/>
            </w:tcBorders>
          </w:tcPr>
          <w:p>
            <w:pPr>
              <w:spacing w:after="80"/>
            </w:pPr>
            <w:r>
              <w:rPr>
                <w:b/>
                <w:sz w:val="21"/>
              </w:rPr>
              <w:t>Production copy cleanup</w:t>
            </w:r>
          </w:p>
          <w:p>
            <w:pPr>
              <w:spacing w:after="80"/>
            </w:pPr>
            <w:r>
              <w:t>Remove legacy visible strings about “billions of web pages” and 1-minute / 2–5-minute processing promises during production binding.</w:t>
            </w:r>
          </w:p>
        </w:tc>
        <w:trPr>
          <w:tblHeader/>
        </w:trPr>
      </w:tr>
    </w:tbl>
    <w:p>
      <w:pPr>
        <w:spacing w:after="0"/>
      </w:pPr>
    </w:p>
    <w:p>
      <w:pPr>
        <w:pStyle w:val="Heading1"/>
        <w:keepNext/>
      </w:pPr>
      <w:r>
        <w:t>7. Section 02 — Real report evidence</w:t>
      </w:r>
    </w:p>
    <w:p>
      <w:pPr>
        <w:pStyle w:val="BriefLabel"/>
      </w:pPr>
      <w:r>
        <w:t>EYEBROW</w:t>
      </w:r>
    </w:p>
    <w:p>
      <w:r>
        <w:t>Результат перевірки</w:t>
      </w:r>
    </w:p>
    <w:p>
      <w:pPr>
        <w:pStyle w:val="BriefLabel"/>
      </w:pPr>
      <w:r>
        <w:t>H2</w:t>
      </w:r>
    </w:p>
    <w:p>
      <w:r>
        <w:t>Дивіться не лише відсоток — перевіряйте збіги та джерела</w:t>
      </w:r>
    </w:p>
    <w:p>
      <w:pPr>
        <w:pStyle w:val="BriefLabel"/>
      </w:pPr>
      <w:r>
        <w:t>INTRO</w:t>
      </w:r>
    </w:p>
    <w:p>
      <w:r>
        <w:t>Звіт пов’язує знайдені фрагменти з відповідними джерелами, щоб ви могли побачити, де саме виникла схожість і перевірити її в контексті.</w:t>
      </w:r>
    </w:p>
    <w:p>
      <w:pPr>
        <w:pStyle w:val="BriefLabel"/>
      </w:pPr>
      <w:r>
        <w:t>SUPPORT</w:t>
      </w:r>
    </w:p>
    <w:p>
      <w:r>
        <w:t>Відкрийте конкретний збіг, перегляньте джерело й порівняйте фрагменти. Залежно від контексту текст може потребувати цитування, посилання, перефразування або взагалі не вимагати змін.</w:t>
      </w:r>
    </w:p>
    <w:tbl>
      <w:tblPr>
        <w:tblW w:type="auto" w:w="0"/>
        <w:jc w:val="center"/>
        <w:tblLook w:firstColumn="1" w:firstRow="1" w:lastColumn="0" w:lastRow="0" w:noHBand="0" w:noVBand="1" w:val="04A0"/>
      </w:tblPr>
      <w:tblGrid>
        <w:gridCol w:w="10166"/>
      </w:tblGrid>
      <w:tr>
        <w:tc>
          <w:tcPr>
            <w:tcW w:type="dxa" w:w="10166"/>
            <w:shd w:fill="FFF6E7"/>
            <w:tcBorders>
              <w:top w:val="single" w:sz="8" w:color="D6DFEA"/>
              <w:left w:val="single" w:sz="8" w:color="D6DFEA"/>
              <w:bottom w:val="single" w:sz="8" w:color="D6DFEA"/>
              <w:right w:val="single" w:sz="8" w:color="D6DFEA"/>
            </w:tcBorders>
          </w:tcPr>
          <w:p>
            <w:pPr>
              <w:spacing w:after="80"/>
            </w:pPr>
            <w:r>
              <w:rPr>
                <w:b/>
                <w:sz w:val="21"/>
              </w:rPr>
              <w:t>Required interpretation callout</w:t>
            </w:r>
          </w:p>
          <w:p>
            <w:pPr>
              <w:spacing w:after="80"/>
            </w:pPr>
            <w:r>
              <w:t>Знайдений текстовий збіг сам по собі не означає плагіат. PlagiarismSearch показує збіги та джерела для перевірки; остаточна оцінка залежить від контексту та правил, які застосовуються до вашого тексту.</w:t>
            </w:r>
          </w:p>
        </w:tc>
        <w:trPr>
          <w:tblHeader/>
        </w:trPr>
      </w:tr>
    </w:tbl>
    <w:p>
      <w:pPr>
        <w:spacing w:after="0"/>
      </w:pPr>
    </w:p>
    <w:p>
      <w:pPr>
        <w:pStyle w:val="ListBullet"/>
      </w:pPr>
      <w:r>
        <w:t>Use real PlagiarismSearch report UI/state.</w:t>
      </w:r>
    </w:p>
    <w:p>
      <w:pPr>
        <w:pStyle w:val="ListBullet"/>
      </w:pPr>
      <w:r>
        <w:t>Do not invent percentages, source names, thresholds, or color semantics.</w:t>
      </w:r>
    </w:p>
    <w:p>
      <w:pPr>
        <w:pStyle w:val="ListBullet"/>
      </w:pPr>
      <w:r>
        <w:t>Do not label results “Plagiarism detected”.</w:t>
      </w:r>
    </w:p>
    <w:p>
      <w:pPr>
        <w:pStyle w:val="ListBullet"/>
      </w:pPr>
      <w:r>
        <w:t>Do not present similarity percentage as an automatic plagiarism verdict.</w:t>
      </w:r>
    </w:p>
    <w:p>
      <w:pPr>
        <w:pStyle w:val="ListBullet"/>
      </w:pPr>
      <w:r>
        <w:t>Visually emphasize fragment → source → context.</w:t>
      </w:r>
    </w:p>
    <w:p>
      <w:pPr>
        <w:pStyle w:val="Heading1"/>
        <w:keepNext/>
      </w:pPr>
      <w:r>
        <w:t>8. Section 03 — Optional UA university-user proof</w:t>
      </w:r>
    </w:p>
    <w:tbl>
      <w:tblPr>
        <w:tblW w:type="auto" w:w="0"/>
        <w:jc w:val="center"/>
        <w:tblLook w:firstColumn="1" w:firstRow="1" w:lastColumn="0" w:lastRow="0" w:noHBand="0" w:noVBand="1" w:val="04A0"/>
      </w:tblPr>
      <w:tblGrid>
        <w:gridCol w:w="10166"/>
      </w:tblGrid>
      <w:tr>
        <w:tc>
          <w:tcPr>
            <w:tcW w:type="dxa" w:w="10166"/>
            <w:shd w:fill="EDF6EE"/>
            <w:tcBorders>
              <w:top w:val="single" w:sz="8" w:color="D6DFEA"/>
              <w:left w:val="single" w:sz="8" w:color="D6DFEA"/>
              <w:bottom w:val="single" w:sz="8" w:color="D6DFEA"/>
              <w:right w:val="single" w:sz="8" w:color="D6DFEA"/>
            </w:tcBorders>
          </w:tcPr>
          <w:p>
            <w:pPr>
              <w:spacing w:after="80"/>
            </w:pPr>
            <w:r>
              <w:rPr>
                <w:b/>
                <w:sz w:val="21"/>
              </w:rPr>
              <w:t>Module status</w:t>
            </w:r>
          </w:p>
          <w:p>
            <w:pPr>
              <w:spacing w:after="80"/>
            </w:pPr>
            <w:r>
              <w:t>UA-specific optional proof module. Not approved as a reusable SEC-* until implementation QA and final user approval.</w:t>
            </w:r>
          </w:p>
        </w:tc>
        <w:trPr>
          <w:tblHeader/>
        </w:trPr>
      </w:tr>
    </w:tbl>
    <w:p>
      <w:pPr>
        <w:spacing w:after="0"/>
      </w:pPr>
    </w:p>
    <w:p>
      <w:pPr>
        <w:pStyle w:val="BriefLabel"/>
      </w:pPr>
      <w:r>
        <w:t>HEADING</w:t>
      </w:r>
    </w:p>
    <w:p>
      <w:r>
        <w:t>PlagiarismSearch користуються студенти з університетів по всій Україні</w:t>
      </w:r>
    </w:p>
    <w:p>
      <w:pPr>
        <w:pStyle w:val="BriefLabel"/>
      </w:pPr>
      <w:r>
        <w:t>OPTIONAL SUPPORT</w:t>
      </w:r>
    </w:p>
    <w:p>
      <w:r>
        <w:t>Серед користувачів сервісу є студенти цих та інших українських закладів вищої освіти.</w:t>
      </w:r>
    </w:p>
    <w:p>
      <w:pPr>
        <w:pStyle w:val="BriefLabel"/>
      </w:pPr>
      <w:r>
        <w:t>REQUIRED DECONFUSION NOTE</w:t>
      </w:r>
    </w:p>
    <w:p>
      <w:r>
        <w:t>Логотипи наведені для ідентифікації закладів, студенти яких користувалися PlagiarismSearch. Це не означає партнерство, офіційне схвалення або інституційну співпрацю з цими університетами.</w:t>
      </w:r>
    </w:p>
    <w:p>
      <w:r>
        <w:t>Provenance: the displayed institutions were selected from historical PlagiarismSearch Ukrainian users grouped by university email domains. The evidence supports student usage, not university-client status.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440"/>
            <w:shd w:fill="EAF0F7"/>
            <w:vAlign w:val="center"/>
          </w:tcPr>
          <w:p>
            <w:r>
              <w:rPr>
                <w:b/>
                <w:sz w:val="18"/>
              </w:rPr>
              <w:t>File</w:t>
            </w:r>
          </w:p>
        </w:tc>
        <w:tc>
          <w:tcPr>
            <w:tcW w:type="dxa" w:w="3456"/>
            <w:shd w:fill="EAF0F7"/>
            <w:vAlign w:val="center"/>
          </w:tcPr>
          <w:p>
            <w:r>
              <w:rPr>
                <w:b/>
                <w:sz w:val="18"/>
              </w:rPr>
              <w:t>Institution</w:t>
            </w:r>
          </w:p>
        </w:tc>
        <w:tc>
          <w:tcPr>
            <w:tcW w:type="dxa" w:w="2880"/>
            <w:shd w:fill="EAF0F7"/>
            <w:vAlign w:val="center"/>
          </w:tcPr>
          <w:p>
            <w:r>
              <w:rPr>
                <w:b/>
                <w:sz w:val="18"/>
              </w:rPr>
              <w:t>Status</w:t>
            </w:r>
          </w:p>
        </w:tc>
        <w:tc>
          <w:tcPr>
            <w:tcW w:type="dxa" w:w="3600"/>
            <w:shd w:fill="EAF0F7"/>
            <w:vAlign w:val="center"/>
          </w:tcPr>
          <w:p>
            <w:r>
              <w:rPr>
                <w:b/>
                <w:sz w:val="18"/>
              </w:rPr>
              <w:t>Direct asset URL</w:t>
            </w:r>
          </w:p>
        </w:tc>
      </w:tr>
      <w:tr>
        <w:tc>
          <w:tcPr>
            <w:tcW w:type="dxa" w:w="1440"/>
            <w:vAlign w:val="top"/>
          </w:tcPr>
          <w:p>
            <w:r>
              <w:rPr>
                <w:sz w:val="17"/>
              </w:rPr>
              <w:t>Component-2.png</w:t>
            </w:r>
          </w:p>
        </w:tc>
        <w:tc>
          <w:tcPr>
            <w:tcW w:type="dxa" w:w="3456"/>
            <w:vAlign w:val="top"/>
          </w:tcPr>
          <w:p>
            <w:r>
              <w:rPr>
                <w:sz w:val="17"/>
              </w:rPr>
              <w:t>Київський столичний університет імені Бориса Грінченка</w:t>
            </w:r>
          </w:p>
        </w:tc>
        <w:tc>
          <w:tcPr>
            <w:tcW w:type="dxa" w:w="2880"/>
            <w:vAlign w:val="top"/>
          </w:tcPr>
          <w:p>
            <w:r>
              <w:rPr>
                <w:sz w:val="17"/>
              </w:rPr>
              <w:t>APPROVED source asset</w:t>
            </w:r>
          </w:p>
        </w:tc>
        <w:tc>
          <w:tcPr>
            <w:tcW w:type="dxa" w:w="3600"/>
            <w:vAlign w:val="top"/>
          </w:tcPr>
          <w:p>
            <w:r>
              <w:rPr>
                <w:sz w:val="17"/>
              </w:rPr>
              <w:t>https://plagiarismsearch.com/files/2019/images/pages/plagiarism-checker/universites-ua/Component-2.png</w:t>
            </w:r>
          </w:p>
        </w:tc>
      </w:tr>
      <w:tr>
        <w:tc>
          <w:tcPr>
            <w:tcW w:type="dxa" w:w="1440"/>
            <w:vAlign w:val="top"/>
          </w:tcPr>
          <w:p>
            <w:r>
              <w:rPr>
                <w:sz w:val="17"/>
              </w:rPr>
              <w:t>Component-3.png</w:t>
            </w:r>
          </w:p>
        </w:tc>
        <w:tc>
          <w:tcPr>
            <w:tcW w:type="dxa" w:w="3456"/>
            <w:vAlign w:val="top"/>
          </w:tcPr>
          <w:p>
            <w:r>
              <w:rPr>
                <w:sz w:val="17"/>
              </w:rPr>
              <w:t>Національний університет «Острозька академія»</w:t>
            </w:r>
          </w:p>
        </w:tc>
        <w:tc>
          <w:tcPr>
            <w:tcW w:type="dxa" w:w="2880"/>
            <w:vAlign w:val="top"/>
          </w:tcPr>
          <w:p>
            <w:r>
              <w:rPr>
                <w:sz w:val="17"/>
              </w:rPr>
              <w:t>APPROVED source asset</w:t>
            </w:r>
          </w:p>
        </w:tc>
        <w:tc>
          <w:tcPr>
            <w:tcW w:type="dxa" w:w="3600"/>
            <w:vAlign w:val="top"/>
          </w:tcPr>
          <w:p>
            <w:r>
              <w:rPr>
                <w:sz w:val="17"/>
              </w:rPr>
              <w:t>https://plagiarismsearch.com/files/2019/images/pages/plagiarism-checker/universites-ua/Component-3.png</w:t>
            </w:r>
          </w:p>
        </w:tc>
      </w:tr>
      <w:tr>
        <w:tc>
          <w:tcPr>
            <w:tcW w:type="dxa" w:w="1440"/>
            <w:vAlign w:val="top"/>
          </w:tcPr>
          <w:p>
            <w:r>
              <w:rPr>
                <w:sz w:val="17"/>
              </w:rPr>
              <w:t>Component-4.png</w:t>
            </w:r>
          </w:p>
        </w:tc>
        <w:tc>
          <w:tcPr>
            <w:tcW w:type="dxa" w:w="3456"/>
            <w:vAlign w:val="top"/>
          </w:tcPr>
          <w:p>
            <w:r>
              <w:rPr>
                <w:sz w:val="17"/>
              </w:rPr>
              <w:t>Національний університет біоресурсів і природокористування України</w:t>
            </w:r>
          </w:p>
        </w:tc>
        <w:tc>
          <w:tcPr>
            <w:tcW w:type="dxa" w:w="2880"/>
            <w:vAlign w:val="top"/>
          </w:tcPr>
          <w:p>
            <w:r>
              <w:rPr>
                <w:sz w:val="17"/>
              </w:rPr>
              <w:t>APPROVED source asset</w:t>
            </w:r>
          </w:p>
        </w:tc>
        <w:tc>
          <w:tcPr>
            <w:tcW w:type="dxa" w:w="3600"/>
            <w:vAlign w:val="top"/>
          </w:tcPr>
          <w:p>
            <w:r>
              <w:rPr>
                <w:sz w:val="17"/>
              </w:rPr>
              <w:t>https://plagiarismsearch.com/files/2019/images/pages/plagiarism-checker/universites-ua/Component-4.png</w:t>
            </w:r>
          </w:p>
        </w:tc>
      </w:tr>
      <w:tr>
        <w:tc>
          <w:tcPr>
            <w:tcW w:type="dxa" w:w="1440"/>
            <w:vAlign w:val="top"/>
          </w:tcPr>
          <w:p>
            <w:r>
              <w:rPr>
                <w:sz w:val="17"/>
              </w:rPr>
              <w:t>Component-5.png</w:t>
            </w:r>
          </w:p>
        </w:tc>
        <w:tc>
          <w:tcPr>
            <w:tcW w:type="dxa" w:w="3456"/>
            <w:vAlign w:val="top"/>
          </w:tcPr>
          <w:p>
            <w:r>
              <w:rPr>
                <w:sz w:val="17"/>
              </w:rPr>
              <w:t>Прикарпатський національний університет імені Василя Стефаника</w:t>
            </w:r>
          </w:p>
        </w:tc>
        <w:tc>
          <w:tcPr>
            <w:tcW w:type="dxa" w:w="2880"/>
            <w:vAlign w:val="top"/>
          </w:tcPr>
          <w:p>
            <w:r>
              <w:rPr>
                <w:sz w:val="17"/>
              </w:rPr>
              <w:t>APPROVED source asset</w:t>
            </w:r>
          </w:p>
        </w:tc>
        <w:tc>
          <w:tcPr>
            <w:tcW w:type="dxa" w:w="3600"/>
            <w:vAlign w:val="top"/>
          </w:tcPr>
          <w:p>
            <w:r>
              <w:rPr>
                <w:sz w:val="17"/>
              </w:rPr>
              <w:t>https://plagiarismsearch.com/files/2019/images/pages/plagiarism-checker/universites-ua/Component-5.png</w:t>
            </w:r>
          </w:p>
        </w:tc>
      </w:tr>
      <w:tr>
        <w:tc>
          <w:tcPr>
            <w:tcW w:type="dxa" w:w="1440"/>
            <w:vAlign w:val="top"/>
          </w:tcPr>
          <w:p>
            <w:r>
              <w:rPr>
                <w:sz w:val="17"/>
              </w:rPr>
              <w:t>Component-6.png</w:t>
            </w:r>
          </w:p>
        </w:tc>
        <w:tc>
          <w:tcPr>
            <w:tcW w:type="dxa" w:w="3456"/>
            <w:vAlign w:val="top"/>
          </w:tcPr>
          <w:p>
            <w:r>
              <w:rPr>
                <w:sz w:val="17"/>
              </w:rPr>
              <w:t>Legacy: «Національний авіаційний університет»</w:t>
            </w:r>
          </w:p>
        </w:tc>
        <w:tc>
          <w:tcPr>
            <w:tcW w:type="dxa" w:w="2880"/>
            <w:vAlign w:val="top"/>
          </w:tcPr>
          <w:p>
            <w:r>
              <w:rPr>
                <w:sz w:val="17"/>
              </w:rPr>
              <w:t>DO NOT SHIP UNCHANGED — current institution identity is НУ «Київський авіаційний інститут»</w:t>
            </w:r>
          </w:p>
        </w:tc>
        <w:tc>
          <w:tcPr>
            <w:tcW w:type="dxa" w:w="3600"/>
            <w:vAlign w:val="top"/>
          </w:tcPr>
          <w:p>
            <w:r>
              <w:rPr>
                <w:sz w:val="17"/>
              </w:rPr>
              <w:t>https://plagiarismsearch.com/files/2019/images/pages/plagiarism-checker/universites-ua/Component-6.png</w:t>
            </w:r>
          </w:p>
        </w:tc>
      </w:tr>
      <w:tr>
        <w:tc>
          <w:tcPr>
            <w:tcW w:type="dxa" w:w="1440"/>
            <w:vAlign w:val="top"/>
          </w:tcPr>
          <w:p>
            <w:r>
              <w:rPr>
                <w:sz w:val="17"/>
              </w:rPr>
              <w:t>Component-7.png</w:t>
            </w:r>
          </w:p>
        </w:tc>
        <w:tc>
          <w:tcPr>
            <w:tcW w:type="dxa" w:w="3456"/>
            <w:vAlign w:val="top"/>
          </w:tcPr>
          <w:p>
            <w:r>
              <w:rPr>
                <w:sz w:val="17"/>
              </w:rPr>
              <w:t>Черкаський національний університет імені Богдана Хмельницького</w:t>
            </w:r>
          </w:p>
        </w:tc>
        <w:tc>
          <w:tcPr>
            <w:tcW w:type="dxa" w:w="2880"/>
            <w:vAlign w:val="top"/>
          </w:tcPr>
          <w:p>
            <w:r>
              <w:rPr>
                <w:sz w:val="17"/>
              </w:rPr>
              <w:t>APPROVED source asset</w:t>
            </w:r>
          </w:p>
        </w:tc>
        <w:tc>
          <w:tcPr>
            <w:tcW w:type="dxa" w:w="3600"/>
            <w:vAlign w:val="top"/>
          </w:tcPr>
          <w:p>
            <w:r>
              <w:rPr>
                <w:sz w:val="17"/>
              </w:rPr>
              <w:t>https://plagiarismsearch.com/files/2019/images/pages/plagiarism-checker/universites-ua/Component-7.png</w:t>
            </w:r>
          </w:p>
        </w:tc>
      </w:tr>
      <w:tr>
        <w:tc>
          <w:tcPr>
            <w:tcW w:type="dxa" w:w="1440"/>
            <w:vAlign w:val="top"/>
          </w:tcPr>
          <w:p>
            <w:r>
              <w:rPr>
                <w:sz w:val="17"/>
              </w:rPr>
              <w:t>Component-8.png</w:t>
            </w:r>
          </w:p>
        </w:tc>
        <w:tc>
          <w:tcPr>
            <w:tcW w:type="dxa" w:w="3456"/>
            <w:vAlign w:val="top"/>
          </w:tcPr>
          <w:p>
            <w:r>
              <w:rPr>
                <w:sz w:val="17"/>
              </w:rPr>
              <w:t>Ужгородський національний університет</w:t>
            </w:r>
          </w:p>
        </w:tc>
        <w:tc>
          <w:tcPr>
            <w:tcW w:type="dxa" w:w="2880"/>
            <w:vAlign w:val="top"/>
          </w:tcPr>
          <w:p>
            <w:r>
              <w:rPr>
                <w:sz w:val="17"/>
              </w:rPr>
              <w:t>APPROVED source asset</w:t>
            </w:r>
          </w:p>
        </w:tc>
        <w:tc>
          <w:tcPr>
            <w:tcW w:type="dxa" w:w="3600"/>
            <w:vAlign w:val="top"/>
          </w:tcPr>
          <w:p>
            <w:r>
              <w:rPr>
                <w:sz w:val="17"/>
              </w:rPr>
              <w:t>https://plagiarismsearch.com/files/2019/images/pages/plagiarism-checker/universites-ua/Component-8.png</w:t>
            </w:r>
          </w:p>
        </w:tc>
      </w:tr>
      <w:tr>
        <w:tc>
          <w:tcPr>
            <w:tcW w:type="dxa" w:w="1440"/>
            <w:vAlign w:val="top"/>
          </w:tcPr>
          <w:p>
            <w:r>
              <w:rPr>
                <w:sz w:val="17"/>
              </w:rPr>
              <w:t>Component-9.png</w:t>
            </w:r>
          </w:p>
        </w:tc>
        <w:tc>
          <w:tcPr>
            <w:tcW w:type="dxa" w:w="3456"/>
            <w:vAlign w:val="top"/>
          </w:tcPr>
          <w:p>
            <w:r>
              <w:rPr>
                <w:sz w:val="17"/>
              </w:rPr>
              <w:t>Національний університет водного господарства та природокористування</w:t>
            </w:r>
          </w:p>
        </w:tc>
        <w:tc>
          <w:tcPr>
            <w:tcW w:type="dxa" w:w="2880"/>
            <w:vAlign w:val="top"/>
          </w:tcPr>
          <w:p>
            <w:r>
              <w:rPr>
                <w:sz w:val="17"/>
              </w:rPr>
              <w:t>APPROVED source asset</w:t>
            </w:r>
          </w:p>
        </w:tc>
        <w:tc>
          <w:tcPr>
            <w:tcW w:type="dxa" w:w="3600"/>
            <w:vAlign w:val="top"/>
          </w:tcPr>
          <w:p>
            <w:r>
              <w:rPr>
                <w:sz w:val="17"/>
              </w:rPr>
              <w:t>https://plagiarismsearch.com/files/2019/images/pages/plagiarism-checker/universites-ua/Component-9.png</w:t>
            </w:r>
          </w:p>
        </w:tc>
      </w:tr>
      <w:tr>
        <w:tc>
          <w:tcPr>
            <w:tcW w:type="dxa" w:w="1440"/>
            <w:vAlign w:val="top"/>
          </w:tcPr>
          <w:p>
            <w:r>
              <w:rPr>
                <w:sz w:val="17"/>
              </w:rPr>
              <w:t>Component-10.png</w:t>
            </w:r>
          </w:p>
        </w:tc>
        <w:tc>
          <w:tcPr>
            <w:tcW w:type="dxa" w:w="3456"/>
            <w:vAlign w:val="top"/>
          </w:tcPr>
          <w:p>
            <w:r>
              <w:rPr>
                <w:sz w:val="17"/>
              </w:rPr>
              <w:t>Український державний університет імені Михайла Драгоманова</w:t>
            </w:r>
          </w:p>
        </w:tc>
        <w:tc>
          <w:tcPr>
            <w:tcW w:type="dxa" w:w="2880"/>
            <w:vAlign w:val="top"/>
          </w:tcPr>
          <w:p>
            <w:r>
              <w:rPr>
                <w:sz w:val="17"/>
              </w:rPr>
              <w:t>APPROVED source asset</w:t>
            </w:r>
          </w:p>
        </w:tc>
        <w:tc>
          <w:tcPr>
            <w:tcW w:type="dxa" w:w="3600"/>
            <w:vAlign w:val="top"/>
          </w:tcPr>
          <w:p>
            <w:r>
              <w:rPr>
                <w:sz w:val="17"/>
              </w:rPr>
              <w:t>https://plagiarismsearch.com/files/2019/images/pages/plagiarism-checker/universites-ua/Component-10.png</w:t>
            </w:r>
          </w:p>
        </w:tc>
      </w:tr>
      <w:tr>
        <w:tc>
          <w:tcPr>
            <w:tcW w:type="dxa" w:w="1440"/>
            <w:vAlign w:val="top"/>
          </w:tcPr>
          <w:p>
            <w:r>
              <w:rPr>
                <w:sz w:val="17"/>
              </w:rPr>
              <w:t>Component-11.png</w:t>
            </w:r>
          </w:p>
        </w:tc>
        <w:tc>
          <w:tcPr>
            <w:tcW w:type="dxa" w:w="3456"/>
            <w:vAlign w:val="top"/>
          </w:tcPr>
          <w:p>
            <w:r>
              <w:rPr>
                <w:sz w:val="17"/>
              </w:rPr>
              <w:t>Національний університет «Львівська політехніка»</w:t>
            </w:r>
          </w:p>
        </w:tc>
        <w:tc>
          <w:tcPr>
            <w:tcW w:type="dxa" w:w="2880"/>
            <w:vAlign w:val="top"/>
          </w:tcPr>
          <w:p>
            <w:r>
              <w:rPr>
                <w:sz w:val="17"/>
              </w:rPr>
              <w:t>APPROVED source asset</w:t>
            </w:r>
          </w:p>
        </w:tc>
        <w:tc>
          <w:tcPr>
            <w:tcW w:type="dxa" w:w="3600"/>
            <w:vAlign w:val="top"/>
          </w:tcPr>
          <w:p>
            <w:r>
              <w:rPr>
                <w:sz w:val="17"/>
              </w:rPr>
              <w:t>https://plagiarismsearch.com/files/2019/images/pages/plagiarism-checker/universites-ua/Component-11.png</w:t>
            </w:r>
          </w:p>
        </w:tc>
      </w:tr>
      <w:tr>
        <w:tc>
          <w:tcPr>
            <w:tcW w:type="dxa" w:w="1440"/>
            <w:vAlign w:val="top"/>
          </w:tcPr>
          <w:p>
            <w:r>
              <w:rPr>
                <w:sz w:val="17"/>
              </w:rPr>
              <w:t>Component-12.png</w:t>
            </w:r>
          </w:p>
        </w:tc>
        <w:tc>
          <w:tcPr>
            <w:tcW w:type="dxa" w:w="3456"/>
            <w:vAlign w:val="top"/>
          </w:tcPr>
          <w:p>
            <w:r>
              <w:rPr>
                <w:sz w:val="17"/>
              </w:rPr>
              <w:t>НТУУ «КПІ імені Ігоря Сікорського»</w:t>
            </w:r>
          </w:p>
        </w:tc>
        <w:tc>
          <w:tcPr>
            <w:tcW w:type="dxa" w:w="2880"/>
            <w:vAlign w:val="top"/>
          </w:tcPr>
          <w:p>
            <w:r>
              <w:rPr>
                <w:sz w:val="17"/>
              </w:rPr>
              <w:t>APPROVED source asset</w:t>
            </w:r>
          </w:p>
        </w:tc>
        <w:tc>
          <w:tcPr>
            <w:tcW w:type="dxa" w:w="3600"/>
            <w:vAlign w:val="top"/>
          </w:tcPr>
          <w:p>
            <w:r>
              <w:rPr>
                <w:sz w:val="17"/>
              </w:rPr>
              <w:t>https://plagiarismsearch.com/files/2019/images/pages/plagiarism-checker/universites-ua/Component-12.png</w:t>
            </w:r>
          </w:p>
        </w:tc>
      </w:tr>
    </w:tbl>
    <w:p>
      <w:pPr>
        <w:spacing w:after="0"/>
      </w:pPr>
    </w:p>
    <w:p>
      <w:r>
        <w:t>Component-6 note: The institution is now Національний університет «Київський авіаційний інститут». Use a current approved official logo only if supplied/verified; otherwise omit this item. Do not redraw, recolor, or “modernize” the legacy logo.</w:t>
      </w:r>
    </w:p>
    <w:p>
      <w:pPr>
        <w:pStyle w:val="SmallNote"/>
      </w:pPr>
      <w:r>
        <w:t>Official identity verification source: https://nau.edu.ua/ua/news/2026/5/24361.html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shd w:fill="EAF0F7"/>
            <w:vAlign w:val="center"/>
          </w:tcPr>
          <w:p>
            <w:r>
              <w:rPr>
                <w:b/>
                <w:sz w:val="18"/>
              </w:rPr>
              <w:t>Design rule</w:t>
            </w:r>
          </w:p>
        </w:tc>
        <w:tc>
          <w:tcPr>
            <w:tcW w:type="dxa" w:w="8352"/>
            <w:shd w:fill="EAF0F7"/>
            <w:vAlign w:val="center"/>
          </w:tcPr>
          <w:p>
            <w:r>
              <w:rPr>
                <w:b/>
                <w:sz w:val="18"/>
              </w:rPr>
              <w:t>Requirement</w:t>
            </w:r>
          </w:p>
        </w:tc>
      </w:tr>
      <w:tr>
        <w:tc>
          <w:tcPr>
            <w:tcW w:type="dxa" w:w="2160"/>
            <w:vAlign w:val="top"/>
          </w:tcPr>
          <w:p>
            <w:r>
              <w:rPr>
                <w:sz w:val="17"/>
              </w:rPr>
              <w:t>Placement</w:t>
            </w:r>
          </w:p>
        </w:tc>
        <w:tc>
          <w:tcPr>
            <w:tcW w:type="dxa" w:w="8352"/>
            <w:vAlign w:val="top"/>
          </w:tcPr>
          <w:p>
            <w:r>
              <w:rPr>
                <w:sz w:val="17"/>
              </w:rPr>
              <w:t>After report evidence, before Sources/Controls.</w:t>
            </w:r>
          </w:p>
        </w:tc>
      </w:tr>
      <w:tr>
        <w:tc>
          <w:tcPr>
            <w:tcW w:type="dxa" w:w="2160"/>
            <w:vAlign w:val="top"/>
          </w:tcPr>
          <w:p>
            <w:r>
              <w:rPr>
                <w:sz w:val="17"/>
              </w:rPr>
              <w:t>Visual weight</w:t>
            </w:r>
          </w:p>
        </w:tc>
        <w:tc>
          <w:tcPr>
            <w:tcW w:type="dxa" w:w="8352"/>
            <w:vAlign w:val="top"/>
          </w:tcPr>
          <w:p>
            <w:r>
              <w:rPr>
                <w:sz w:val="17"/>
              </w:rPr>
              <w:t>Lighter than core product evidence; avoid enterprise-client logo-wall aesthetics.</w:t>
            </w:r>
          </w:p>
        </w:tc>
      </w:tr>
      <w:tr>
        <w:tc>
          <w:tcPr>
            <w:tcW w:type="dxa" w:w="2160"/>
            <w:vAlign w:val="top"/>
          </w:tcPr>
          <w:p>
            <w:r>
              <w:rPr>
                <w:sz w:val="17"/>
              </w:rPr>
              <w:t>Desktop</w:t>
            </w:r>
          </w:p>
        </w:tc>
        <w:tc>
          <w:tcPr>
            <w:tcW w:type="dxa" w:w="8352"/>
            <w:vAlign w:val="top"/>
          </w:tcPr>
          <w:p>
            <w:r>
              <w:rPr>
                <w:sz w:val="17"/>
              </w:rPr>
              <w:t>Row/slider or balanced two-row composition; preserve legibility.</w:t>
            </w:r>
          </w:p>
        </w:tc>
      </w:tr>
      <w:tr>
        <w:tc>
          <w:tcPr>
            <w:tcW w:type="dxa" w:w="2160"/>
            <w:vAlign w:val="top"/>
          </w:tcPr>
          <w:p>
            <w:r>
              <w:rPr>
                <w:sz w:val="17"/>
              </w:rPr>
              <w:t>Mobile</w:t>
            </w:r>
          </w:p>
        </w:tc>
        <w:tc>
          <w:tcPr>
            <w:tcW w:type="dxa" w:w="8352"/>
            <w:vAlign w:val="top"/>
          </w:tcPr>
          <w:p>
            <w:r>
              <w:rPr>
                <w:sz w:val="17"/>
              </w:rPr>
              <w:t>Swipeable or wrapped without microscopic logos.</w:t>
            </w:r>
          </w:p>
        </w:tc>
      </w:tr>
      <w:tr>
        <w:tc>
          <w:tcPr>
            <w:tcW w:type="dxa" w:w="2160"/>
            <w:vAlign w:val="top"/>
          </w:tcPr>
          <w:p>
            <w:r>
              <w:rPr>
                <w:sz w:val="17"/>
              </w:rPr>
              <w:t>Brand treatment</w:t>
            </w:r>
          </w:p>
        </w:tc>
        <w:tc>
          <w:tcPr>
            <w:tcW w:type="dxa" w:w="8352"/>
            <w:vAlign w:val="top"/>
          </w:tcPr>
          <w:p>
            <w:r>
              <w:rPr>
                <w:sz w:val="17"/>
              </w:rPr>
              <w:t>Neutral/grayscale treatment is acceptable if the asset itself is not distorted.</w:t>
            </w:r>
          </w:p>
        </w:tc>
      </w:tr>
      <w:tr>
        <w:tc>
          <w:tcPr>
            <w:tcW w:type="dxa" w:w="2160"/>
            <w:vAlign w:val="top"/>
          </w:tcPr>
          <w:p>
            <w:r>
              <w:rPr>
                <w:sz w:val="17"/>
              </w:rPr>
              <w:t>Modularity</w:t>
            </w:r>
          </w:p>
        </w:tc>
        <w:tc>
          <w:tcPr>
            <w:tcW w:type="dxa" w:w="8352"/>
            <w:vAlign w:val="top"/>
          </w:tcPr>
          <w:p>
            <w:r>
              <w:rPr>
                <w:sz w:val="17"/>
              </w:rPr>
              <w:t>Report → Controls must still look complete if this section is removed.</w:t>
            </w:r>
          </w:p>
        </w:tc>
      </w:tr>
    </w:tbl>
    <w:p>
      <w:pPr>
        <w:spacing w:after="0"/>
      </w:pPr>
    </w:p>
    <w:p>
      <w:pPr>
        <w:pStyle w:val="Heading1"/>
        <w:keepNext/>
      </w:pPr>
      <w:r>
        <w:t>9. Section 04 — Sources and scan controls</w:t>
      </w:r>
    </w:p>
    <w:p>
      <w:pPr>
        <w:pStyle w:val="BriefLabel"/>
      </w:pPr>
      <w:r>
        <w:t>EYEBROW</w:t>
      </w:r>
    </w:p>
    <w:p>
      <w:r>
        <w:t>Налаштування перевірки</w:t>
      </w:r>
    </w:p>
    <w:p>
      <w:pPr>
        <w:pStyle w:val="BriefLabel"/>
      </w:pPr>
      <w:r>
        <w:t>H2</w:t>
      </w:r>
    </w:p>
    <w:p>
      <w:r>
        <w:t>Перевіряйте текст із потрібними джерелами та налаштуваннями</w:t>
      </w:r>
    </w:p>
    <w:p>
      <w:pPr>
        <w:pStyle w:val="BriefLabel"/>
      </w:pPr>
      <w:r>
        <w:t>INTRO</w:t>
      </w:r>
    </w:p>
    <w:p>
      <w:r>
        <w:t>Залежно від доступних у вашому акаунті налаштувань перевірка може включати вебджерела, академічну базу та ваші сховища. Перед запуском можна керувати окремими параметрами аналізу.</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EAF0F7"/>
            <w:vAlign w:val="center"/>
          </w:tcPr>
          <w:p>
            <w:r>
              <w:rPr>
                <w:b/>
                <w:sz w:val="18"/>
              </w:rPr>
              <w:t>Content cell</w:t>
            </w:r>
          </w:p>
        </w:tc>
        <w:tc>
          <w:tcPr>
            <w:tcW w:type="dxa" w:w="8064"/>
            <w:shd w:fill="EAF0F7"/>
            <w:vAlign w:val="center"/>
          </w:tcPr>
          <w:p>
            <w:r>
              <w:rPr>
                <w:b/>
                <w:sz w:val="18"/>
              </w:rPr>
              <w:t>Exact copy</w:t>
            </w:r>
          </w:p>
        </w:tc>
      </w:tr>
      <w:tr>
        <w:tc>
          <w:tcPr>
            <w:tcW w:type="dxa" w:w="2448"/>
            <w:vAlign w:val="top"/>
          </w:tcPr>
          <w:p>
            <w:r>
              <w:rPr>
                <w:sz w:val="17"/>
              </w:rPr>
              <w:t>Вебджерела</w:t>
            </w:r>
          </w:p>
        </w:tc>
        <w:tc>
          <w:tcPr>
            <w:tcW w:type="dxa" w:w="8064"/>
            <w:vAlign w:val="top"/>
          </w:tcPr>
          <w:p>
            <w:r>
              <w:rPr>
                <w:sz w:val="17"/>
              </w:rPr>
              <w:t>Шукайте схожі фрагменти серед доступних вебджерел.</w:t>
            </w:r>
          </w:p>
        </w:tc>
      </w:tr>
      <w:tr>
        <w:tc>
          <w:tcPr>
            <w:tcW w:type="dxa" w:w="2448"/>
            <w:vAlign w:val="top"/>
          </w:tcPr>
          <w:p>
            <w:r>
              <w:rPr>
                <w:sz w:val="17"/>
              </w:rPr>
              <w:t>Академічна база</w:t>
            </w:r>
          </w:p>
        </w:tc>
        <w:tc>
          <w:tcPr>
            <w:tcW w:type="dxa" w:w="8064"/>
            <w:vAlign w:val="top"/>
          </w:tcPr>
          <w:p>
            <w:r>
              <w:rPr>
                <w:sz w:val="17"/>
              </w:rPr>
              <w:t>Академічна база PlagiarismSearch містить понад 500 млн проіндексованих текстів. Доступність цього джерела залежить від налаштувань перевірки.</w:t>
            </w:r>
          </w:p>
        </w:tc>
      </w:tr>
      <w:tr>
        <w:tc>
          <w:tcPr>
            <w:tcW w:type="dxa" w:w="2448"/>
            <w:vAlign w:val="top"/>
          </w:tcPr>
          <w:p>
            <w:r>
              <w:rPr>
                <w:sz w:val="17"/>
              </w:rPr>
              <w:t>Ваші сховища</w:t>
            </w:r>
          </w:p>
        </w:tc>
        <w:tc>
          <w:tcPr>
            <w:tcW w:type="dxa" w:w="8064"/>
            <w:vAlign w:val="top"/>
          </w:tcPr>
          <w:p>
            <w:r>
              <w:rPr>
                <w:sz w:val="17"/>
              </w:rPr>
              <w:t>За наявності відповідного доступу можна виконувати пошук у персональному або організаційному сховищі.</w:t>
            </w:r>
          </w:p>
        </w:tc>
      </w:tr>
      <w:tr>
        <w:tc>
          <w:tcPr>
            <w:tcW w:type="dxa" w:w="2448"/>
            <w:vAlign w:val="top"/>
          </w:tcPr>
          <w:p>
            <w:r>
              <w:rPr>
                <w:sz w:val="17"/>
              </w:rPr>
              <w:t>Цитати та список джерел</w:t>
            </w:r>
          </w:p>
        </w:tc>
        <w:tc>
          <w:tcPr>
            <w:tcW w:type="dxa" w:w="8064"/>
            <w:vAlign w:val="top"/>
          </w:tcPr>
          <w:p>
            <w:r>
              <w:rPr>
                <w:sz w:val="17"/>
              </w:rPr>
              <w:t>Налаштування дозволяють окремо керувати виключенням списку літератури та внутрішньотекстових цитат.</w:t>
            </w:r>
          </w:p>
        </w:tc>
      </w:tr>
    </w:tbl>
    <w:p>
      <w:pPr>
        <w:spacing w:after="0"/>
      </w:pPr>
    </w:p>
    <w:tbl>
      <w:tblPr>
        <w:tblW w:type="auto" w:w="0"/>
        <w:jc w:val="center"/>
        <w:tblLook w:firstColumn="1" w:firstRow="1" w:lastColumn="0" w:lastRow="0" w:noHBand="0" w:noVBand="1" w:val="04A0"/>
      </w:tblPr>
      <w:tblGrid>
        <w:gridCol w:w="10166"/>
      </w:tblGrid>
      <w:tr>
        <w:tc>
          <w:tcPr>
            <w:tcW w:type="dxa" w:w="10166"/>
            <w:shd w:fill="FFF6E7"/>
            <w:tcBorders>
              <w:top w:val="single" w:sz="8" w:color="D6DFEA"/>
              <w:left w:val="single" w:sz="8" w:color="D6DFEA"/>
              <w:bottom w:val="single" w:sz="8" w:color="D6DFEA"/>
              <w:right w:val="single" w:sz="8" w:color="D6DFEA"/>
            </w:tcBorders>
          </w:tcPr>
          <w:p>
            <w:pPr>
              <w:spacing w:after="80"/>
            </w:pPr>
            <w:r>
              <w:rPr>
                <w:b/>
                <w:sz w:val="21"/>
              </w:rPr>
              <w:t>Visual semantics</w:t>
            </w:r>
          </w:p>
          <w:p>
            <w:pPr>
              <w:spacing w:after="80"/>
            </w:pPr>
            <w:r>
              <w:t>Show these as available sources/controls, not as permanently enabled in every scan. The 500M+ academic-text fact must not imply that every check always searches the entire academic corpus.</w:t>
            </w:r>
          </w:p>
        </w:tc>
        <w:trPr>
          <w:tblHeader/>
        </w:trPr>
      </w:tr>
    </w:tbl>
    <w:p>
      <w:pPr>
        <w:spacing w:after="0"/>
      </w:pPr>
    </w:p>
    <w:p>
      <w:pPr>
        <w:pStyle w:val="Heading1"/>
        <w:keepNext/>
      </w:pPr>
      <w:r>
        <w:t>10. Section 05 — Interpretation workflow</w:t>
      </w:r>
    </w:p>
    <w:p>
      <w:pPr>
        <w:pStyle w:val="BriefLabel"/>
      </w:pPr>
      <w:r>
        <w:t>EYEBROW</w:t>
      </w:r>
    </w:p>
    <w:p>
      <w:r>
        <w:t>Як читати результат</w:t>
      </w:r>
    </w:p>
    <w:p>
      <w:pPr>
        <w:pStyle w:val="BriefLabel"/>
      </w:pPr>
      <w:r>
        <w:t>H2</w:t>
      </w:r>
    </w:p>
    <w:p>
      <w:r>
        <w:t>Як правильно оцінити знайдений збіг</w:t>
      </w:r>
    </w:p>
    <w:p>
      <w:pPr>
        <w:pStyle w:val="BriefLabel"/>
      </w:pPr>
      <w:r>
        <w:t>INTRO</w:t>
      </w:r>
    </w:p>
    <w:p>
      <w:r>
        <w:t>Один загальний показник не пояснює, чому система позначила конкретний фрагмент. Переглядайте результат на рівні тексту й джерела.</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720"/>
            <w:shd w:fill="EAF0F7"/>
            <w:vAlign w:val="center"/>
          </w:tcPr>
          <w:p>
            <w:r>
              <w:rPr>
                <w:b/>
                <w:sz w:val="18"/>
              </w:rPr>
              <w:t>Step</w:t>
            </w:r>
          </w:p>
        </w:tc>
        <w:tc>
          <w:tcPr>
            <w:tcW w:type="dxa" w:w="2592"/>
            <w:shd w:fill="EAF0F7"/>
            <w:vAlign w:val="center"/>
          </w:tcPr>
          <w:p>
            <w:r>
              <w:rPr>
                <w:b/>
                <w:sz w:val="18"/>
              </w:rPr>
              <w:t>Heading</w:t>
            </w:r>
          </w:p>
        </w:tc>
        <w:tc>
          <w:tcPr>
            <w:tcW w:type="dxa" w:w="7200"/>
            <w:shd w:fill="EAF0F7"/>
            <w:vAlign w:val="center"/>
          </w:tcPr>
          <w:p>
            <w:r>
              <w:rPr>
                <w:b/>
                <w:sz w:val="18"/>
              </w:rPr>
              <w:t>Copy</w:t>
            </w:r>
          </w:p>
        </w:tc>
      </w:tr>
      <w:tr>
        <w:tc>
          <w:tcPr>
            <w:tcW w:type="dxa" w:w="720"/>
            <w:vAlign w:val="top"/>
          </w:tcPr>
          <w:p>
            <w:r>
              <w:rPr>
                <w:sz w:val="17"/>
              </w:rPr>
              <w:t>1</w:t>
            </w:r>
          </w:p>
        </w:tc>
        <w:tc>
          <w:tcPr>
            <w:tcW w:type="dxa" w:w="2592"/>
            <w:vAlign w:val="top"/>
          </w:tcPr>
          <w:p>
            <w:r>
              <w:rPr>
                <w:sz w:val="17"/>
              </w:rPr>
              <w:t>Відкрийте збіг</w:t>
            </w:r>
          </w:p>
        </w:tc>
        <w:tc>
          <w:tcPr>
            <w:tcW w:type="dxa" w:w="7200"/>
            <w:vAlign w:val="top"/>
          </w:tcPr>
          <w:p>
            <w:r>
              <w:rPr>
                <w:sz w:val="17"/>
              </w:rPr>
              <w:t>Подивіться, який саме фрагмент вашого тексту має відповідність у знайденому джерелі.</w:t>
            </w:r>
          </w:p>
        </w:tc>
      </w:tr>
      <w:tr>
        <w:tc>
          <w:tcPr>
            <w:tcW w:type="dxa" w:w="720"/>
            <w:vAlign w:val="top"/>
          </w:tcPr>
          <w:p>
            <w:r>
              <w:rPr>
                <w:sz w:val="17"/>
              </w:rPr>
              <w:t>2</w:t>
            </w:r>
          </w:p>
        </w:tc>
        <w:tc>
          <w:tcPr>
            <w:tcW w:type="dxa" w:w="2592"/>
            <w:vAlign w:val="top"/>
          </w:tcPr>
          <w:p>
            <w:r>
              <w:rPr>
                <w:sz w:val="17"/>
              </w:rPr>
              <w:t>Перевірте джерело й контекст</w:t>
            </w:r>
          </w:p>
        </w:tc>
        <w:tc>
          <w:tcPr>
            <w:tcW w:type="dxa" w:w="7200"/>
            <w:vAlign w:val="top"/>
          </w:tcPr>
          <w:p>
            <w:r>
              <w:rPr>
                <w:sz w:val="17"/>
              </w:rPr>
              <w:t>Порівняйте формулювання та переконайтеся, чи є це цитатою, коректно оформленим запозиченням, загальним формулюванням або фрагментом, що потребує уваги.</w:t>
            </w:r>
          </w:p>
        </w:tc>
      </w:tr>
      <w:tr>
        <w:tc>
          <w:tcPr>
            <w:tcW w:type="dxa" w:w="720"/>
            <w:vAlign w:val="top"/>
          </w:tcPr>
          <w:p>
            <w:r>
              <w:rPr>
                <w:sz w:val="17"/>
              </w:rPr>
              <w:t>3</w:t>
            </w:r>
          </w:p>
        </w:tc>
        <w:tc>
          <w:tcPr>
            <w:tcW w:type="dxa" w:w="2592"/>
            <w:vAlign w:val="top"/>
          </w:tcPr>
          <w:p>
            <w:r>
              <w:rPr>
                <w:sz w:val="17"/>
              </w:rPr>
              <w:t>Вирішіть, чи потрібна зміна</w:t>
            </w:r>
          </w:p>
        </w:tc>
        <w:tc>
          <w:tcPr>
            <w:tcW w:type="dxa" w:w="7200"/>
            <w:vAlign w:val="top"/>
          </w:tcPr>
          <w:p>
            <w:r>
              <w:rPr>
                <w:sz w:val="17"/>
              </w:rPr>
              <w:t>За потреби додайте посилання, уточніть цитату або перепишіть фрагмент власними словами, зберігаючи коректну атрибуцію джерела.</w:t>
            </w:r>
          </w:p>
        </w:tc>
      </w:tr>
    </w:tbl>
    <w:p>
      <w:pPr>
        <w:spacing w:after="0"/>
      </w:pPr>
    </w:p>
    <w:tbl>
      <w:tblPr>
        <w:tblW w:type="auto" w:w="0"/>
        <w:jc w:val="center"/>
        <w:tblLook w:firstColumn="1" w:firstRow="1" w:lastColumn="0" w:lastRow="0" w:noHBand="0" w:noVBand="1" w:val="04A0"/>
      </w:tblPr>
      <w:tblGrid>
        <w:gridCol w:w="10166"/>
      </w:tblGrid>
      <w:tr>
        <w:tc>
          <w:tcPr>
            <w:tcW w:type="dxa" w:w="10166"/>
            <w:shd w:fill="FFF6E7"/>
            <w:tcBorders>
              <w:top w:val="single" w:sz="8" w:color="D6DFEA"/>
              <w:left w:val="single" w:sz="8" w:color="D6DFEA"/>
              <w:bottom w:val="single" w:sz="8" w:color="D6DFEA"/>
              <w:right w:val="single" w:sz="8" w:color="D6DFEA"/>
            </w:tcBorders>
          </w:tcPr>
          <w:p>
            <w:pPr>
              <w:spacing w:after="80"/>
            </w:pPr>
            <w:r>
              <w:rPr>
                <w:b/>
                <w:sz w:val="21"/>
              </w:rPr>
              <w:t>Required callout</w:t>
            </w:r>
          </w:p>
          <w:p>
            <w:pPr>
              <w:spacing w:after="80"/>
            </w:pPr>
            <w:r>
              <w:t>PlagiarismSearch не виносить автоматичний академічний чи юридичний висновок про плагіат. Звіт надає дані для перевірки й рішення людиною.</w:t>
            </w:r>
          </w:p>
        </w:tc>
        <w:trPr>
          <w:tblHeader/>
        </w:trPr>
      </w:tr>
    </w:tbl>
    <w:p>
      <w:pPr>
        <w:spacing w:after="0"/>
      </w:pPr>
    </w:p>
    <w:p>
      <w:pPr>
        <w:pStyle w:val="Heading1"/>
        <w:keepNext/>
      </w:pPr>
      <w:r>
        <w:t>11. Section 06 — Document and report lifecycle</w:t>
      </w:r>
    </w:p>
    <w:p>
      <w:pPr>
        <w:pStyle w:val="BriefLabel"/>
      </w:pPr>
      <w:r>
        <w:t>EYEBROW</w:t>
      </w:r>
    </w:p>
    <w:p>
      <w:r>
        <w:t>Ваш документ і звіт</w:t>
      </w:r>
    </w:p>
    <w:p>
      <w:pPr>
        <w:pStyle w:val="BriefLabel"/>
      </w:pPr>
      <w:r>
        <w:t>H2</w:t>
      </w:r>
    </w:p>
    <w:p>
      <w:r>
        <w:t>Що відбувається з документом після перевірки</w:t>
      </w:r>
    </w:p>
    <w:p>
      <w:pPr>
        <w:pStyle w:val="BriefLabel"/>
      </w:pPr>
      <w:r>
        <w:t>INTRO</w:t>
      </w:r>
    </w:p>
    <w:p>
      <w:r>
        <w:t>Перевірка, звіт і функція Storage — це різні етапи. Важливо не змішувати їх в одну дію.</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EAF0F7"/>
            <w:vAlign w:val="center"/>
          </w:tcPr>
          <w:p>
            <w:r>
              <w:rPr>
                <w:b/>
                <w:sz w:val="18"/>
              </w:rPr>
              <w:t>Stage</w:t>
            </w:r>
          </w:p>
        </w:tc>
        <w:tc>
          <w:tcPr>
            <w:tcW w:type="dxa" w:w="8208"/>
            <w:shd w:fill="EAF0F7"/>
            <w:vAlign w:val="center"/>
          </w:tcPr>
          <w:p>
            <w:r>
              <w:rPr>
                <w:b/>
                <w:sz w:val="18"/>
              </w:rPr>
              <w:t>Exact copy</w:t>
            </w:r>
          </w:p>
        </w:tc>
      </w:tr>
      <w:tr>
        <w:tc>
          <w:tcPr>
            <w:tcW w:type="dxa" w:w="2304"/>
            <w:vAlign w:val="top"/>
          </w:tcPr>
          <w:p>
            <w:r>
              <w:rPr>
                <w:sz w:val="17"/>
              </w:rPr>
              <w:t>1. Обробка</w:t>
            </w:r>
          </w:p>
        </w:tc>
        <w:tc>
          <w:tcPr>
            <w:tcW w:type="dxa" w:w="8208"/>
            <w:vAlign w:val="top"/>
          </w:tcPr>
          <w:p>
            <w:r>
              <w:rPr>
                <w:sz w:val="17"/>
              </w:rPr>
              <w:t>Завантажений текст використовується для виконання запущеної вами перевірки.</w:t>
            </w:r>
          </w:p>
        </w:tc>
      </w:tr>
      <w:tr>
        <w:tc>
          <w:tcPr>
            <w:tcW w:type="dxa" w:w="2304"/>
            <w:vAlign w:val="top"/>
          </w:tcPr>
          <w:p>
            <w:r>
              <w:rPr>
                <w:sz w:val="17"/>
              </w:rPr>
              <w:t>2. Вихідний документ</w:t>
            </w:r>
          </w:p>
        </w:tc>
        <w:tc>
          <w:tcPr>
            <w:tcW w:type="dxa" w:w="8208"/>
            <w:vAlign w:val="top"/>
          </w:tcPr>
          <w:p>
            <w:r>
              <w:rPr>
                <w:sz w:val="17"/>
              </w:rPr>
              <w:t>Вихідний документ не зберігається як окремий документ після звичайної перевірки. Зберігання результату не означає автоматичне додавання документа до бази для майбутніх порівнянь.</w:t>
            </w:r>
          </w:p>
        </w:tc>
      </w:tr>
      <w:tr>
        <w:tc>
          <w:tcPr>
            <w:tcW w:type="dxa" w:w="2304"/>
            <w:vAlign w:val="top"/>
          </w:tcPr>
          <w:p>
            <w:r>
              <w:rPr>
                <w:sz w:val="17"/>
              </w:rPr>
              <w:t>3. Звіт</w:t>
            </w:r>
          </w:p>
        </w:tc>
        <w:tc>
          <w:tcPr>
            <w:tcW w:type="dxa" w:w="8208"/>
            <w:vAlign w:val="top"/>
          </w:tcPr>
          <w:p>
            <w:r>
              <w:rPr>
                <w:sz w:val="17"/>
              </w:rPr>
              <w:t>Згенеровані звіти можуть зберігатися у вашому акаунті для повторного перегляду. Користувач може видалити звіт зі свого акаунта.</w:t>
            </w:r>
          </w:p>
        </w:tc>
      </w:tr>
      <w:tr>
        <w:tc>
          <w:tcPr>
            <w:tcW w:type="dxa" w:w="2304"/>
            <w:vAlign w:val="top"/>
          </w:tcPr>
          <w:p>
            <w:r>
              <w:rPr>
                <w:sz w:val="17"/>
              </w:rPr>
              <w:t>4. Storage</w:t>
            </w:r>
          </w:p>
        </w:tc>
        <w:tc>
          <w:tcPr>
            <w:tcW w:type="dxa" w:w="8208"/>
            <w:vAlign w:val="top"/>
          </w:tcPr>
          <w:p>
            <w:r>
              <w:rPr>
                <w:sz w:val="17"/>
              </w:rPr>
              <w:t>Додавання документа до персонального або організаційного сховища відбувається окремо, коли користувач сам використовує відповідну функцію.</w:t>
            </w:r>
          </w:p>
        </w:tc>
      </w:tr>
    </w:tbl>
    <w:p>
      <w:pPr>
        <w:spacing w:after="0"/>
      </w:pPr>
    </w:p>
    <w:tbl>
      <w:tblPr>
        <w:tblW w:type="auto" w:w="0"/>
        <w:jc w:val="center"/>
        <w:tblLook w:firstColumn="1" w:firstRow="1" w:lastColumn="0" w:lastRow="0" w:noHBand="0" w:noVBand="1" w:val="04A0"/>
      </w:tblPr>
      <w:tblGrid>
        <w:gridCol w:w="10166"/>
      </w:tblGrid>
      <w:tr>
        <w:tc>
          <w:tcPr>
            <w:tcW w:type="dxa" w:w="10166"/>
            <w:shd w:fill="FDECEC"/>
            <w:tcBorders>
              <w:top w:val="single" w:sz="8" w:color="D6DFEA"/>
              <w:left w:val="single" w:sz="8" w:color="D6DFEA"/>
              <w:bottom w:val="single" w:sz="8" w:color="D6DFEA"/>
              <w:right w:val="single" w:sz="8" w:color="D6DFEA"/>
            </w:tcBorders>
          </w:tcPr>
          <w:p>
            <w:pPr>
              <w:spacing w:after="80"/>
            </w:pPr>
            <w:r>
              <w:rPr>
                <w:b/>
                <w:sz w:val="21"/>
              </w:rPr>
              <w:t>Do not write</w:t>
            </w:r>
          </w:p>
          <w:p>
            <w:pPr>
              <w:spacing w:after="80"/>
            </w:pPr>
            <w:r>
              <w:t>Do not use “nothing is ever stored”, “files never reach our servers”, “everything is deleted immediately”, or “the uploaded file is stored in your account”.</w:t>
            </w:r>
          </w:p>
        </w:tc>
        <w:trPr>
          <w:tblHeader/>
        </w:trPr>
      </w:tr>
    </w:tbl>
    <w:p>
      <w:pPr>
        <w:spacing w:after="0"/>
      </w:pPr>
    </w:p>
    <w:p>
      <w:pPr>
        <w:pStyle w:val="Heading1"/>
        <w:keepNext/>
      </w:pPr>
      <w:r>
        <w:t>12. Section 07 — Free → paid access</w:t>
      </w:r>
    </w:p>
    <w:p>
      <w:pPr>
        <w:pStyle w:val="BriefLabel"/>
      </w:pPr>
      <w:r>
        <w:t>EYEBROW</w:t>
      </w:r>
    </w:p>
    <w:p>
      <w:r>
        <w:t>Почніть безкоштовно</w:t>
      </w:r>
    </w:p>
    <w:p>
      <w:pPr>
        <w:pStyle w:val="BriefLabel"/>
      </w:pPr>
      <w:r>
        <w:t>H2</w:t>
      </w:r>
    </w:p>
    <w:p>
      <w:r>
        <w:t>Перевірте невеликий фрагмент без оплати</w:t>
      </w:r>
    </w:p>
    <w:p>
      <w:r>
        <w:t>Без реєстрації можна перевірити до 150 слів. Зареєстрованим користувачам доступно 300 слів для перевірки на плагіат щодня. Якщо потрібно перевіряти більші тексти або більше документів, перегляньте актуальні тарифні плани.</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600"/>
            <w:shd w:fill="EAF0F7"/>
            <w:vAlign w:val="center"/>
          </w:tcPr>
          <w:p>
            <w:r>
              <w:rPr>
                <w:b/>
                <w:sz w:val="18"/>
              </w:rPr>
              <w:t>Action</w:t>
            </w:r>
          </w:p>
        </w:tc>
        <w:tc>
          <w:tcPr>
            <w:tcW w:type="dxa" w:w="6912"/>
            <w:shd w:fill="EAF0F7"/>
            <w:vAlign w:val="center"/>
          </w:tcPr>
          <w:p>
            <w:r>
              <w:rPr>
                <w:b/>
                <w:sz w:val="18"/>
              </w:rPr>
              <w:t>Destination</w:t>
            </w:r>
          </w:p>
        </w:tc>
      </w:tr>
      <w:tr>
        <w:tc>
          <w:tcPr>
            <w:tcW w:type="dxa" w:w="3600"/>
            <w:vAlign w:val="top"/>
          </w:tcPr>
          <w:p>
            <w:r>
              <w:rPr>
                <w:sz w:val="17"/>
              </w:rPr>
              <w:t>Primary: Перевірити текст</w:t>
            </w:r>
          </w:p>
        </w:tc>
        <w:tc>
          <w:tcPr>
            <w:tcW w:type="dxa" w:w="6912"/>
            <w:vAlign w:val="top"/>
          </w:tcPr>
          <w:p>
            <w:r>
              <w:rPr>
                <w:sz w:val="17"/>
              </w:rPr>
              <w:t>Scroll/focus hero checker</w:t>
            </w:r>
          </w:p>
        </w:tc>
      </w:tr>
      <w:tr>
        <w:tc>
          <w:tcPr>
            <w:tcW w:type="dxa" w:w="3600"/>
            <w:vAlign w:val="top"/>
          </w:tcPr>
          <w:p>
            <w:r>
              <w:rPr>
                <w:sz w:val="17"/>
              </w:rPr>
              <w:t>Secondary: Переглянути тарифи</w:t>
            </w:r>
          </w:p>
        </w:tc>
        <w:tc>
          <w:tcPr>
            <w:tcW w:type="dxa" w:w="6912"/>
            <w:vAlign w:val="top"/>
          </w:tcPr>
          <w:p>
            <w:r>
              <w:rPr>
                <w:sz w:val="17"/>
              </w:rPr>
              <w:t>Canonical UA pricing URL</w:t>
            </w:r>
          </w:p>
        </w:tc>
      </w:tr>
    </w:tbl>
    <w:p>
      <w:pPr>
        <w:spacing w:after="0"/>
      </w:pPr>
    </w:p>
    <w:tbl>
      <w:tblPr>
        <w:tblW w:type="auto" w:w="0"/>
        <w:jc w:val="center"/>
        <w:tblLook w:firstColumn="1" w:firstRow="1" w:lastColumn="0" w:lastRow="0" w:noHBand="0" w:noVBand="1" w:val="04A0"/>
      </w:tblPr>
      <w:tblGrid>
        <w:gridCol w:w="10166"/>
      </w:tblGrid>
      <w:tr>
        <w:tc>
          <w:tcPr>
            <w:tcW w:type="dxa" w:w="10166"/>
            <w:shd w:fill="FFF6E7"/>
            <w:tcBorders>
              <w:top w:val="single" w:sz="8" w:color="D6DFEA"/>
              <w:left w:val="single" w:sz="8" w:color="D6DFEA"/>
              <w:bottom w:val="single" w:sz="8" w:color="D6DFEA"/>
              <w:right w:val="single" w:sz="8" w:color="D6DFEA"/>
            </w:tcBorders>
          </w:tcPr>
          <w:p>
            <w:pPr>
              <w:spacing w:after="80"/>
            </w:pPr>
            <w:r>
              <w:rPr>
                <w:b/>
                <w:sz w:val="21"/>
              </w:rPr>
              <w:t>Commercial rule</w:t>
            </w:r>
          </w:p>
          <w:p>
            <w:pPr>
              <w:spacing w:after="80"/>
            </w:pPr>
            <w:r>
              <w:t>Do not duplicate a large static price matrix. Let production checker gating and backend-driven pricing remain authoritative.</w:t>
            </w:r>
          </w:p>
        </w:tc>
        <w:trPr>
          <w:tblHeader/>
        </w:trPr>
      </w:tr>
    </w:tbl>
    <w:p>
      <w:pPr>
        <w:spacing w:after="0"/>
      </w:pPr>
    </w:p>
    <w:p>
      <w:pPr>
        <w:pStyle w:val="Heading1"/>
        <w:keepNext/>
      </w:pPr>
      <w:r>
        <w:t>13. Section 08 — Reviews</w:t>
      </w:r>
    </w:p>
    <w:p>
      <w:pPr>
        <w:pStyle w:val="BriefLabel"/>
      </w:pPr>
      <w:r>
        <w:t>H2</w:t>
      </w:r>
    </w:p>
    <w:p>
      <w:r>
        <w:t>Відгуки користувачів PlagiarismSearch</w:t>
      </w:r>
    </w:p>
    <w:p>
      <w:pPr>
        <w:pStyle w:val="ListBullet"/>
      </w:pPr>
      <w:r>
        <w:t>Use centrally verified/current review content only.</w:t>
      </w:r>
    </w:p>
    <w:p>
      <w:pPr>
        <w:pStyle w:val="ListBullet"/>
      </w:pPr>
      <w:r>
        <w:t>Do not invent reviewer names, text, ratings, or aggregate scores.</w:t>
      </w:r>
    </w:p>
    <w:p>
      <w:pPr>
        <w:pStyle w:val="ListBullet"/>
      </w:pPr>
      <w:r>
        <w:t>Do not call reviewers “customers” unless the source proves they are paying customers.</w:t>
      </w:r>
    </w:p>
    <w:p>
      <w:pPr>
        <w:pStyle w:val="ListBullet"/>
      </w:pPr>
      <w:r>
        <w:t>Review visible content, source, aggregate and structured data must pass one staging QA.</w:t>
      </w:r>
    </w:p>
    <w:p>
      <w:pPr>
        <w:pStyle w:val="ListBullet"/>
      </w:pPr>
      <w:r>
        <w:t>Do not copy legacy review schema blindly simply because the URL historically received Review snippet appearance.</w:t>
      </w:r>
    </w:p>
    <w:p>
      <w:pPr>
        <w:pStyle w:val="Heading1"/>
        <w:keepNext/>
      </w:pPr>
      <w:r>
        <w:t>14. Section 09 — AI distinction</w:t>
      </w:r>
    </w:p>
    <w:p>
      <w:pPr>
        <w:pStyle w:val="BriefLabel"/>
      </w:pPr>
      <w:r>
        <w:t>EYEBROW</w:t>
      </w:r>
    </w:p>
    <w:p>
      <w:r>
        <w:t>Інший тип аналізу</w:t>
      </w:r>
    </w:p>
    <w:p>
      <w:pPr>
        <w:pStyle w:val="BriefLabel"/>
      </w:pPr>
      <w:r>
        <w:t>H2</w:t>
      </w:r>
    </w:p>
    <w:p>
      <w:r>
        <w:t>Перевірка на плагіат і AI-детектор — це різні перевірки</w:t>
      </w:r>
    </w:p>
    <w:p>
      <w:r>
        <w:t>Перевірка на плагіат шукає текстові збіги з джерелами. AI-детектор окремо оцінює ознаки машинно згенерованого тексту. Результат одного аналізу не замінює результат іншого.</w:t>
      </w:r>
    </w:p>
    <w:p>
      <w:pPr>
        <w:pStyle w:val="BriefLabel"/>
      </w:pPr>
      <w:r>
        <w:t>CTA</w:t>
      </w:r>
    </w:p>
    <w:p>
      <w:r>
        <w:t>Перевірити текст на ШІ → /ua/ai-content-detector</w:t>
      </w:r>
    </w:p>
    <w:tbl>
      <w:tblPr>
        <w:tblW w:type="auto" w:w="0"/>
        <w:jc w:val="center"/>
        <w:tblLook w:firstColumn="1" w:firstRow="1" w:lastColumn="0" w:lastRow="0" w:noHBand="0" w:noVBand="1" w:val="04A0"/>
      </w:tblPr>
      <w:tblGrid>
        <w:gridCol w:w="10166"/>
      </w:tblGrid>
      <w:tr>
        <w:tc>
          <w:tcPr>
            <w:tcW w:type="dxa" w:w="10166"/>
            <w:shd w:fill="FFF6E7"/>
            <w:tcBorders>
              <w:top w:val="single" w:sz="8" w:color="D6DFEA"/>
              <w:left w:val="single" w:sz="8" w:color="D6DFEA"/>
              <w:bottom w:val="single" w:sz="8" w:color="D6DFEA"/>
              <w:right w:val="single" w:sz="8" w:color="D6DFEA"/>
            </w:tcBorders>
          </w:tcPr>
          <w:p>
            <w:pPr>
              <w:spacing w:after="80"/>
            </w:pPr>
            <w:r>
              <w:rPr>
                <w:b/>
                <w:sz w:val="21"/>
              </w:rPr>
              <w:t>Visual rule</w:t>
            </w:r>
          </w:p>
          <w:p>
            <w:pPr>
              <w:spacing w:after="80"/>
            </w:pPr>
            <w:r>
              <w:t>AI is secondary. Do not make Plagiarism Checking and AI Detection equal co-primary products on this page.</w:t>
            </w:r>
          </w:p>
        </w:tc>
        <w:trPr>
          <w:tblHeader/>
        </w:trPr>
      </w:tr>
    </w:tbl>
    <w:p>
      <w:pPr>
        <w:spacing w:after="0"/>
      </w:pPr>
    </w:p>
    <w:p>
      <w:pPr>
        <w:pStyle w:val="Heading1"/>
        <w:keepNext/>
      </w:pPr>
      <w:r>
        <w:t>15. Section 10 — FAQ exact content</w:t>
      </w:r>
    </w:p>
    <w:p>
      <w:r>
        <w:rPr>
          <w:b/>
          <w:sz w:val="20"/>
        </w:rPr>
        <w:t>Скільки тексту можна перевірити на плагіат безкоштовно?</w:t>
      </w:r>
    </w:p>
    <w:p>
      <w:r>
        <w:t>Без реєстрації можна перевірити до 150 слів. Для зареєстрованих користувачів доступно 300 слів для перевірки на плагіат щодня. Для більших обсягів можна скористатися платним тарифом.</w:t>
      </w:r>
    </w:p>
    <w:p>
      <w:r>
        <w:rPr>
          <w:b/>
          <w:sz w:val="20"/>
        </w:rPr>
        <w:t>Що показує звіт PlagiarismSearch?</w:t>
      </w:r>
    </w:p>
    <w:p>
      <w:r>
        <w:t>Звіт показує знайдені текстові збіги, відповідні джерела та пов’язані з ними фрагменти документа. Ви можете перейти від позначеного тексту до джерела й самостійно перевірити контекст.</w:t>
      </w:r>
    </w:p>
    <w:p>
      <w:r>
        <w:rPr>
          <w:b/>
          <w:sz w:val="20"/>
        </w:rPr>
        <w:t>Чи означає знайдений збіг, що в тексті є плагіат?</w:t>
      </w:r>
    </w:p>
    <w:p>
      <w:r>
        <w:t>Ні. Текстовий збіг сам по собі не є автоматичним висновком про плагіат. Важливо перевірити джерело, контекст, цитування й правила, за якими оцінюється конкретний текст.</w:t>
      </w:r>
    </w:p>
    <w:p>
      <w:r>
        <w:rPr>
          <w:b/>
          <w:sz w:val="20"/>
        </w:rPr>
        <w:t>Чи можна перевірити PDF на плагіат?</w:t>
      </w:r>
    </w:p>
    <w:p>
      <w:r>
        <w:t>Так, PlagiarismSearch може аналізувати PDF, якщо файл містить машинозчитуваний текстовий шар. Сервіс не виконує OCR: текст, який існує лише всередині сканованого зображення, не буде розпізнано. У змішаному PDF аналізується текст із тих сторінок, де він доступний як текст.</w:t>
      </w:r>
    </w:p>
    <w:p>
      <w:r>
        <w:rPr>
          <w:b/>
          <w:sz w:val="20"/>
        </w:rPr>
        <w:t>Який максимальний розмір файлу?</w:t>
      </w:r>
    </w:p>
    <w:p>
      <w:r>
        <w:t>Для гостей максимальний розмір підтримуваного файла становить 2 МБ, для користувачів, які увійшли в акаунт, — 24 МБ. За одну операцію можна додати до 10 файлів.</w:t>
      </w:r>
    </w:p>
    <w:p>
      <w:r>
        <w:rPr>
          <w:b/>
          <w:sz w:val="20"/>
        </w:rPr>
        <w:t>З якими джерелами може порівнюватися текст?</w:t>
      </w:r>
    </w:p>
    <w:p>
      <w:r>
        <w:t>Залежно від доступних налаштувань перевірка може використовувати вебджерела, академічну базу, а також персональне чи організаційне сховище. Не всі джерела обов’язково використовуються в кожній перевірці.</w:t>
      </w:r>
    </w:p>
    <w:p>
      <w:r>
        <w:rPr>
          <w:b/>
          <w:sz w:val="20"/>
        </w:rPr>
        <w:t>Чи зберігається мій документ після перевірки?</w:t>
      </w:r>
    </w:p>
    <w:p>
      <w:r>
        <w:t>Завантажений вихідний документ не зберігається як окремий документ після звичайної перевірки. Згенерований звіт може залишатися у вашому акаунті для повторного перегляду, і його можна видалити. Додавання документа до Storage є окремою керованою дією.</w:t>
      </w:r>
    </w:p>
    <w:p>
      <w:r>
        <w:rPr>
          <w:b/>
          <w:sz w:val="20"/>
        </w:rPr>
        <w:t>Чи можна використати звіт PlagiarismSearch як офіційний звіт для університету?</w:t>
      </w:r>
    </w:p>
    <w:p>
      <w:r>
        <w:t>Вимоги різних університетів відрізняються. Звіт PlagiarismSearch можна використовувати для самоперевірки й роботи зі знайденими збігами, але чи приймає конкретний заклад такий звіт як офіційний документ, потрібно уточнювати безпосередньо в університеті.</w:t>
      </w:r>
    </w:p>
    <w:p>
      <w:r>
        <w:rPr>
          <w:b/>
          <w:sz w:val="20"/>
        </w:rPr>
        <w:t>Чим перевірка на плагіат відрізняється від AI-детектора?</w:t>
      </w:r>
    </w:p>
    <w:p>
      <w:r>
        <w:t>Перевірка на плагіат шукає схожість між вашим текстом і доступними джерелами. AI-детектор оцінює інші ознаки — наскільки текст схожий на машинно згенерований. Це різні сигнали, і один не підтверджує інший.</w:t>
      </w:r>
    </w:p>
    <w:tbl>
      <w:tblPr>
        <w:tblW w:type="auto" w:w="0"/>
        <w:jc w:val="center"/>
        <w:tblLook w:firstColumn="1" w:firstRow="1" w:lastColumn="0" w:lastRow="0" w:noHBand="0" w:noVBand="1" w:val="04A0"/>
      </w:tblPr>
      <w:tblGrid>
        <w:gridCol w:w="10166"/>
      </w:tblGrid>
      <w:tr>
        <w:tc>
          <w:tcPr>
            <w:tcW w:type="dxa" w:w="10166"/>
            <w:shd w:fill="F3F6FA"/>
            <w:tcBorders>
              <w:top w:val="single" w:sz="8" w:color="D6DFEA"/>
              <w:left w:val="single" w:sz="8" w:color="D6DFEA"/>
              <w:bottom w:val="single" w:sz="8" w:color="D6DFEA"/>
              <w:right w:val="single" w:sz="8" w:color="D6DFEA"/>
            </w:tcBorders>
          </w:tcPr>
          <w:p>
            <w:pPr>
              <w:spacing w:after="80"/>
            </w:pPr>
            <w:r>
              <w:rPr>
                <w:b/>
                <w:sz w:val="21"/>
              </w:rPr>
              <w:t>FAQ implementation</w:t>
            </w:r>
          </w:p>
          <w:p>
            <w:pPr>
              <w:spacing w:after="80"/>
            </w:pPr>
            <w:r>
              <w:t>Accordion answers must remain present in rendered HTML. Do not use FAQ as keyword stuffing; these questions exist because they resolve real user/product ambiguity.</w:t>
            </w:r>
          </w:p>
        </w:tc>
        <w:trPr>
          <w:tblHeader/>
        </w:trPr>
      </w:tr>
    </w:tbl>
    <w:p>
      <w:pPr>
        <w:spacing w:after="0"/>
      </w:pPr>
    </w:p>
    <w:p>
      <w:pPr>
        <w:pStyle w:val="Heading1"/>
        <w:keepNext/>
      </w:pPr>
      <w:r>
        <w:t>16. Section 11 — Final CTA</w:t>
      </w:r>
    </w:p>
    <w:p>
      <w:pPr>
        <w:pStyle w:val="BriefLabel"/>
      </w:pPr>
      <w:r>
        <w:t>H2</w:t>
      </w:r>
    </w:p>
    <w:p>
      <w:r>
        <w:t>Перевірте текст і перегляньте знайдені джерела</w:t>
      </w:r>
    </w:p>
    <w:p>
      <w:pPr>
        <w:pStyle w:val="BriefLabel"/>
      </w:pPr>
      <w:r>
        <w:t>SUPPORT</w:t>
      </w:r>
    </w:p>
    <w:p>
      <w:r>
        <w:t>Почніть із безкоштовного ліміту або увійдіть в акаунт, щоб скористатися доступним вам обсягом перевірки.</w:t>
      </w:r>
    </w:p>
    <w:p>
      <w:pPr>
        <w:pStyle w:val="BriefLabel"/>
      </w:pPr>
      <w:r>
        <w:t>CTA</w:t>
      </w:r>
    </w:p>
    <w:p>
      <w:r>
        <w:t>Перевірити на плагіат</w:t>
      </w:r>
    </w:p>
    <w:p>
      <w:pPr>
        <w:pStyle w:val="SmallNote"/>
      </w:pPr>
      <w:r>
        <w:t>Behavior: scroll back to checker and focus the real input. Do not send the primary CTA to registration while a guest can still start without an account.</w:t>
      </w:r>
    </w:p>
    <w:p>
      <w:pPr>
        <w:pStyle w:val="Heading1"/>
        <w:keepNext/>
      </w:pPr>
      <w:r>
        <w:t>17. Negative contract — do not carry legacy claims forward</w:t>
      </w:r>
    </w:p>
    <w:p>
      <w:pPr>
        <w:pStyle w:val="ListBullet"/>
      </w:pPr>
      <w:r>
        <w:t>“точно”, “100%”, numeric accuracy/equivalence without benchmark.</w:t>
      </w:r>
    </w:p>
    <w:p>
      <w:pPr>
        <w:pStyle w:val="ListBullet"/>
      </w:pPr>
      <w:r>
        <w:t>“мільярди вебсторінок”.</w:t>
      </w:r>
    </w:p>
    <w:p>
      <w:pPr>
        <w:pStyle w:val="ListBullet"/>
      </w:pPr>
      <w:r>
        <w:t>“зазвичай 1 хвилина”, “2–5 хвилин”, or other processing-time promises without SLA.</w:t>
      </w:r>
    </w:p>
    <w:p>
      <w:pPr>
        <w:pStyle w:val="ListBullet"/>
      </w:pPr>
      <w:r>
        <w:t>“підтримка 100+ мов” unless product fact is re-confirmed for this claim.</w:t>
      </w:r>
    </w:p>
    <w:p>
      <w:pPr>
        <w:pStyle w:val="ListBullet"/>
      </w:pPr>
      <w:r>
        <w:t>Plagiarism + AI as one combined result or equal co-primary promise.</w:t>
      </w:r>
    </w:p>
    <w:p>
      <w:pPr>
        <w:pStyle w:val="ListBullet"/>
      </w:pPr>
      <w:r>
        <w:t>“відсоток плагіату” as an automatic verdict.</w:t>
      </w:r>
    </w:p>
    <w:p>
      <w:pPr>
        <w:pStyle w:val="ListBullet"/>
      </w:pPr>
      <w:r>
        <w:t>“унікальність” as a guaranteed factual measure.</w:t>
      </w:r>
    </w:p>
    <w:p>
      <w:pPr>
        <w:pStyle w:val="ListBullet"/>
      </w:pPr>
      <w:r>
        <w:t>“без обмежень за обсягом”.</w:t>
      </w:r>
    </w:p>
    <w:p>
      <w:pPr>
        <w:pStyle w:val="ListBullet"/>
      </w:pPr>
      <w:r>
        <w:t>“файл зберігається у вашому акаунті”.</w:t>
      </w:r>
    </w:p>
    <w:p>
      <w:pPr>
        <w:pStyle w:val="ListBullet"/>
      </w:pPr>
      <w:r>
        <w:t>“університети співпрацюють з нами” based only on student usage.</w:t>
      </w:r>
    </w:p>
    <w:p>
      <w:pPr>
        <w:pStyle w:val="ListBullet"/>
      </w:pPr>
      <w:r>
        <w:t>Claims about anonymized data being used to improve algorithms unless privacy/product explicitly verifies it.</w:t>
      </w:r>
    </w:p>
    <w:p>
      <w:pPr>
        <w:pStyle w:val="ListBullet"/>
      </w:pPr>
      <w:r>
        <w:t>Large generic academic article about course papers/theses as the main body.</w:t>
      </w:r>
    </w:p>
    <w:p>
      <w:pPr>
        <w:pStyle w:val="ListBullet"/>
      </w:pPr>
      <w:r>
        <w:t>Generic 3-step section that repeats the real checker workflow.</w:t>
      </w:r>
    </w:p>
    <w:p>
      <w:pPr>
        <w:pStyle w:val="ListBullet"/>
      </w:pPr>
      <w:r>
        <w:t>Full static pricing table.</w:t>
      </w:r>
    </w:p>
    <w:p>
      <w:pPr>
        <w:pStyle w:val="ListBullet"/>
      </w:pPr>
      <w:r>
        <w:t>Fake checker/report/settings controls.</w:t>
      </w:r>
    </w:p>
    <w:p>
      <w:pPr>
        <w:pStyle w:val="Heading1"/>
        <w:keepNext/>
      </w:pPr>
      <w:r>
        <w:t>18. Ukrainian language / terminology guardrails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888"/>
            <w:shd w:fill="EAF0F7"/>
            <w:vAlign w:val="center"/>
          </w:tcPr>
          <w:p>
            <w:r>
              <w:rPr>
                <w:b/>
                <w:sz w:val="18"/>
              </w:rPr>
              <w:t>Prefer</w:t>
            </w:r>
          </w:p>
        </w:tc>
        <w:tc>
          <w:tcPr>
            <w:tcW w:type="dxa" w:w="6624"/>
            <w:shd w:fill="EAF0F7"/>
            <w:vAlign w:val="center"/>
          </w:tcPr>
          <w:p>
            <w:r>
              <w:rPr>
                <w:b/>
                <w:sz w:val="18"/>
              </w:rPr>
              <w:t>Avoid as default</w:t>
            </w:r>
          </w:p>
        </w:tc>
      </w:tr>
      <w:tr>
        <w:tc>
          <w:tcPr>
            <w:tcW w:type="dxa" w:w="3888"/>
            <w:vAlign w:val="top"/>
          </w:tcPr>
          <w:p>
            <w:r>
              <w:rPr>
                <w:sz w:val="17"/>
              </w:rPr>
              <w:t>збіг / текстовий збіг</w:t>
            </w:r>
          </w:p>
        </w:tc>
        <w:tc>
          <w:tcPr>
            <w:tcW w:type="dxa" w:w="6624"/>
            <w:vAlign w:val="top"/>
          </w:tcPr>
          <w:p>
            <w:r>
              <w:rPr>
                <w:sz w:val="17"/>
              </w:rPr>
              <w:t>“плагіат” for every flagged fragment</w:t>
            </w:r>
          </w:p>
        </w:tc>
      </w:tr>
      <w:tr>
        <w:tc>
          <w:tcPr>
            <w:tcW w:type="dxa" w:w="3888"/>
            <w:vAlign w:val="top"/>
          </w:tcPr>
          <w:p>
            <w:r>
              <w:rPr>
                <w:sz w:val="17"/>
              </w:rPr>
              <w:t>схожість / частка збігів</w:t>
            </w:r>
          </w:p>
        </w:tc>
        <w:tc>
          <w:tcPr>
            <w:tcW w:type="dxa" w:w="6624"/>
            <w:vAlign w:val="top"/>
          </w:tcPr>
          <w:p>
            <w:r>
              <w:rPr>
                <w:sz w:val="17"/>
              </w:rPr>
              <w:t>definitive “відсоток плагіату”</w:t>
            </w:r>
          </w:p>
        </w:tc>
      </w:tr>
      <w:tr>
        <w:tc>
          <w:tcPr>
            <w:tcW w:type="dxa" w:w="3888"/>
            <w:vAlign w:val="top"/>
          </w:tcPr>
          <w:p>
            <w:r>
              <w:rPr>
                <w:sz w:val="17"/>
              </w:rPr>
              <w:t>джерело</w:t>
            </w:r>
          </w:p>
        </w:tc>
        <w:tc>
          <w:tcPr>
            <w:tcW w:type="dxa" w:w="6624"/>
            <w:vAlign w:val="top"/>
          </w:tcPr>
          <w:p>
            <w:r>
              <w:rPr>
                <w:sz w:val="17"/>
              </w:rPr>
              <w:t>“доказ плагіату”</w:t>
            </w:r>
          </w:p>
        </w:tc>
      </w:tr>
      <w:tr>
        <w:tc>
          <w:tcPr>
            <w:tcW w:type="dxa" w:w="3888"/>
            <w:vAlign w:val="top"/>
          </w:tcPr>
          <w:p>
            <w:r>
              <w:rPr>
                <w:sz w:val="17"/>
              </w:rPr>
              <w:t>переглянути результат</w:t>
            </w:r>
          </w:p>
        </w:tc>
        <w:tc>
          <w:tcPr>
            <w:tcW w:type="dxa" w:w="6624"/>
            <w:vAlign w:val="top"/>
          </w:tcPr>
          <w:p>
            <w:r>
              <w:rPr>
                <w:sz w:val="17"/>
              </w:rPr>
              <w:t>“дізнатися, чи ви плагіатор”</w:t>
            </w:r>
          </w:p>
        </w:tc>
      </w:tr>
      <w:tr>
        <w:tc>
          <w:tcPr>
            <w:tcW w:type="dxa" w:w="3888"/>
            <w:vAlign w:val="top"/>
          </w:tcPr>
          <w:p>
            <w:r>
              <w:rPr>
                <w:sz w:val="17"/>
              </w:rPr>
              <w:t>перевірка на плагіат — category phrase</w:t>
            </w:r>
          </w:p>
        </w:tc>
        <w:tc>
          <w:tcPr>
            <w:tcW w:type="dxa" w:w="6624"/>
            <w:vAlign w:val="top"/>
          </w:tcPr>
          <w:p>
            <w:r>
              <w:rPr>
                <w:sz w:val="17"/>
              </w:rPr>
              <w:t>automatic plagiarism verdict</w:t>
            </w:r>
          </w:p>
        </w:tc>
      </w:tr>
      <w:tr>
        <w:tc>
          <w:tcPr>
            <w:tcW w:type="dxa" w:w="3888"/>
            <w:vAlign w:val="top"/>
          </w:tcPr>
          <w:p>
            <w:r>
              <w:rPr>
                <w:sz w:val="17"/>
              </w:rPr>
              <w:t>документ / текст</w:t>
            </w:r>
          </w:p>
        </w:tc>
        <w:tc>
          <w:tcPr>
            <w:tcW w:type="dxa" w:w="6624"/>
            <w:vAlign w:val="top"/>
          </w:tcPr>
          <w:p>
            <w:r>
              <w:rPr>
                <w:sz w:val="17"/>
              </w:rPr>
              <w:t>академічна робота as the default noun</w:t>
            </w:r>
          </w:p>
        </w:tc>
      </w:tr>
      <w:tr>
        <w:tc>
          <w:tcPr>
            <w:tcW w:type="dxa" w:w="3888"/>
            <w:vAlign w:val="top"/>
          </w:tcPr>
          <w:p>
            <w:r>
              <w:rPr>
                <w:sz w:val="17"/>
              </w:rPr>
              <w:t>безкоштовний ліміт</w:t>
            </w:r>
          </w:p>
        </w:tc>
        <w:tc>
          <w:tcPr>
            <w:tcW w:type="dxa" w:w="6624"/>
            <w:vAlign w:val="top"/>
          </w:tcPr>
          <w:p>
            <w:r>
              <w:rPr>
                <w:sz w:val="17"/>
              </w:rPr>
              <w:t>vague “повністю безкоштовно”</w:t>
            </w:r>
          </w:p>
        </w:tc>
      </w:tr>
    </w:tbl>
    <w:p>
      <w:pPr>
        <w:spacing w:after="0"/>
      </w:pPr>
    </w:p>
    <w:p>
      <w:r>
        <w:t>Use “перевірка на плагіат”, “антиплагіат”, “онлайн”, and “безкоштовно” naturally where useful. These are valid search/user terms; the guardrail is about factual product meaning, not avoiding the vocabulary.</w:t>
      </w:r>
    </w:p>
    <w:p>
      <w:pPr>
        <w:pStyle w:val="Heading1"/>
        <w:keepNext/>
      </w:pPr>
      <w:r>
        <w:t>19. Responsive and visual implementation rules</w:t>
      </w:r>
    </w:p>
    <w:p>
      <w:pPr>
        <w:pStyle w:val="ListBullet"/>
      </w:pPr>
      <w:r>
        <w:t>On mobile, the real checker must remain before decorative assets.</w:t>
      </w:r>
    </w:p>
    <w:p>
      <w:pPr>
        <w:pStyle w:val="ListBullet"/>
      </w:pPr>
      <w:r>
        <w:t>Semantic reading order must remain checker → report → evidence → interpretation → privacy → commercial path.</w:t>
      </w:r>
    </w:p>
    <w:p>
      <w:pPr>
        <w:pStyle w:val="ListBullet"/>
      </w:pPr>
      <w:r>
        <w:t>Report UI may simplify/crop responsively but must not become a fake non-functional screenshot if production interaction exists.</w:t>
      </w:r>
    </w:p>
    <w:p>
      <w:pPr>
        <w:pStyle w:val="ListBullet"/>
      </w:pPr>
      <w:r>
        <w:t>University logos must remain legible; do not shrink them into an unreadable desktop-logo wall on mobile.</w:t>
      </w:r>
    </w:p>
    <w:p>
      <w:pPr>
        <w:pStyle w:val="ListBullet"/>
      </w:pPr>
      <w:r>
        <w:t>FAQ answers must remain rendered HTML.</w:t>
      </w:r>
    </w:p>
    <w:p>
      <w:pPr>
        <w:pStyle w:val="ListBullet"/>
      </w:pPr>
      <w:r>
        <w:t>Do not use visual transitions that make the optional UA proof structurally mandatory.</w:t>
      </w:r>
    </w:p>
    <w:p>
      <w:pPr>
        <w:pStyle w:val="ListBullet"/>
      </w:pPr>
      <w:r>
        <w:t>Avoid repetitive card grids. Let the real checker and report be the signature visual moments.</w:t>
      </w:r>
    </w:p>
    <w:p>
      <w:pPr>
        <w:pStyle w:val="Heading1"/>
        <w:keepNext/>
      </w:pPr>
      <w:r>
        <w:t>20. Google AI Overview / AI Mode / answer-engine readiness</w:t>
      </w:r>
    </w:p>
    <w:p>
      <w:r>
        <w:t>Do not create a separate “AI SEO” section. Make the following answers concise, explicit, and independently understandable in rendered HTML:</w:t>
      </w:r>
    </w:p>
    <w:p>
      <w:pPr>
        <w:pStyle w:val="ListBullet"/>
      </w:pPr>
      <w:r>
        <w:t>How much can be checked for free?</w:t>
      </w:r>
    </w:p>
    <w:p>
      <w:pPr>
        <w:pStyle w:val="ListBullet"/>
      </w:pPr>
      <w:r>
        <w:t>What does the report show?</w:t>
      </w:r>
    </w:p>
    <w:p>
      <w:pPr>
        <w:pStyle w:val="ListBullet"/>
      </w:pPr>
      <w:r>
        <w:t>Does a match automatically mean plagiarism?</w:t>
      </w:r>
    </w:p>
    <w:p>
      <w:pPr>
        <w:pStyle w:val="ListBullet"/>
      </w:pPr>
      <w:r>
        <w:t>Which sources may be searched?</w:t>
      </w:r>
    </w:p>
    <w:p>
      <w:pPr>
        <w:pStyle w:val="ListBullet"/>
      </w:pPr>
      <w:r>
        <w:t>Is the uploaded document stored?</w:t>
      </w:r>
    </w:p>
    <w:p>
      <w:pPr>
        <w:pStyle w:val="ListBullet"/>
      </w:pPr>
      <w:r>
        <w:t>What is the difference between plagiarism checking and AI detection?</w:t>
      </w:r>
    </w:p>
    <w:p>
      <w:pPr>
        <w:pStyle w:val="ListBullet"/>
      </w:pPr>
      <w:r>
        <w:t>Can PDF files be checked?</w:t>
      </w:r>
    </w:p>
    <w:p>
      <w:pPr>
        <w:pStyle w:val="ListBullet"/>
      </w:pPr>
      <w:r>
        <w:t>What are the upload size/count limits?</w:t>
      </w:r>
    </w:p>
    <w:p>
      <w:pPr>
        <w:pStyle w:val="SmallNote"/>
      </w:pPr>
      <w:r>
        <w:t>Do not create thin fan-out sections or keyword permutations simply to answer these questions. The value comes from first-party product evidence and clear factual wording.</w:t>
      </w:r>
    </w:p>
    <w:p>
      <w:pPr>
        <w:pStyle w:val="Heading1"/>
        <w:keepNext/>
      </w:pPr>
      <w:r>
        <w:t>21. Technical SEO / locale ownership implementation</w:t>
      </w:r>
    </w:p>
    <w:p>
      <w:pPr>
        <w:pStyle w:val="ListBullet"/>
      </w:pPr>
      <w:r>
        <w:t>Exactly one H1: “Перевірка на плагіат онлайн”.</w:t>
      </w:r>
    </w:p>
    <w:p>
      <w:pPr>
        <w:pStyle w:val="ListBullet"/>
      </w:pPr>
      <w:r>
        <w:t>Self-canonical.</w:t>
      </w:r>
    </w:p>
    <w:p>
      <w:pPr>
        <w:pStyle w:val="ListBullet"/>
      </w:pPr>
      <w:r>
        <w:t>UA navigation “Перевірка на плагіат” should resolve to /ua/plagiarism-check.</w:t>
      </w:r>
    </w:p>
    <w:p>
      <w:pPr>
        <w:pStyle w:val="ListBullet"/>
      </w:pPr>
      <w:r>
        <w:t>Do not hardcode hreflang to every /{locale}/plagiarism-check route. Hreflang must follow final locale intent ownership after migrations.</w:t>
      </w:r>
    </w:p>
    <w:p>
      <w:pPr>
        <w:pStyle w:val="ListBullet"/>
      </w:pPr>
      <w:r>
        <w:t>Do not create hidden duplicated SEO copy.</w:t>
      </w:r>
    </w:p>
    <w:p>
      <w:pPr>
        <w:pStyle w:val="ListBullet"/>
      </w:pPr>
      <w:r>
        <w:t>Do not hide the primary product proposition entirely inside tabs/accordions.</w:t>
      </w:r>
    </w:p>
    <w:p>
      <w:pPr>
        <w:pStyle w:val="ListBullet"/>
      </w:pPr>
      <w:r>
        <w:t>Keep the checker, core copy, factual answers, and FAQ in rendered/indexable output.</w:t>
      </w:r>
    </w:p>
    <w:p>
      <w:pPr>
        <w:pStyle w:val="Heading1"/>
        <w:keepNext/>
      </w:pPr>
      <w:r>
        <w:t>22. Analytics / events required after production binding</w:t>
      </w:r>
    </w:p>
    <w:p>
      <w:pPr>
        <w:pStyle w:val="ListBullet"/>
      </w:pPr>
      <w:r>
        <w:t>Checker interaction / start</w:t>
      </w:r>
    </w:p>
    <w:p>
      <w:pPr>
        <w:pStyle w:val="ListBullet"/>
      </w:pPr>
      <w:r>
        <w:t>File upload</w:t>
      </w:r>
    </w:p>
    <w:p>
      <w:pPr>
        <w:pStyle w:val="ListBullet"/>
      </w:pPr>
      <w:r>
        <w:t>Text submission</w:t>
      </w:r>
    </w:p>
    <w:p>
      <w:pPr>
        <w:pStyle w:val="ListBullet"/>
      </w:pPr>
      <w:r>
        <w:t>Registration prompt</w:t>
      </w:r>
    </w:p>
    <w:p>
      <w:pPr>
        <w:pStyle w:val="ListBullet"/>
      </w:pPr>
      <w:r>
        <w:t>Successful registration</w:t>
      </w:r>
    </w:p>
    <w:p>
      <w:pPr>
        <w:pStyle w:val="ListBullet"/>
      </w:pPr>
      <w:r>
        <w:t>Plan / pricing interaction</w:t>
      </w:r>
    </w:p>
    <w:p>
      <w:pPr>
        <w:pStyle w:val="ListBullet"/>
      </w:pPr>
      <w:r>
        <w:t>Purchase initiation</w:t>
      </w:r>
    </w:p>
    <w:p>
      <w:pPr>
        <w:pStyle w:val="ListBullet"/>
      </w:pPr>
      <w:r>
        <w:t>Completed payment where architecture permits</w:t>
      </w:r>
    </w:p>
    <w:p>
      <w:pPr>
        <w:pStyle w:val="ListBullet"/>
      </w:pPr>
      <w:r>
        <w:t>Report open</w:t>
      </w:r>
    </w:p>
    <w:p>
      <w:pPr>
        <w:pStyle w:val="ListBullet"/>
      </w:pPr>
      <w:r>
        <w:t>Report/source interaction</w:t>
      </w:r>
    </w:p>
    <w:p>
      <w:pPr>
        <w:pStyle w:val="ListBullet"/>
      </w:pPr>
      <w:r>
        <w:t>AI-detector cross-sell click</w:t>
      </w:r>
    </w:p>
    <w:p>
      <w:pPr>
        <w:pStyle w:val="SmallNote"/>
      </w:pPr>
      <w:r>
        <w:t>Preserve existing acquisition attribution where possible; do not accidentally reset or rename analytics semantics during redesign.</w:t>
      </w:r>
    </w:p>
    <w:p>
      <w:pPr>
        <w:pStyle w:val="Heading1"/>
        <w:keepNext/>
      </w:pPr>
      <w:r>
        <w:t>23. P0 production / cutover QA checklist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EAF0F7"/>
            <w:vAlign w:val="center"/>
          </w:tcPr>
          <w:p>
            <w:r>
              <w:rPr>
                <w:b/>
                <w:sz w:val="18"/>
              </w:rPr>
              <w:t>QA area</w:t>
            </w:r>
          </w:p>
        </w:tc>
        <w:tc>
          <w:tcPr>
            <w:tcW w:type="dxa" w:w="7632"/>
            <w:shd w:fill="EAF0F7"/>
            <w:vAlign w:val="center"/>
          </w:tcPr>
          <w:p>
            <w:r>
              <w:rPr>
                <w:b/>
                <w:sz w:val="18"/>
              </w:rPr>
              <w:t>Pass condition</w:t>
            </w:r>
          </w:p>
        </w:tc>
      </w:tr>
      <w:tr>
        <w:tc>
          <w:tcPr>
            <w:tcW w:type="dxa" w:w="2880"/>
            <w:vAlign w:val="top"/>
          </w:tcPr>
          <w:p>
            <w:r>
              <w:rPr>
                <w:sz w:val="17"/>
              </w:rPr>
              <w:t>Routing</w:t>
            </w:r>
          </w:p>
        </w:tc>
        <w:tc>
          <w:tcPr>
            <w:tcW w:type="dxa" w:w="7632"/>
            <w:vAlign w:val="top"/>
          </w:tcPr>
          <w:p>
            <w:r>
              <w:rPr>
                <w:sz w:val="17"/>
              </w:rPr>
              <w:t>Exact URL unchanged; returns 200; indexable; self-canonical.</w:t>
            </w:r>
          </w:p>
        </w:tc>
      </w:tr>
      <w:tr>
        <w:tc>
          <w:tcPr>
            <w:tcW w:type="dxa" w:w="2880"/>
            <w:vAlign w:val="top"/>
          </w:tcPr>
          <w:p>
            <w:r>
              <w:rPr>
                <w:sz w:val="17"/>
              </w:rPr>
              <w:t>SEO</w:t>
            </w:r>
          </w:p>
        </w:tc>
        <w:tc>
          <w:tcPr>
            <w:tcW w:type="dxa" w:w="7632"/>
            <w:vAlign w:val="top"/>
          </w:tcPr>
          <w:p>
            <w:r>
              <w:rPr>
                <w:sz w:val="17"/>
              </w:rPr>
              <w:t>Title/meta implemented; exactly one H1; no hidden duplicate body.</w:t>
            </w:r>
          </w:p>
        </w:tc>
      </w:tr>
      <w:tr>
        <w:tc>
          <w:tcPr>
            <w:tcW w:type="dxa" w:w="2880"/>
            <w:vAlign w:val="top"/>
          </w:tcPr>
          <w:p>
            <w:r>
              <w:rPr>
                <w:sz w:val="17"/>
              </w:rPr>
              <w:t>Navigation</w:t>
            </w:r>
          </w:p>
        </w:tc>
        <w:tc>
          <w:tcPr>
            <w:tcW w:type="dxa" w:w="7632"/>
            <w:vAlign w:val="top"/>
          </w:tcPr>
          <w:p>
            <w:r>
              <w:rPr>
                <w:sz w:val="17"/>
              </w:rPr>
              <w:t>UA plagiarism-check nav target points to this URL.</w:t>
            </w:r>
          </w:p>
        </w:tc>
      </w:tr>
      <w:tr>
        <w:tc>
          <w:tcPr>
            <w:tcW w:type="dxa" w:w="2880"/>
            <w:vAlign w:val="top"/>
          </w:tcPr>
          <w:p>
            <w:r>
              <w:rPr>
                <w:sz w:val="17"/>
              </w:rPr>
              <w:t>Checker guest state</w:t>
            </w:r>
          </w:p>
        </w:tc>
        <w:tc>
          <w:tcPr>
            <w:tcW w:type="dxa" w:w="7632"/>
            <w:vAlign w:val="top"/>
          </w:tcPr>
          <w:p>
            <w:r>
              <w:rPr>
                <w:sz w:val="17"/>
              </w:rPr>
              <w:t>Real checker works logged-out; 150-word guest state is correct.</w:t>
            </w:r>
          </w:p>
        </w:tc>
      </w:tr>
      <w:tr>
        <w:tc>
          <w:tcPr>
            <w:tcW w:type="dxa" w:w="2880"/>
            <w:vAlign w:val="top"/>
          </w:tcPr>
          <w:p>
            <w:r>
              <w:rPr>
                <w:sz w:val="17"/>
              </w:rPr>
              <w:t>Checker registered state</w:t>
            </w:r>
          </w:p>
        </w:tc>
        <w:tc>
          <w:tcPr>
            <w:tcW w:type="dxa" w:w="7632"/>
            <w:vAlign w:val="top"/>
          </w:tcPr>
          <w:p>
            <w:r>
              <w:rPr>
                <w:sz w:val="17"/>
              </w:rPr>
              <w:t>Real checker works logged-in; 300 plagiarism words/day state is correct.</w:t>
            </w:r>
          </w:p>
        </w:tc>
      </w:tr>
      <w:tr>
        <w:tc>
          <w:tcPr>
            <w:tcW w:type="dxa" w:w="2880"/>
            <w:vAlign w:val="top"/>
          </w:tcPr>
          <w:p>
            <w:r>
              <w:rPr>
                <w:sz w:val="17"/>
              </w:rPr>
              <w:t>Uploads</w:t>
            </w:r>
          </w:p>
        </w:tc>
        <w:tc>
          <w:tcPr>
            <w:tcW w:type="dxa" w:w="7632"/>
            <w:vAlign w:val="top"/>
          </w:tcPr>
          <w:p>
            <w:r>
              <w:rPr>
                <w:sz w:val="17"/>
              </w:rPr>
              <w:t>2 MB guest; 24 MB logged-in; up to 10 files.</w:t>
            </w:r>
          </w:p>
        </w:tc>
      </w:tr>
      <w:tr>
        <w:tc>
          <w:tcPr>
            <w:tcW w:type="dxa" w:w="2880"/>
            <w:vAlign w:val="top"/>
          </w:tcPr>
          <w:p>
            <w:r>
              <w:rPr>
                <w:sz w:val="17"/>
              </w:rPr>
              <w:t>Report</w:t>
            </w:r>
          </w:p>
        </w:tc>
        <w:tc>
          <w:tcPr>
            <w:tcW w:type="dxa" w:w="7632"/>
            <w:vAlign w:val="top"/>
          </w:tcPr>
          <w:p>
            <w:r>
              <w:rPr>
                <w:sz w:val="17"/>
              </w:rPr>
              <w:t>Real report bindings; no fake thresholds or verdict semantics.</w:t>
            </w:r>
          </w:p>
        </w:tc>
      </w:tr>
      <w:tr>
        <w:tc>
          <w:tcPr>
            <w:tcW w:type="dxa" w:w="2880"/>
            <w:vAlign w:val="top"/>
          </w:tcPr>
          <w:p>
            <w:r>
              <w:rPr>
                <w:sz w:val="17"/>
              </w:rPr>
              <w:t>Pricing</w:t>
            </w:r>
          </w:p>
        </w:tc>
        <w:tc>
          <w:tcPr>
            <w:tcW w:type="dxa" w:w="7632"/>
            <w:vAlign w:val="top"/>
          </w:tcPr>
          <w:p>
            <w:r>
              <w:rPr>
                <w:sz w:val="17"/>
              </w:rPr>
              <w:t>Backend-driven current values; no stale body prices.</w:t>
            </w:r>
          </w:p>
        </w:tc>
      </w:tr>
      <w:tr>
        <w:tc>
          <w:tcPr>
            <w:tcW w:type="dxa" w:w="2880"/>
            <w:vAlign w:val="top"/>
          </w:tcPr>
          <w:p>
            <w:r>
              <w:rPr>
                <w:sz w:val="17"/>
              </w:rPr>
              <w:t>Privacy</w:t>
            </w:r>
          </w:p>
        </w:tc>
        <w:tc>
          <w:tcPr>
            <w:tcW w:type="dxa" w:w="7632"/>
            <w:vAlign w:val="top"/>
          </w:tcPr>
          <w:p>
            <w:r>
              <w:rPr>
                <w:sz w:val="17"/>
              </w:rPr>
              <w:t>Ordinary scan vs report retention vs Add to Storage remain distinct.</w:t>
            </w:r>
          </w:p>
        </w:tc>
      </w:tr>
      <w:tr>
        <w:tc>
          <w:tcPr>
            <w:tcW w:type="dxa" w:w="2880"/>
            <w:vAlign w:val="top"/>
          </w:tcPr>
          <w:p>
            <w:r>
              <w:rPr>
                <w:sz w:val="17"/>
              </w:rPr>
              <w:t>University proof</w:t>
            </w:r>
          </w:p>
        </w:tc>
        <w:tc>
          <w:tcPr>
            <w:tcW w:type="dxa" w:w="7632"/>
            <w:vAlign w:val="top"/>
          </w:tcPr>
          <w:p>
            <w:r>
              <w:rPr>
                <w:sz w:val="17"/>
              </w:rPr>
              <w:t>Student-user wording only; deconfusion note present.</w:t>
            </w:r>
          </w:p>
        </w:tc>
      </w:tr>
      <w:tr>
        <w:tc>
          <w:tcPr>
            <w:tcW w:type="dxa" w:w="2880"/>
            <w:vAlign w:val="top"/>
          </w:tcPr>
          <w:p>
            <w:r>
              <w:rPr>
                <w:sz w:val="17"/>
              </w:rPr>
              <w:t>Legacy Component-6</w:t>
            </w:r>
          </w:p>
        </w:tc>
        <w:tc>
          <w:tcPr>
            <w:tcW w:type="dxa" w:w="7632"/>
            <w:vAlign w:val="top"/>
          </w:tcPr>
          <w:p>
            <w:r>
              <w:rPr>
                <w:sz w:val="17"/>
              </w:rPr>
              <w:t>Current approved KAI logo substituted or the item omitted.</w:t>
            </w:r>
          </w:p>
        </w:tc>
      </w:tr>
      <w:tr>
        <w:tc>
          <w:tcPr>
            <w:tcW w:type="dxa" w:w="2880"/>
            <w:vAlign w:val="top"/>
          </w:tcPr>
          <w:p>
            <w:r>
              <w:rPr>
                <w:sz w:val="17"/>
              </w:rPr>
              <w:t>Reviews</w:t>
            </w:r>
          </w:p>
        </w:tc>
        <w:tc>
          <w:tcPr>
            <w:tcW w:type="dxa" w:w="7632"/>
            <w:vAlign w:val="top"/>
          </w:tcPr>
          <w:p>
            <w:r>
              <w:rPr>
                <w:sz w:val="17"/>
              </w:rPr>
              <w:t>Visible review data, source, aggregate, and structured data consistent.</w:t>
            </w:r>
          </w:p>
        </w:tc>
      </w:tr>
      <w:tr>
        <w:tc>
          <w:tcPr>
            <w:tcW w:type="dxa" w:w="2880"/>
            <w:vAlign w:val="top"/>
          </w:tcPr>
          <w:p>
            <w:r>
              <w:rPr>
                <w:sz w:val="17"/>
              </w:rPr>
              <w:t>AI</w:t>
            </w:r>
          </w:p>
        </w:tc>
        <w:tc>
          <w:tcPr>
            <w:tcW w:type="dxa" w:w="7632"/>
            <w:vAlign w:val="top"/>
          </w:tcPr>
          <w:p>
            <w:r>
              <w:rPr>
                <w:sz w:val="17"/>
              </w:rPr>
              <w:t>Secondary/separate analysis; no plagiarism=AI implication.</w:t>
            </w:r>
          </w:p>
        </w:tc>
      </w:tr>
      <w:tr>
        <w:tc>
          <w:tcPr>
            <w:tcW w:type="dxa" w:w="2880"/>
            <w:vAlign w:val="top"/>
          </w:tcPr>
          <w:p>
            <w:r>
              <w:rPr>
                <w:sz w:val="17"/>
              </w:rPr>
              <w:t>Responsive</w:t>
            </w:r>
          </w:p>
        </w:tc>
        <w:tc>
          <w:tcPr>
            <w:tcW w:type="dxa" w:w="7632"/>
            <w:vAlign w:val="top"/>
          </w:tcPr>
          <w:p>
            <w:r>
              <w:rPr>
                <w:sz w:val="17"/>
              </w:rPr>
              <w:t>Full checker + report + logo QA on desktop and mobile.</w:t>
            </w:r>
          </w:p>
        </w:tc>
      </w:tr>
      <w:tr>
        <w:tc>
          <w:tcPr>
            <w:tcW w:type="dxa" w:w="2880"/>
            <w:vAlign w:val="top"/>
          </w:tcPr>
          <w:p>
            <w:r>
              <w:rPr>
                <w:sz w:val="17"/>
              </w:rPr>
              <w:t>Hreflang</w:t>
            </w:r>
          </w:p>
        </w:tc>
        <w:tc>
          <w:tcPr>
            <w:tcW w:type="dxa" w:w="7632"/>
            <w:vAlign w:val="top"/>
          </w:tcPr>
          <w:p>
            <w:r>
              <w:rPr>
                <w:sz w:val="17"/>
              </w:rPr>
              <w:t>Matches final language architecture; no mechanical checker-route parity.</w:t>
            </w:r>
          </w:p>
        </w:tc>
      </w:tr>
      <w:tr>
        <w:tc>
          <w:tcPr>
            <w:tcW w:type="dxa" w:w="2880"/>
            <w:vAlign w:val="top"/>
          </w:tcPr>
          <w:p>
            <w:r>
              <w:rPr>
                <w:sz w:val="17"/>
              </w:rPr>
              <w:t>Analytics</w:t>
            </w:r>
          </w:p>
        </w:tc>
        <w:tc>
          <w:tcPr>
            <w:tcW w:type="dxa" w:w="7632"/>
            <w:vAlign w:val="top"/>
          </w:tcPr>
          <w:p>
            <w:r>
              <w:rPr>
                <w:sz w:val="17"/>
              </w:rPr>
              <w:t>Key funnel events verified.</w:t>
            </w:r>
          </w:p>
        </w:tc>
      </w:tr>
    </w:tbl>
    <w:p>
      <w:pPr>
        <w:spacing w:after="0"/>
      </w:pPr>
    </w:p>
    <w:p>
      <w:pPr>
        <w:pStyle w:val="Heading1"/>
        <w:keepNext/>
      </w:pPr>
      <w:r>
        <w:t>24. Post-launch recovery monitoring</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EAF0F7"/>
            <w:vAlign w:val="center"/>
          </w:tcPr>
          <w:p>
            <w:r>
              <w:rPr>
                <w:b/>
                <w:sz w:val="18"/>
              </w:rPr>
              <w:t>Cohort</w:t>
            </w:r>
          </w:p>
        </w:tc>
        <w:tc>
          <w:tcPr>
            <w:tcW w:type="dxa" w:w="7920"/>
            <w:shd w:fill="EAF0F7"/>
            <w:vAlign w:val="center"/>
          </w:tcPr>
          <w:p>
            <w:r>
              <w:rPr>
                <w:b/>
                <w:sz w:val="18"/>
              </w:rPr>
              <w:t>Examples / purpose</w:t>
            </w:r>
          </w:p>
        </w:tc>
      </w:tr>
      <w:tr>
        <w:tc>
          <w:tcPr>
            <w:tcW w:type="dxa" w:w="2592"/>
            <w:vAlign w:val="top"/>
          </w:tcPr>
          <w:p>
            <w:r>
              <w:rPr>
                <w:sz w:val="17"/>
              </w:rPr>
              <w:t>Generic core</w:t>
            </w:r>
          </w:p>
        </w:tc>
        <w:tc>
          <w:tcPr>
            <w:tcW w:type="dxa" w:w="7920"/>
            <w:vAlign w:val="top"/>
          </w:tcPr>
          <w:p>
            <w:r>
              <w:rPr>
                <w:sz w:val="17"/>
              </w:rPr>
              <w:t>перевірка на плагіат; плагіат перевірка; перевірити на плагіат</w:t>
            </w:r>
          </w:p>
        </w:tc>
      </w:tr>
      <w:tr>
        <w:tc>
          <w:tcPr>
            <w:tcW w:type="dxa" w:w="2592"/>
            <w:vAlign w:val="top"/>
          </w:tcPr>
          <w:p>
            <w:r>
              <w:rPr>
                <w:sz w:val="17"/>
              </w:rPr>
              <w:t>Online</w:t>
            </w:r>
          </w:p>
        </w:tc>
        <w:tc>
          <w:tcPr>
            <w:tcW w:type="dxa" w:w="7920"/>
            <w:vAlign w:val="top"/>
          </w:tcPr>
          <w:p>
            <w:r>
              <w:rPr>
                <w:sz w:val="17"/>
              </w:rPr>
              <w:t>Meaningful “онлайн” variants; historically weakened strongly</w:t>
            </w:r>
          </w:p>
        </w:tc>
      </w:tr>
      <w:tr>
        <w:tc>
          <w:tcPr>
            <w:tcW w:type="dxa" w:w="2592"/>
            <w:vAlign w:val="top"/>
          </w:tcPr>
          <w:p>
            <w:r>
              <w:rPr>
                <w:sz w:val="17"/>
              </w:rPr>
              <w:t>Free</w:t>
            </w:r>
          </w:p>
        </w:tc>
        <w:tc>
          <w:tcPr>
            <w:tcW w:type="dxa" w:w="7920"/>
            <w:vAlign w:val="top"/>
          </w:tcPr>
          <w:p>
            <w:r>
              <w:rPr>
                <w:sz w:val="17"/>
              </w:rPr>
              <w:t>“безкоштовно” variants; protect resilient free-intent</w:t>
            </w:r>
          </w:p>
        </w:tc>
      </w:tr>
      <w:tr>
        <w:tc>
          <w:tcPr>
            <w:tcW w:type="dxa" w:w="2592"/>
            <w:vAlign w:val="top"/>
          </w:tcPr>
          <w:p>
            <w:r>
              <w:rPr>
                <w:sz w:val="17"/>
              </w:rPr>
              <w:t>Academic</w:t>
            </w:r>
          </w:p>
        </w:tc>
        <w:tc>
          <w:tcPr>
            <w:tcW w:type="dxa" w:w="7920"/>
            <w:vAlign w:val="top"/>
          </w:tcPr>
          <w:p>
            <w:r>
              <w:rPr>
                <w:sz w:val="17"/>
              </w:rPr>
              <w:t>курсова / диплом / реферат / student/university terms</w:t>
            </w:r>
          </w:p>
        </w:tc>
      </w:tr>
      <w:tr>
        <w:tc>
          <w:tcPr>
            <w:tcW w:type="dxa" w:w="2592"/>
            <w:vAlign w:val="top"/>
          </w:tcPr>
          <w:p>
            <w:r>
              <w:rPr>
                <w:sz w:val="17"/>
              </w:rPr>
              <w:t>AI combined</w:t>
            </w:r>
          </w:p>
        </w:tc>
        <w:tc>
          <w:tcPr>
            <w:tcW w:type="dxa" w:w="7920"/>
            <w:vAlign w:val="top"/>
          </w:tcPr>
          <w:p>
            <w:r>
              <w:rPr>
                <w:sz w:val="17"/>
              </w:rPr>
              <w:t>плагіат + ШІ queries; monitor without making AI primary</w:t>
            </w:r>
          </w:p>
        </w:tc>
      </w:tr>
      <w:tr>
        <w:tc>
          <w:tcPr>
            <w:tcW w:type="dxa" w:w="2592"/>
            <w:vAlign w:val="top"/>
          </w:tcPr>
          <w:p>
            <w:r>
              <w:rPr>
                <w:sz w:val="17"/>
              </w:rPr>
              <w:t>Geo / device</w:t>
            </w:r>
          </w:p>
        </w:tc>
        <w:tc>
          <w:tcPr>
            <w:tcW w:type="dxa" w:w="7920"/>
            <w:vAlign w:val="top"/>
          </w:tcPr>
          <w:p>
            <w:r>
              <w:rPr>
                <w:sz w:val="17"/>
              </w:rPr>
              <w:t>Ukraine, desktop, mobile</w:t>
            </w:r>
          </w:p>
        </w:tc>
      </w:tr>
      <w:tr>
        <w:tc>
          <w:tcPr>
            <w:tcW w:type="dxa" w:w="2592"/>
            <w:vAlign w:val="top"/>
          </w:tcPr>
          <w:p>
            <w:r>
              <w:rPr>
                <w:sz w:val="17"/>
              </w:rPr>
              <w:t>Business</w:t>
            </w:r>
          </w:p>
        </w:tc>
        <w:tc>
          <w:tcPr>
            <w:tcW w:type="dxa" w:w="7920"/>
            <w:vAlign w:val="top"/>
          </w:tcPr>
          <w:p>
            <w:r>
              <w:rPr>
                <w:sz w:val="17"/>
              </w:rPr>
              <w:t>registrations, payment records, checker-to-purchase path</w:t>
            </w:r>
          </w:p>
        </w:tc>
      </w:tr>
      <w:tr>
        <w:tc>
          <w:tcPr>
            <w:tcW w:type="dxa" w:w="2592"/>
            <w:vAlign w:val="top"/>
          </w:tcPr>
          <w:p>
            <w:r>
              <w:rPr>
                <w:sz w:val="17"/>
              </w:rPr>
              <w:t>Search appearance</w:t>
            </w:r>
          </w:p>
        </w:tc>
        <w:tc>
          <w:tcPr>
            <w:tcW w:type="dxa" w:w="7920"/>
            <w:vAlign w:val="top"/>
          </w:tcPr>
          <w:p>
            <w:r>
              <w:rPr>
                <w:sz w:val="17"/>
              </w:rPr>
              <w:t>Review snippet and other meaningful appearance changes</w:t>
            </w:r>
          </w:p>
        </w:tc>
      </w:tr>
    </w:tbl>
    <w:p>
      <w:pPr>
        <w:spacing w:after="0"/>
      </w:pPr>
    </w:p>
    <w:p>
      <w:pPr>
        <w:pStyle w:val="SmallNote"/>
      </w:pPr>
      <w:r>
        <w:t>Do not declare the redesign a success/failure after one week, especially during volatile Google periods. Evaluate normalized cohort trends after the coordinated cutover and compare against update windows and unaffected controls.</w:t>
      </w:r>
    </w:p>
    <w:p>
      <w:pPr>
        <w:pStyle w:val="Heading1"/>
        <w:keepNext/>
      </w:pPr>
      <w:r>
        <w:t>25. Section Library reuse map</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024"/>
            <w:shd w:fill="EAF0F7"/>
            <w:vAlign w:val="center"/>
          </w:tcPr>
          <w:p>
            <w:r>
              <w:rPr>
                <w:b/>
                <w:sz w:val="18"/>
              </w:rPr>
              <w:t>Library item</w:t>
            </w:r>
          </w:p>
        </w:tc>
        <w:tc>
          <w:tcPr>
            <w:tcW w:type="dxa" w:w="7488"/>
            <w:shd w:fill="EAF0F7"/>
            <w:vAlign w:val="center"/>
          </w:tcPr>
          <w:p>
            <w:r>
              <w:rPr>
                <w:b/>
                <w:sz w:val="18"/>
              </w:rPr>
              <w:t>Decision</w:t>
            </w:r>
          </w:p>
        </w:tc>
      </w:tr>
      <w:tr>
        <w:tc>
          <w:tcPr>
            <w:tcW w:type="dxa" w:w="3024"/>
            <w:vAlign w:val="top"/>
          </w:tcPr>
          <w:p>
            <w:r>
              <w:rPr>
                <w:sz w:val="17"/>
              </w:rPr>
              <w:t>SEC-HERO-01</w:t>
            </w:r>
          </w:p>
        </w:tc>
        <w:tc>
          <w:tcPr>
            <w:tcW w:type="dxa" w:w="7488"/>
            <w:vAlign w:val="top"/>
          </w:tcPr>
          <w:p>
            <w:r>
              <w:rPr>
                <w:sz w:val="17"/>
              </w:rPr>
              <w:t>Strong reuse — checker-first hero</w:t>
            </w:r>
          </w:p>
        </w:tc>
      </w:tr>
      <w:tr>
        <w:tc>
          <w:tcPr>
            <w:tcW w:type="dxa" w:w="3024"/>
            <w:vAlign w:val="top"/>
          </w:tcPr>
          <w:p>
            <w:r>
              <w:rPr>
                <w:sz w:val="17"/>
              </w:rPr>
              <w:t>SEC-REPORT-01</w:t>
            </w:r>
          </w:p>
        </w:tc>
        <w:tc>
          <w:tcPr>
            <w:tcW w:type="dxa" w:w="7488"/>
            <w:vAlign w:val="top"/>
          </w:tcPr>
          <w:p>
            <w:r>
              <w:rPr>
                <w:sz w:val="17"/>
              </w:rPr>
              <w:t>Strong reuse — canonical product evidence</w:t>
            </w:r>
          </w:p>
        </w:tc>
      </w:tr>
      <w:tr>
        <w:tc>
          <w:tcPr>
            <w:tcW w:type="dxa" w:w="3024"/>
            <w:vAlign w:val="top"/>
          </w:tcPr>
          <w:p>
            <w:r>
              <w:rPr>
                <w:sz w:val="17"/>
              </w:rPr>
              <w:t>SEC-CONTROL-01</w:t>
            </w:r>
          </w:p>
        </w:tc>
        <w:tc>
          <w:tcPr>
            <w:tcW w:type="dxa" w:w="7488"/>
            <w:vAlign w:val="top"/>
          </w:tcPr>
          <w:p>
            <w:r>
              <w:rPr>
                <w:sz w:val="17"/>
              </w:rPr>
              <w:t>Strong reuse — sources/settings</w:t>
            </w:r>
          </w:p>
        </w:tc>
      </w:tr>
      <w:tr>
        <w:tc>
          <w:tcPr>
            <w:tcW w:type="dxa" w:w="3024"/>
            <w:vAlign w:val="top"/>
          </w:tcPr>
          <w:p>
            <w:r>
              <w:rPr>
                <w:sz w:val="17"/>
              </w:rPr>
              <w:t>UA university proof</w:t>
            </w:r>
          </w:p>
        </w:tc>
        <w:tc>
          <w:tcPr>
            <w:tcW w:type="dxa" w:w="7488"/>
            <w:vAlign w:val="top"/>
          </w:tcPr>
          <w:p>
            <w:r>
              <w:rPr>
                <w:sz w:val="17"/>
              </w:rPr>
              <w:t>Page-specific optional module; NOT library yet</w:t>
            </w:r>
          </w:p>
        </w:tc>
      </w:tr>
      <w:tr>
        <w:tc>
          <w:tcPr>
            <w:tcW w:type="dxa" w:w="3024"/>
            <w:vAlign w:val="top"/>
          </w:tcPr>
          <w:p>
            <w:r>
              <w:rPr>
                <w:sz w:val="17"/>
              </w:rPr>
              <w:t>SEC-INTERPRET-01</w:t>
            </w:r>
          </w:p>
        </w:tc>
        <w:tc>
          <w:tcPr>
            <w:tcW w:type="dxa" w:w="7488"/>
            <w:vAlign w:val="top"/>
          </w:tcPr>
          <w:p>
            <w:r>
              <w:rPr>
                <w:sz w:val="17"/>
              </w:rPr>
              <w:t>Adapt visual grammar for similarity/report interpretation; not a new SEC yet</w:t>
            </w:r>
          </w:p>
        </w:tc>
      </w:tr>
      <w:tr>
        <w:tc>
          <w:tcPr>
            <w:tcW w:type="dxa" w:w="3024"/>
            <w:vAlign w:val="top"/>
          </w:tcPr>
          <w:p>
            <w:r>
              <w:rPr>
                <w:sz w:val="17"/>
              </w:rPr>
              <w:t>SEC-TRUST-01</w:t>
            </w:r>
          </w:p>
        </w:tc>
        <w:tc>
          <w:tcPr>
            <w:tcW w:type="dxa" w:w="7488"/>
            <w:vAlign w:val="top"/>
          </w:tcPr>
          <w:p>
            <w:r>
              <w:rPr>
                <w:sz w:val="17"/>
              </w:rPr>
              <w:t>Strong reuse — document/report lifecycle</w:t>
            </w:r>
          </w:p>
        </w:tc>
      </w:tr>
      <w:tr>
        <w:tc>
          <w:tcPr>
            <w:tcW w:type="dxa" w:w="3024"/>
            <w:vAlign w:val="top"/>
          </w:tcPr>
          <w:p>
            <w:r>
              <w:rPr>
                <w:sz w:val="17"/>
              </w:rPr>
              <w:t>SEC-PRICING-01</w:t>
            </w:r>
          </w:p>
        </w:tc>
        <w:tc>
          <w:tcPr>
            <w:tcW w:type="dxa" w:w="7488"/>
            <w:vAlign w:val="top"/>
          </w:tcPr>
          <w:p>
            <w:r>
              <w:rPr>
                <w:sz w:val="17"/>
              </w:rPr>
              <w:t>Only compact/backend-driven if useful; do not duplicate full pricing</w:t>
            </w:r>
          </w:p>
        </w:tc>
      </w:tr>
      <w:tr>
        <w:tc>
          <w:tcPr>
            <w:tcW w:type="dxa" w:w="3024"/>
            <w:vAlign w:val="top"/>
          </w:tcPr>
          <w:p>
            <w:r>
              <w:rPr>
                <w:sz w:val="17"/>
              </w:rPr>
              <w:t>SEC-REVIEWS-01</w:t>
            </w:r>
          </w:p>
        </w:tc>
        <w:tc>
          <w:tcPr>
            <w:tcW w:type="dxa" w:w="7488"/>
            <w:vAlign w:val="top"/>
          </w:tcPr>
          <w:p>
            <w:r>
              <w:rPr>
                <w:sz w:val="17"/>
              </w:rPr>
              <w:t>Reuse after source/schema QA</w:t>
            </w:r>
          </w:p>
        </w:tc>
      </w:tr>
      <w:tr>
        <w:tc>
          <w:tcPr>
            <w:tcW w:type="dxa" w:w="3024"/>
            <w:vAlign w:val="top"/>
          </w:tcPr>
          <w:p>
            <w:r>
              <w:rPr>
                <w:sz w:val="17"/>
              </w:rPr>
              <w:t>SEC-CROSSSELL-01</w:t>
            </w:r>
          </w:p>
        </w:tc>
        <w:tc>
          <w:tcPr>
            <w:tcW w:type="dxa" w:w="7488"/>
            <w:vAlign w:val="top"/>
          </w:tcPr>
          <w:p>
            <w:r>
              <w:rPr>
                <w:sz w:val="17"/>
              </w:rPr>
              <w:t>Compact AI distinction</w:t>
            </w:r>
          </w:p>
        </w:tc>
      </w:tr>
      <w:tr>
        <w:tc>
          <w:tcPr>
            <w:tcW w:type="dxa" w:w="3024"/>
            <w:vAlign w:val="top"/>
          </w:tcPr>
          <w:p>
            <w:r>
              <w:rPr>
                <w:sz w:val="17"/>
              </w:rPr>
              <w:t>SEC-FAQ-01</w:t>
            </w:r>
          </w:p>
        </w:tc>
        <w:tc>
          <w:tcPr>
            <w:tcW w:type="dxa" w:w="7488"/>
            <w:vAlign w:val="top"/>
          </w:tcPr>
          <w:p>
            <w:r>
              <w:rPr>
                <w:sz w:val="17"/>
              </w:rPr>
              <w:t>Strong reuse</w:t>
            </w:r>
          </w:p>
        </w:tc>
      </w:tr>
      <w:tr>
        <w:tc>
          <w:tcPr>
            <w:tcW w:type="dxa" w:w="3024"/>
            <w:vAlign w:val="top"/>
          </w:tcPr>
          <w:p>
            <w:r>
              <w:rPr>
                <w:sz w:val="17"/>
              </w:rPr>
              <w:t>SEC-CTA-01</w:t>
            </w:r>
          </w:p>
        </w:tc>
        <w:tc>
          <w:tcPr>
            <w:tcW w:type="dxa" w:w="7488"/>
            <w:vAlign w:val="top"/>
          </w:tcPr>
          <w:p>
            <w:r>
              <w:rPr>
                <w:sz w:val="17"/>
              </w:rPr>
              <w:t>Reuse</w:t>
            </w:r>
          </w:p>
        </w:tc>
      </w:tr>
      <w:tr>
        <w:tc>
          <w:tcPr>
            <w:tcW w:type="dxa" w:w="3024"/>
            <w:vAlign w:val="top"/>
          </w:tcPr>
          <w:p>
            <w:r>
              <w:rPr>
                <w:sz w:val="17"/>
              </w:rPr>
              <w:t>SEC-WORKFLOW-01</w:t>
            </w:r>
          </w:p>
        </w:tc>
        <w:tc>
          <w:tcPr>
            <w:tcW w:type="dxa" w:w="7488"/>
            <w:vAlign w:val="top"/>
          </w:tcPr>
          <w:p>
            <w:r>
              <w:rPr>
                <w:sz w:val="17"/>
              </w:rPr>
              <w:t>Do not use by default</w:t>
            </w:r>
          </w:p>
        </w:tc>
      </w:tr>
      <w:tr>
        <w:tc>
          <w:tcPr>
            <w:tcW w:type="dxa" w:w="3024"/>
            <w:vAlign w:val="top"/>
          </w:tcPr>
          <w:p>
            <w:r>
              <w:rPr>
                <w:sz w:val="17"/>
              </w:rPr>
              <w:t>SEC-PATH-01</w:t>
            </w:r>
          </w:p>
        </w:tc>
        <w:tc>
          <w:tcPr>
            <w:tcW w:type="dxa" w:w="7488"/>
            <w:vAlign w:val="top"/>
          </w:tcPr>
          <w:p>
            <w:r>
              <w:rPr>
                <w:sz w:val="17"/>
              </w:rPr>
              <w:t>Not needed</w:t>
            </w:r>
          </w:p>
        </w:tc>
      </w:tr>
    </w:tbl>
    <w:p>
      <w:pPr>
        <w:spacing w:after="0"/>
      </w:pPr>
    </w:p>
    <w:tbl>
      <w:tblPr>
        <w:tblW w:type="auto" w:w="0"/>
        <w:jc w:val="center"/>
        <w:tblLook w:firstColumn="1" w:firstRow="1" w:lastColumn="0" w:lastRow="0" w:noHBand="0" w:noVBand="1" w:val="04A0"/>
      </w:tblPr>
      <w:tblGrid>
        <w:gridCol w:w="10166"/>
      </w:tblGrid>
      <w:tr>
        <w:tc>
          <w:tcPr>
            <w:tcW w:type="dxa" w:w="10166"/>
            <w:shd w:fill="EDF6EE"/>
            <w:tcBorders>
              <w:top w:val="single" w:sz="8" w:color="D6DFEA"/>
              <w:left w:val="single" w:sz="8" w:color="D6DFEA"/>
              <w:bottom w:val="single" w:sz="8" w:color="D6DFEA"/>
              <w:right w:val="single" w:sz="8" w:color="D6DFEA"/>
            </w:tcBorders>
          </w:tcPr>
          <w:p>
            <w:pPr>
              <w:spacing w:after="80"/>
            </w:pPr>
            <w:r>
              <w:rPr>
                <w:b/>
                <w:sz w:val="21"/>
              </w:rPr>
              <w:t>Library freeze rule</w:t>
            </w:r>
          </w:p>
          <w:p>
            <w:pPr>
              <w:spacing w:after="80"/>
            </w:pPr>
            <w:r>
              <w:t>Do not add the university-proof module or the plagiarism-interpretation variant to 33_Component_Library until this page is implemented, QA’d, and explicitly approved.</w:t>
            </w:r>
          </w:p>
        </w:tc>
        <w:trPr>
          <w:tblHeader/>
        </w:trPr>
      </w:tr>
    </w:tbl>
    <w:p>
      <w:pPr>
        <w:spacing w:after="0"/>
      </w:pPr>
    </w:p>
    <w:p>
      <w:pPr>
        <w:pStyle w:val="Heading1"/>
        <w:keepNext/>
      </w:pPr>
      <w:r>
        <w:t>26. Source-of-truth references for Claude / implementation QA</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EAF0F7"/>
            <w:vAlign w:val="center"/>
          </w:tcPr>
          <w:p>
            <w:r>
              <w:rPr>
                <w:b/>
                <w:sz w:val="18"/>
              </w:rPr>
              <w:t>Source</w:t>
            </w:r>
          </w:p>
        </w:tc>
        <w:tc>
          <w:tcPr>
            <w:tcW w:type="dxa" w:w="7920"/>
            <w:shd w:fill="EAF0F7"/>
            <w:vAlign w:val="center"/>
          </w:tcPr>
          <w:p>
            <w:r>
              <w:rPr>
                <w:b/>
                <w:sz w:val="18"/>
              </w:rPr>
              <w:t>Use</w:t>
            </w:r>
          </w:p>
        </w:tc>
      </w:tr>
      <w:tr>
        <w:tc>
          <w:tcPr>
            <w:tcW w:type="dxa" w:w="2592"/>
            <w:vAlign w:val="top"/>
          </w:tcPr>
          <w:p>
            <w:r>
              <w:rPr>
                <w:sz w:val="17"/>
              </w:rPr>
              <w:t>Control Center</w:t>
            </w:r>
          </w:p>
        </w:tc>
        <w:tc>
          <w:tcPr>
            <w:tcW w:type="dxa" w:w="7920"/>
            <w:vAlign w:val="top"/>
          </w:tcPr>
          <w:p>
            <w:r>
              <w:rPr>
                <w:sz w:val="17"/>
              </w:rPr>
              <w:t>PlagiarismSearch SEO Recovery — Control Center; especially DEC-0059, 30_Design_Archetypes AR-03, 31_Design_URL_Inventory, 32_Language_Architecture, 33_Component_Library.</w:t>
            </w:r>
          </w:p>
        </w:tc>
      </w:tr>
      <w:tr>
        <w:tc>
          <w:tcPr>
            <w:tcW w:type="dxa" w:w="2592"/>
            <w:vAlign w:val="top"/>
          </w:tcPr>
          <w:p>
            <w:r>
              <w:rPr>
                <w:sz w:val="17"/>
              </w:rPr>
              <w:t>Product facts</w:t>
            </w:r>
          </w:p>
        </w:tc>
        <w:tc>
          <w:tcPr>
            <w:tcW w:type="dxa" w:w="7920"/>
            <w:vAlign w:val="top"/>
          </w:tcPr>
          <w:p>
            <w:r>
              <w:rPr>
                <w:sz w:val="17"/>
              </w:rPr>
              <w:t>Q-001 (match/similarity semantics), Q-003 (150/300 free limits), Q-006 (500M+ academic texts), Q-007 (document/report lifecycle), Q-014 (upload size/count), Q-031 (PDF text-layer/no OCR).</w:t>
            </w:r>
          </w:p>
        </w:tc>
      </w:tr>
      <w:tr>
        <w:tc>
          <w:tcPr>
            <w:tcW w:type="dxa" w:w="2592"/>
            <w:vAlign w:val="top"/>
          </w:tcPr>
          <w:p>
            <w:r>
              <w:rPr>
                <w:sz w:val="17"/>
              </w:rPr>
              <w:t>University logo assets</w:t>
            </w:r>
          </w:p>
        </w:tc>
        <w:tc>
          <w:tcPr>
            <w:tcW w:type="dxa" w:w="7920"/>
            <w:vAlign w:val="top"/>
          </w:tcPr>
          <w:p>
            <w:r>
              <w:rPr>
                <w:sz w:val="17"/>
              </w:rPr>
              <w:t>Supplied current-page markup containing the direct Component-2.png … Component-12.png asset URLs.</w:t>
            </w:r>
          </w:p>
        </w:tc>
      </w:tr>
      <w:tr>
        <w:tc>
          <w:tcPr>
            <w:tcW w:type="dxa" w:w="2592"/>
            <w:vAlign w:val="top"/>
          </w:tcPr>
          <w:p>
            <w:r>
              <w:rPr>
                <w:sz w:val="17"/>
              </w:rPr>
              <w:t>KAI current identity</w:t>
            </w:r>
          </w:p>
        </w:tc>
        <w:tc>
          <w:tcPr>
            <w:tcW w:type="dxa" w:w="7920"/>
            <w:vAlign w:val="top"/>
          </w:tcPr>
          <w:p>
            <w:r>
              <w:rPr>
                <w:sz w:val="17"/>
              </w:rPr>
              <w:t>Official KAI / NAU website, 2026-06-01: https://nau.edu.ua/ua/news/2026/5/24361.html</w:t>
            </w:r>
          </w:p>
        </w:tc>
      </w:tr>
      <w:tr>
        <w:tc>
          <w:tcPr>
            <w:tcW w:type="dxa" w:w="2592"/>
            <w:vAlign w:val="top"/>
          </w:tcPr>
          <w:p>
            <w:r>
              <w:rPr>
                <w:sz w:val="17"/>
              </w:rPr>
              <w:t>Current page</w:t>
            </w:r>
          </w:p>
        </w:tc>
        <w:tc>
          <w:tcPr>
            <w:tcW w:type="dxa" w:w="7920"/>
            <w:vAlign w:val="top"/>
          </w:tcPr>
          <w:p>
            <w:r>
              <w:rPr>
                <w:sz w:val="17"/>
              </w:rPr>
              <w:t>https://plagiarismsearch.com/ua/plagiarism-check</w:t>
            </w:r>
          </w:p>
        </w:tc>
      </w:tr>
    </w:tbl>
    <w:p>
      <w:pPr>
        <w:spacing w:after="0"/>
      </w:pPr>
    </w:p>
    <w:p>
      <w:pPr>
        <w:pStyle w:val="Heading1"/>
        <w:keepNext/>
      </w:pPr>
      <w:r>
        <w:t>27. Final handoff statement</w:t>
      </w:r>
    </w:p>
    <w:tbl>
      <w:tblPr>
        <w:tblW w:type="auto" w:w="0"/>
        <w:jc w:val="center"/>
        <w:tblLook w:firstColumn="1" w:firstRow="1" w:lastColumn="0" w:lastRow="0" w:noHBand="0" w:noVBand="1" w:val="04A0"/>
      </w:tblPr>
      <w:tblGrid>
        <w:gridCol w:w="10166"/>
      </w:tblGrid>
      <w:tr>
        <w:tc>
          <w:tcPr>
            <w:tcW w:type="dxa" w:w="10166"/>
            <w:shd w:fill="EAF3FA"/>
            <w:tcBorders>
              <w:top w:val="single" w:sz="8" w:color="D6DFEA"/>
              <w:left w:val="single" w:sz="8" w:color="D6DFEA"/>
              <w:bottom w:val="single" w:sz="8" w:color="D6DFEA"/>
              <w:right w:val="single" w:sz="8" w:color="D6DFEA"/>
            </w:tcBorders>
          </w:tcPr>
          <w:p>
            <w:pPr>
              <w:spacing w:after="80"/>
            </w:pPr>
            <w:r>
              <w:rPr>
                <w:b/>
                <w:sz w:val="21"/>
              </w:rPr>
              <w:t>Implementation target</w:t>
            </w:r>
          </w:p>
          <w:p>
            <w:pPr>
              <w:spacing w:after="80"/>
            </w:pPr>
            <w:r>
              <w:t>Build the strongest broad Ukrainian self-service plagiarism-checker page possible inside the approved design system: real checker first, real report evidence, clear sources/settings, responsible interpretation, accurate privacy lifecycle, transparent free entry, and optional authentic local proof. Preserve the existing URL and owner role. Do not turn the page into a student-only landing or a generic feature-grid translation of the homepage.</w:t>
            </w:r>
          </w:p>
        </w:tc>
        <w:trPr>
          <w:tblHeader/>
        </w:trPr>
      </w:tr>
    </w:tbl>
    <w:p>
      <w:pPr>
        <w:spacing w:after="0"/>
      </w:pPr>
    </w:p>
    <w:p>
      <w:pPr>
        <w:pStyle w:val="BriefLabel"/>
        <w:jc w:val="center"/>
      </w:pPr>
      <w:r>
        <w:t>END OF CLAUDE IMPLEMENTATION BRIEF</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pPr>
    <w:r>
      <w:t>PlagiarismSearch SEO Recovery 2026  |  AR-03 Dedicated Checker Master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rial" w:hAnsi="Arial" w:eastAsia="Arial"/>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eastAsia="Arial"/>
      <w:b/>
      <w:bCs/>
      <w:color w:val="28506F"/>
      <w:sz w:val="27"/>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rial" w:hAnsi="Arial" w:eastAsia="Arial"/>
      <w:b/>
      <w:bCs/>
      <w:color w:val="355F7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eastAsia="Arial"/>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riefLabel">
    <w:name w:val="Brief Label"/>
    <w:pPr>
      <w:spacing w:after="40"/>
    </w:pPr>
    <w:rPr>
      <w:rFonts w:ascii="Arial" w:hAnsi="Arial"/>
      <w:b/>
      <w:color w:val="5D7489"/>
      <w:sz w:val="17"/>
    </w:rPr>
  </w:style>
  <w:style w:type="paragraph" w:customStyle="1" w:styleId="SmallNote">
    <w:name w:val="Small Note"/>
    <w:pPr>
      <w:spacing w:after="80"/>
    </w:pPr>
    <w:rPr>
      <w:rFonts w:ascii="Arial" w:hAnsi="Arial"/>
      <w:color w:val="5D667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PlagiarismSearch UA Dedicated Plagiarism Checker — Claude Implementation Brief</dc:title>
  <dc:subject>AR-03 /ua/plagiarism-check redesign and SEO recovery implementation</dc:subject>
  <dc:creator>OpenAI / PlagiarismSearch SEO Recovery 2026</dc:creator>
  <cp:keywords/>
  <dc:description>Prepared from approved project decisions and confirmed product facts.</dc:description>
  <cp:lastModifiedBy/>
  <cp:revision>1</cp:revision>
  <dcterms:created xsi:type="dcterms:W3CDTF">2013-12-23T23:15:00Z</dcterms:created>
  <dcterms:modified xsi:type="dcterms:W3CDTF">2013-12-23T23:15:00Z</dcterms:modified>
  <cp:category/>
</cp:coreProperties>
</file>