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EXECUTION BRIEF — EN AI DETECTOR REDESIGN</w:t>
      </w:r>
    </w:p>
    <w:p>
      <w:pPr>
        <w:jc w:val="center"/>
      </w:pPr>
      <w:r>
        <w:rPr>
          <w:b/>
        </w:rPr>
        <w:t>PlagiarismSearch SEO Recovery 2026</w:t>
      </w:r>
    </w:p>
    <w:p>
      <w:pPr>
        <w:jc w:val="center"/>
      </w:pPr>
      <w:r>
        <w:t>URL: https://plagiarismsearch.com/ai-content-detector</w:t>
      </w:r>
    </w:p>
    <w:p>
      <w:pPr>
        <w:jc w:val="center"/>
      </w:pPr>
      <w:r>
        <w:t>Archetype: AR-04 — AI Detector Product — BESPOKE</w:t>
      </w:r>
    </w:p>
    <w:p>
      <w:pPr>
        <w:jc w:val="center"/>
      </w:pPr>
      <w:r>
        <w:t>Approved: 2026-08-22 · Decision: DEC-0038</w:t>
      </w:r>
    </w:p>
    <w:tbl>
      <w:tblPr>
        <w:tblW w:type="auto" w:w="0"/>
        <w:jc w:val="center"/>
        <w:tblLayout w:type="autofit"/>
        <w:tblLook w:firstColumn="1" w:firstRow="1" w:lastColumn="0" w:lastRow="0" w:noHBand="0" w:noVBand="1" w:val="04A0"/>
      </w:tblPr>
      <w:tblGrid>
        <w:gridCol w:w="10166"/>
      </w:tblGrid>
      <w:tr>
        <w:tc>
          <w:tcPr>
            <w:tcW w:type="dxa" w:w="10166"/>
            <w:shd w:fill="E8F2FB"/>
            <w:tcMar>
              <w:top w:w="110" w:type="dxa"/>
              <w:start w:w="140" w:type="dxa"/>
              <w:bottom w:w="110" w:type="dxa"/>
              <w:end w:w="140" w:type="dxa"/>
            </w:tcMar>
            <w:vAlign w:val="top"/>
          </w:tcPr>
          <w:p>
            <w:pPr>
              <w:spacing w:after="40"/>
            </w:pPr>
            <w:r>
              <w:rPr>
                <w:rFonts w:ascii="Arial" w:hAnsi="Arial"/>
                <w:b/>
                <w:sz w:val="17"/>
              </w:rPr>
              <w:t>EXECUTION STATUS — AUTHORITATIVE</w:t>
            </w:r>
          </w:p>
          <w:p>
            <w:pPr>
              <w:spacing w:after="40"/>
            </w:pPr>
            <w:r>
              <w:rPr>
                <w:rFonts w:ascii="Arial" w:hAnsi="Arial"/>
                <w:sz w:val="17"/>
              </w:rPr>
              <w:t>This file is the single source of truth for the English AI Detector redesign. Claude is the design/implementation executor. Claude must not write, rewrite, expand, shorten, reorder, reinterpret, “improve,” or invent content, claims, product semantics, URLs, pricing logic, report logic, personas, sections, or offers unless this file explicitly marks the item dynamic or visual-only.</w:t>
            </w:r>
          </w:p>
        </w:tc>
      </w:tr>
    </w:tbl>
    <w:p>
      <w:pPr>
        <w:pStyle w:val="Heading1"/>
      </w:pPr>
      <w:r>
        <w:t>OBJECTIVE</w:t>
      </w:r>
    </w:p>
    <w:p>
      <w:r>
        <w:t>Design and implement the new English AI Detector page for https://plagiarismsearch.com/ai-content-detector as the primary English AI Detector / AI Checker product page. Preserve the existing URL and its accumulated search/business value. The page must feel like a guided product experience centered on a real AI check and an understandable report — not a generic SaaS marketing brochure and not a hybrid plagiarism/AI landing page.</w:t>
      </w:r>
    </w:p>
    <w:p>
      <w:pPr>
        <w:pStyle w:val="Heading1"/>
      </w:pPr>
      <w:r>
        <w:t>SOURCE-OF-TRUTH RULE</w:t>
      </w:r>
    </w:p>
    <w:p>
      <w:r>
        <w:t>The approved content baseline begins later in this same file. It is frozen content. Treat every visible heading, paragraph, CTA label, link destination, tool label, FAQ question/answer, warning, metric definition, pricing label, and section order as exact unless the item is explicitly marked DYNAMIC, PLACEHOLDER, IMPLEMENTATION NOTE, or VISUAL REFERENCE ONLY.</w:t>
      </w:r>
    </w:p>
    <w:p>
      <w:r>
        <w:t>If the current live page, old design, new designer mock, old code, old shared template, or Claude’s own judgment conflicts with this file, this file wins. If a verified production product behavior conflicts with a visual mock, the verified production behavior wins and the conflict must be reported rather than silently “fixed” with invented copy.</w:t>
      </w:r>
    </w:p>
    <w:p>
      <w:pPr>
        <w:pStyle w:val="Heading1"/>
      </w:pPr>
      <w:r>
        <w:t>INPUT PRECEDENCE — USE THIS ORDER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AF7"/>
            <w:vAlign w:val="top"/>
          </w:tcPr>
          <w:p>
            <w:pPr>
              <w:spacing w:after="40"/>
            </w:pPr>
            <w:r>
              <w:rPr>
                <w:rFonts w:ascii="Arial" w:hAnsi="Arial"/>
                <w:sz w:val="17"/>
              </w:rPr>
              <w:t>Priority</w:t>
            </w:r>
          </w:p>
        </w:tc>
        <w:tc>
          <w:tcPr>
            <w:tcW w:type="dxa" w:w="3389"/>
            <w:shd w:fill="DCEAF7"/>
            <w:vAlign w:val="top"/>
          </w:tcPr>
          <w:p>
            <w:pPr>
              <w:spacing w:after="40"/>
            </w:pPr>
            <w:r>
              <w:rPr>
                <w:rFonts w:ascii="Arial" w:hAnsi="Arial"/>
                <w:sz w:val="17"/>
              </w:rPr>
              <w:t>Input</w:t>
            </w:r>
          </w:p>
        </w:tc>
        <w:tc>
          <w:tcPr>
            <w:tcW w:type="dxa" w:w="3389"/>
            <w:shd w:fill="DCEAF7"/>
            <w:vAlign w:val="top"/>
          </w:tcPr>
          <w:p>
            <w:pPr>
              <w:spacing w:after="40"/>
            </w:pPr>
            <w:r>
              <w:rPr>
                <w:rFonts w:ascii="Arial" w:hAnsi="Arial"/>
                <w:sz w:val="17"/>
              </w:rPr>
              <w:t>Rule</w:t>
            </w:r>
          </w:p>
        </w:tc>
      </w:tr>
      <w:tr>
        <w:tc>
          <w:tcPr>
            <w:tcW w:type="dxa" w:w="3389"/>
            <w:tcMar>
              <w:top w:w="80" w:type="dxa"/>
              <w:start w:w="100" w:type="dxa"/>
              <w:bottom w:w="80" w:type="dxa"/>
              <w:end w:w="100" w:type="dxa"/>
            </w:tcMar>
            <w:vAlign w:val="top"/>
          </w:tcPr>
          <w:p>
            <w:pPr>
              <w:spacing w:after="40"/>
            </w:pPr>
            <w:r>
              <w:rPr>
                <w:rFonts w:ascii="Arial" w:hAnsi="Arial"/>
                <w:sz w:val="17"/>
              </w:rPr>
              <w:t>1</w:t>
            </w:r>
          </w:p>
        </w:tc>
        <w:tc>
          <w:tcPr>
            <w:tcW w:type="dxa" w:w="3389"/>
            <w:tcMar>
              <w:top w:w="80" w:type="dxa"/>
              <w:start w:w="100" w:type="dxa"/>
              <w:bottom w:w="80" w:type="dxa"/>
              <w:end w:w="100" w:type="dxa"/>
            </w:tcMar>
            <w:vAlign w:val="top"/>
          </w:tcPr>
          <w:p>
            <w:pPr>
              <w:spacing w:after="40"/>
            </w:pPr>
            <w:r>
              <w:rPr>
                <w:rFonts w:ascii="Arial" w:hAnsi="Arial"/>
                <w:sz w:val="17"/>
              </w:rPr>
              <w:t>This execution brief / approved content baseline</w:t>
            </w:r>
          </w:p>
        </w:tc>
        <w:tc>
          <w:tcPr>
            <w:tcW w:type="dxa" w:w="3389"/>
            <w:tcMar>
              <w:top w:w="80" w:type="dxa"/>
              <w:start w:w="100" w:type="dxa"/>
              <w:bottom w:w="80" w:type="dxa"/>
              <w:end w:w="100" w:type="dxa"/>
            </w:tcMar>
            <w:vAlign w:val="top"/>
          </w:tcPr>
          <w:p>
            <w:pPr>
              <w:spacing w:after="40"/>
            </w:pPr>
            <w:r>
              <w:rPr>
                <w:rFonts w:ascii="Arial" w:hAnsi="Arial"/>
                <w:sz w:val="17"/>
              </w:rPr>
              <w:t>Authoritative for structure, copy, claims, CTA labels, destinations, product semantics and guardrails.</w:t>
            </w:r>
          </w:p>
        </w:tc>
      </w:tr>
      <w:tr>
        <w:tc>
          <w:tcPr>
            <w:tcW w:type="dxa" w:w="3389"/>
            <w:tcMar>
              <w:top w:w="80" w:type="dxa"/>
              <w:start w:w="100" w:type="dxa"/>
              <w:bottom w:w="80" w:type="dxa"/>
              <w:end w:w="100" w:type="dxa"/>
            </w:tcMar>
            <w:vAlign w:val="top"/>
          </w:tcPr>
          <w:p>
            <w:pPr>
              <w:spacing w:after="40"/>
            </w:pPr>
            <w:r>
              <w:rPr>
                <w:rFonts w:ascii="Arial" w:hAnsi="Arial"/>
                <w:sz w:val="17"/>
              </w:rPr>
              <w:t>2</w:t>
            </w:r>
          </w:p>
        </w:tc>
        <w:tc>
          <w:tcPr>
            <w:tcW w:type="dxa" w:w="3389"/>
            <w:tcMar>
              <w:top w:w="80" w:type="dxa"/>
              <w:start w:w="100" w:type="dxa"/>
              <w:bottom w:w="80" w:type="dxa"/>
              <w:end w:w="100" w:type="dxa"/>
            </w:tcMar>
            <w:vAlign w:val="top"/>
          </w:tcPr>
          <w:p>
            <w:pPr>
              <w:spacing w:after="40"/>
            </w:pPr>
            <w:r>
              <w:rPr>
                <w:rFonts w:ascii="Arial" w:hAnsi="Arial"/>
                <w:sz w:val="17"/>
              </w:rPr>
              <w:t>Verified current product behavior / approved product facts</w:t>
            </w:r>
          </w:p>
        </w:tc>
        <w:tc>
          <w:tcPr>
            <w:tcW w:type="dxa" w:w="3389"/>
            <w:tcMar>
              <w:top w:w="80" w:type="dxa"/>
              <w:start w:w="100" w:type="dxa"/>
              <w:bottom w:w="80" w:type="dxa"/>
              <w:end w:w="100" w:type="dxa"/>
            </w:tcMar>
            <w:vAlign w:val="top"/>
          </w:tcPr>
          <w:p>
            <w:pPr>
              <w:spacing w:after="40"/>
            </w:pPr>
            <w:r>
              <w:rPr>
                <w:rFonts w:ascii="Arial" w:hAnsi="Arial"/>
                <w:sz w:val="17"/>
              </w:rPr>
              <w:t>Authoritative for real tool states, report behavior, billing/entitlement behavior and data flow.</w:t>
            </w:r>
          </w:p>
        </w:tc>
      </w:tr>
      <w:tr>
        <w:tc>
          <w:tcPr>
            <w:tcW w:type="dxa" w:w="3389"/>
            <w:tcMar>
              <w:top w:w="80" w:type="dxa"/>
              <w:start w:w="100" w:type="dxa"/>
              <w:bottom w:w="80" w:type="dxa"/>
              <w:end w:w="100" w:type="dxa"/>
            </w:tcMar>
            <w:vAlign w:val="top"/>
          </w:tcPr>
          <w:p>
            <w:pPr>
              <w:spacing w:after="40"/>
            </w:pPr>
            <w:r>
              <w:rPr>
                <w:rFonts w:ascii="Arial" w:hAnsi="Arial"/>
                <w:sz w:val="17"/>
              </w:rPr>
              <w:t>3</w:t>
            </w:r>
          </w:p>
        </w:tc>
        <w:tc>
          <w:tcPr>
            <w:tcW w:type="dxa" w:w="3389"/>
            <w:tcMar>
              <w:top w:w="80" w:type="dxa"/>
              <w:start w:w="100" w:type="dxa"/>
              <w:bottom w:w="80" w:type="dxa"/>
              <w:end w:w="100" w:type="dxa"/>
            </w:tcMar>
            <w:vAlign w:val="top"/>
          </w:tcPr>
          <w:p>
            <w:pPr>
              <w:spacing w:after="40"/>
            </w:pPr>
            <w:r>
              <w:rPr>
                <w:rFonts w:ascii="Arial" w:hAnsi="Arial"/>
                <w:sz w:val="17"/>
              </w:rPr>
              <w:t>Existing approved PlagiarismSearch global design system</w:t>
            </w:r>
          </w:p>
        </w:tc>
        <w:tc>
          <w:tcPr>
            <w:tcW w:type="dxa" w:w="3389"/>
            <w:tcMar>
              <w:top w:w="80" w:type="dxa"/>
              <w:start w:w="100" w:type="dxa"/>
              <w:bottom w:w="80" w:type="dxa"/>
              <w:end w:w="100" w:type="dxa"/>
            </w:tcMar>
            <w:vAlign w:val="top"/>
          </w:tcPr>
          <w:p>
            <w:pPr>
              <w:spacing w:after="40"/>
            </w:pPr>
            <w:r>
              <w:rPr>
                <w:rFonts w:ascii="Arial" w:hAnsi="Arial"/>
                <w:sz w:val="17"/>
              </w:rPr>
              <w:t>Authoritative for visual language, shell, typography direction and cross-page consistency.</w:t>
            </w:r>
          </w:p>
        </w:tc>
      </w:tr>
      <w:tr>
        <w:tc>
          <w:tcPr>
            <w:tcW w:type="dxa" w:w="3389"/>
            <w:tcMar>
              <w:top w:w="80" w:type="dxa"/>
              <w:start w:w="100" w:type="dxa"/>
              <w:bottom w:w="80" w:type="dxa"/>
              <w:end w:w="100" w:type="dxa"/>
            </w:tcMar>
            <w:vAlign w:val="top"/>
          </w:tcPr>
          <w:p>
            <w:pPr>
              <w:spacing w:after="40"/>
            </w:pPr>
            <w:r>
              <w:rPr>
                <w:rFonts w:ascii="Arial" w:hAnsi="Arial"/>
                <w:sz w:val="17"/>
              </w:rPr>
              <w:t>4</w:t>
            </w:r>
          </w:p>
        </w:tc>
        <w:tc>
          <w:tcPr>
            <w:tcW w:type="dxa" w:w="3389"/>
            <w:tcMar>
              <w:top w:w="80" w:type="dxa"/>
              <w:start w:w="100" w:type="dxa"/>
              <w:bottom w:w="80" w:type="dxa"/>
              <w:end w:w="100" w:type="dxa"/>
            </w:tcMar>
            <w:vAlign w:val="top"/>
          </w:tcPr>
          <w:p>
            <w:pPr>
              <w:spacing w:after="40"/>
            </w:pPr>
            <w:r>
              <w:rPr>
                <w:rFonts w:ascii="Arial" w:hAnsi="Arial"/>
                <w:sz w:val="17"/>
              </w:rPr>
              <w:t>Approved real AI-only report screenshot/state</w:t>
            </w:r>
          </w:p>
        </w:tc>
        <w:tc>
          <w:tcPr>
            <w:tcW w:type="dxa" w:w="3389"/>
            <w:tcMar>
              <w:top w:w="80" w:type="dxa"/>
              <w:start w:w="100" w:type="dxa"/>
              <w:bottom w:w="80" w:type="dxa"/>
              <w:end w:w="100" w:type="dxa"/>
            </w:tcMar>
            <w:vAlign w:val="top"/>
          </w:tcPr>
          <w:p>
            <w:pPr>
              <w:spacing w:after="40"/>
            </w:pPr>
            <w:r>
              <w:rPr>
                <w:rFonts w:ascii="Arial" w:hAnsi="Arial"/>
                <w:sz w:val="17"/>
              </w:rPr>
              <w:t>Authoritative for report labels, visual fields, values and interaction fidelity. Do not invent a report.</w:t>
            </w:r>
          </w:p>
        </w:tc>
      </w:tr>
      <w:tr>
        <w:tc>
          <w:tcPr>
            <w:tcW w:type="dxa" w:w="3389"/>
            <w:tcMar>
              <w:top w:w="80" w:type="dxa"/>
              <w:start w:w="100" w:type="dxa"/>
              <w:bottom w:w="80" w:type="dxa"/>
              <w:end w:w="100" w:type="dxa"/>
            </w:tcMar>
            <w:vAlign w:val="top"/>
          </w:tcPr>
          <w:p>
            <w:pPr>
              <w:spacing w:after="40"/>
            </w:pPr>
            <w:r>
              <w:rPr>
                <w:rFonts w:ascii="Arial" w:hAnsi="Arial"/>
                <w:sz w:val="17"/>
              </w:rPr>
              <w:t>5</w:t>
            </w:r>
          </w:p>
        </w:tc>
        <w:tc>
          <w:tcPr>
            <w:tcW w:type="dxa" w:w="3389"/>
            <w:tcMar>
              <w:top w:w="80" w:type="dxa"/>
              <w:start w:w="100" w:type="dxa"/>
              <w:bottom w:w="80" w:type="dxa"/>
              <w:end w:w="100" w:type="dxa"/>
            </w:tcMar>
            <w:vAlign w:val="top"/>
          </w:tcPr>
          <w:p>
            <w:pPr>
              <w:spacing w:after="40"/>
            </w:pPr>
            <w:r>
              <w:rPr>
                <w:rFonts w:ascii="Arial" w:hAnsi="Arial"/>
                <w:sz w:val="17"/>
              </w:rPr>
              <w:t>New designer AI mock</w:t>
            </w:r>
          </w:p>
        </w:tc>
        <w:tc>
          <w:tcPr>
            <w:tcW w:type="dxa" w:w="3389"/>
            <w:tcMar>
              <w:top w:w="80" w:type="dxa"/>
              <w:start w:w="100" w:type="dxa"/>
              <w:bottom w:w="80" w:type="dxa"/>
              <w:end w:w="100" w:type="dxa"/>
            </w:tcMar>
            <w:vAlign w:val="top"/>
          </w:tcPr>
          <w:p>
            <w:pPr>
              <w:spacing w:after="40"/>
            </w:pPr>
            <w:r>
              <w:rPr>
                <w:rFonts w:ascii="Arial" w:hAnsi="Arial"/>
                <w:sz w:val="17"/>
              </w:rPr>
              <w:t>VISUAL REFERENCE ONLY. Useful compositions may be reused; its copy, legacy blocks, product claims, offer text and fake report state are not authoritative.</w:t>
            </w:r>
          </w:p>
        </w:tc>
      </w:tr>
      <w:tr>
        <w:tc>
          <w:tcPr>
            <w:tcW w:type="dxa" w:w="3389"/>
            <w:tcMar>
              <w:top w:w="80" w:type="dxa"/>
              <w:start w:w="100" w:type="dxa"/>
              <w:bottom w:w="80" w:type="dxa"/>
              <w:end w:w="100" w:type="dxa"/>
            </w:tcMar>
            <w:vAlign w:val="top"/>
          </w:tcPr>
          <w:p>
            <w:pPr>
              <w:spacing w:after="40"/>
            </w:pPr>
            <w:r>
              <w:rPr>
                <w:rFonts w:ascii="Arial" w:hAnsi="Arial"/>
                <w:sz w:val="17"/>
              </w:rPr>
              <w:t>6</w:t>
            </w:r>
          </w:p>
        </w:tc>
        <w:tc>
          <w:tcPr>
            <w:tcW w:type="dxa" w:w="3389"/>
            <w:tcMar>
              <w:top w:w="80" w:type="dxa"/>
              <w:start w:w="100" w:type="dxa"/>
              <w:bottom w:w="80" w:type="dxa"/>
              <w:end w:w="100" w:type="dxa"/>
            </w:tcMar>
            <w:vAlign w:val="top"/>
          </w:tcPr>
          <w:p>
            <w:pPr>
              <w:spacing w:after="40"/>
            </w:pPr>
            <w:r>
              <w:rPr>
                <w:rFonts w:ascii="Arial" w:hAnsi="Arial"/>
                <w:sz w:val="17"/>
              </w:rPr>
              <w:t>Old/live page and old shared template</w:t>
            </w:r>
          </w:p>
        </w:tc>
        <w:tc>
          <w:tcPr>
            <w:tcW w:type="dxa" w:w="3389"/>
            <w:tcMar>
              <w:top w:w="80" w:type="dxa"/>
              <w:start w:w="100" w:type="dxa"/>
              <w:bottom w:w="80" w:type="dxa"/>
              <w:end w:w="100" w:type="dxa"/>
            </w:tcMar>
            <w:vAlign w:val="top"/>
          </w:tcPr>
          <w:p>
            <w:pPr>
              <w:spacing w:after="40"/>
            </w:pPr>
            <w:r>
              <w:rPr>
                <w:rFonts w:ascii="Arial" w:hAnsi="Arial"/>
                <w:sz w:val="17"/>
              </w:rPr>
              <w:t>Reference only for functionality that still exists. Do not preserve legacy information architecture, copy or claims merely because they exist.</w:t>
            </w:r>
          </w:p>
        </w:tc>
      </w:tr>
    </w:tbl>
    <w:p>
      <w:pPr>
        <w:pStyle w:val="Heading1"/>
      </w:pPr>
      <w:r>
        <w:t>PAGE ROLE / SEARCH OWNERSHIP</w:t>
      </w:r>
    </w:p>
    <w:p>
      <w:r>
        <w:t>The page owns the English AI Detector / AI Checker product intent. It also intentionally supports the already demonstrated AI file/document/upload intent. It does not become a general “content integrity” page, plagiarism page, education solution page, API landing page, model-comparison page, or persona-directory page.</w:t>
      </w:r>
    </w:p>
    <w:p>
      <w:pPr>
        <w:pStyle w:val="ListBullet"/>
      </w:pPr>
      <w:r>
        <w:t>Primary category language: AI Detector / AI Checker / AI text detection.</w:t>
      </w:r>
    </w:p>
    <w:p>
      <w:pPr>
        <w:pStyle w:val="ListBullet"/>
      </w:pPr>
      <w:r>
        <w:t>Established organic wedge to preserve and strengthen: AI detector for files/documents/uploads.</w:t>
      </w:r>
    </w:p>
    <w:p>
      <w:pPr>
        <w:pStyle w:val="ListBullet"/>
      </w:pPr>
      <w:r>
        <w:t>Primary user job: paste text or upload a document → run AI analysis → understand document-level likelihood → understand how much text is flagged → inspect where those signals appear.</w:t>
      </w:r>
    </w:p>
    <w:p>
      <w:pPr>
        <w:pStyle w:val="ListBullet"/>
      </w:pPr>
      <w:r>
        <w:t>Secondary product proof only: API capability, data handling, pricing, broad language processing.</w:t>
      </w:r>
    </w:p>
    <w:p>
      <w:pPr>
        <w:pStyle w:val="ListBullet"/>
      </w:pPr>
      <w:r>
        <w:t>Plagiarism appears only where needed to distinguish the products or explain the shared one-time registration credit. Do not spread plagiarism vocabulary through the AI page.</w:t>
      </w:r>
    </w:p>
    <w:p>
      <w:pPr>
        <w:pStyle w:val="Heading1"/>
      </w:pPr>
      <w:r>
        <w:t>YOUR DESIGN FREEDOM</w:t>
      </w:r>
    </w:p>
    <w:p>
      <w:r>
        <w:t>Use the already established PlagiarismSearch redesign system. You own visual composition, grid, spacing, responsive behavior, animation, transitions, cards, icons, illustrations, section transitions, interaction polish and component styling. You may adapt useful compositions from the existing AI designer mock. You may not alter the approved page story or approved content to fit a layout.</w:t>
      </w:r>
    </w:p>
    <w:tbl>
      <w:tblPr>
        <w:tblW w:type="auto" w:w="0"/>
        <w:jc w:val="center"/>
        <w:tblLayout w:type="autofit"/>
        <w:tblLook w:firstColumn="1" w:firstRow="1" w:lastColumn="0" w:lastRow="0" w:noHBand="0" w:noVBand="1" w:val="04A0"/>
      </w:tblPr>
      <w:tblGrid>
        <w:gridCol w:w="10166"/>
      </w:tblGrid>
      <w:tr>
        <w:tc>
          <w:tcPr>
            <w:tcW w:type="dxa" w:w="10166"/>
            <w:shd w:fill="F5F5F5"/>
            <w:tcMar>
              <w:top w:w="110" w:type="dxa"/>
              <w:start w:w="140" w:type="dxa"/>
              <w:bottom w:w="110" w:type="dxa"/>
              <w:end w:w="140" w:type="dxa"/>
            </w:tcMar>
            <w:vAlign w:val="top"/>
          </w:tcPr>
          <w:p>
            <w:pPr>
              <w:spacing w:after="40"/>
            </w:pPr>
            <w:r>
              <w:rPr>
                <w:rFonts w:ascii="Arial" w:hAnsi="Arial"/>
                <w:b/>
                <w:sz w:val="17"/>
              </w:rPr>
              <w:t>DO NOT OVER-DESIGN THE BRIEF</w:t>
            </w:r>
          </w:p>
          <w:p>
            <w:pPr>
              <w:spacing w:after="40"/>
            </w:pPr>
            <w:r>
              <w:rPr>
                <w:rFonts w:ascii="Arial" w:hAnsi="Arial"/>
                <w:sz w:val="17"/>
              </w:rPr>
              <w:t>The brief defines meaning and product hierarchy, not pixel placement. Do not preserve a weak block merely because the mock has a convenient visual slot. Design around the approved content, not the other way around.</w:t>
            </w:r>
          </w:p>
        </w:tc>
      </w:tr>
    </w:tbl>
    <w:p>
      <w:pPr>
        <w:pStyle w:val="Heading1"/>
      </w:pPr>
      <w:r>
        <w:t>DESIGNER MOCK — WHAT MAY / MAY NOT BE REUSED</w:t>
      </w:r>
    </w:p>
    <w:p>
      <w:pPr>
        <w:pStyle w:val="Heading2"/>
      </w:pPr>
      <w:r>
        <w:t>Encouraged visual reuse</w:t>
      </w:r>
    </w:p>
    <w:p>
      <w:pPr>
        <w:pStyle w:val="ListBullet"/>
      </w:pPr>
      <w:r>
        <w:t>Split product hero with explanatory copy plus the real AI checker/tool input.</w:t>
      </w:r>
    </w:p>
    <w:p>
      <w:pPr>
        <w:pStyle w:val="ListBullet"/>
      </w:pPr>
      <w:r>
        <w:t>Large paste/upload tool card and visible document-upload treatment.</w:t>
      </w:r>
    </w:p>
    <w:p>
      <w:pPr>
        <w:pStyle w:val="ListBullet"/>
      </w:pPr>
      <w:r>
        <w:t>Report + explanation composition as the core signature product block.</w:t>
      </w:r>
    </w:p>
    <w:p>
      <w:pPr>
        <w:pStyle w:val="ListBullet"/>
      </w:pPr>
      <w:r>
        <w:t>Dark API callout composition, rewritten to the approved API semantics.</w:t>
      </w:r>
    </w:p>
    <w:p>
      <w:pPr>
        <w:pStyle w:val="ListBullet"/>
      </w:pPr>
      <w:r>
        <w:t>Clean AI pricing table composition, with production data sourced dynamically.</w:t>
      </w:r>
    </w:p>
    <w:p>
      <w:pPr>
        <w:pStyle w:val="ListBullet"/>
      </w:pPr>
      <w:r>
        <w:t>The already approved global header/footer and overall visual system.</w:t>
      </w:r>
    </w:p>
    <w:p>
      <w:pPr>
        <w:pStyle w:val="Heading2"/>
      </w:pPr>
      <w:r>
        <w:t>Reject as content/structure</w:t>
      </w:r>
    </w:p>
    <w:p>
      <w:pPr>
        <w:pStyle w:val="ListBullet"/>
      </w:pPr>
      <w:r>
        <w:t>Legacy “Advantages” grid (Accuracy / Continuous improvements / Safety / No data storage / Speed / Confidence).</w:t>
      </w:r>
    </w:p>
    <w:p>
      <w:pPr>
        <w:pStyle w:val="ListBullet"/>
      </w:pPr>
      <w:r>
        <w:t>Legacy “How to check” funnel based on Create account → Choose plan → Submit → Get accurate score.</w:t>
      </w:r>
    </w:p>
    <w:p>
      <w:pPr>
        <w:pStyle w:val="ListBullet"/>
      </w:pPr>
      <w:r>
        <w:t>Any fake AI-only report that contains a Plagiarism percentage.</w:t>
      </w:r>
    </w:p>
    <w:p>
      <w:pPr>
        <w:pStyle w:val="ListBullet"/>
      </w:pPr>
      <w:r>
        <w:t>“1,000 words daily” AI offer.</w:t>
      </w:r>
    </w:p>
    <w:p>
      <w:pPr>
        <w:pStyle w:val="ListBullet"/>
      </w:pPr>
      <w:r>
        <w:t>“150 words free — no account needed” AI offer.</w:t>
      </w:r>
    </w:p>
    <w:p>
      <w:pPr>
        <w:pStyle w:val="ListBullet"/>
      </w:pPr>
      <w:r>
        <w:t>Standalone “AI Content Detector API” product positioning.</w:t>
      </w:r>
    </w:p>
    <w:p>
      <w:pPr>
        <w:pStyle w:val="ListBullet"/>
      </w:pPr>
      <w:r>
        <w:t>Named-model coverage or unsupported accuracy/benchmark claims carried from legacy copy.</w:t>
      </w:r>
    </w:p>
    <w:p>
      <w:pPr>
        <w:pStyle w:val="Heading1"/>
      </w:pPr>
      <w:r>
        <w:t>NON-NEGOTIABLE PAGE STORY</w:t>
      </w:r>
    </w:p>
    <w:p>
      <w:r>
        <w:t>1. Real AI checker first — paste + upload/document action is dominant.</w:t>
      </w:r>
    </w:p>
    <w:p>
      <w:r>
        <w:t>2. Show the AI-only report early — the user must immediately see what the tool returns.</w:t>
      </w:r>
    </w:p>
    <w:p>
      <w:r>
        <w:t>3. Explain the result through three layers: AI Probability → Total AI Rate → highlighted passages.</w:t>
      </w:r>
    </w:p>
    <w:p>
      <w:r>
        <w:t>4. Reinforce document/file checking because this is an established search and product use case.</w:t>
      </w:r>
    </w:p>
    <w:p>
      <w:r>
        <w:t>5. Explain responsible interpretation: detection signal, not authorship proof.</w:t>
      </w:r>
    </w:p>
    <w:p>
      <w:r>
        <w:t>6. Clarify AI detection vs plagiarism checking once, explicitly and compactly.</w:t>
      </w:r>
    </w:p>
    <w:p>
      <w:r>
        <w:t>7. Explain real AI processing/report lifecycle using verified infrastructure/retention facts.</w:t>
      </w:r>
    </w:p>
    <w:p>
      <w:r>
        <w:t>8. Show API availability as a secondary workflow capability via the main PlagiarismSearch API.</w:t>
      </w:r>
    </w:p>
    <w:p>
      <w:r>
        <w:t>9. Show AI pricing after product value is clear.</w:t>
      </w:r>
    </w:p>
    <w:p>
      <w:r>
        <w:t>10. Resolve product questions in a page-specific AI Detector FAQ.</w:t>
      </w:r>
    </w:p>
    <w:p>
      <w:r>
        <w:t>11. Finish with a CTA that scrolls/focuses the real checker; do not render a second fake checker.</w:t>
      </w:r>
    </w:p>
    <w:p>
      <w:pPr>
        <w:pStyle w:val="Heading1"/>
      </w:pPr>
      <w:r>
        <w:t>SIGNATURE DIFFERENTIATION TO PRESERVE</w:t>
      </w:r>
    </w:p>
    <w:p>
      <w:r>
        <w:t>The page must make the AI report understandable through a three-layer model. This is the core product story and the main visual signature of the page:</w:t>
      </w:r>
    </w:p>
    <w:p>
      <w:pPr>
        <w:pStyle w:val="ListBullet"/>
      </w:pPr>
      <w:r>
        <w:t>DOCUMENT — AI Probability: likelihood that the analyzed text as a whole was AI-generated.</w:t>
      </w:r>
    </w:p>
    <w:p>
      <w:pPr>
        <w:pStyle w:val="ListBullet"/>
      </w:pPr>
      <w:r>
        <w:t>AMOUNT — Total AI Rate: share of the document contained in passages flagged as AI-generated.</w:t>
      </w:r>
    </w:p>
    <w:p>
      <w:pPr>
        <w:pStyle w:val="ListBullet"/>
      </w:pPr>
      <w:r>
        <w:t>LOCATION — Highlighted passages: where the AI-writing signals appear; individual highlighted sentences/passages can show their own AI probability.</w:t>
      </w:r>
    </w:p>
    <w:tbl>
      <w:tblPr>
        <w:tblW w:type="auto" w:w="0"/>
        <w:jc w:val="center"/>
        <w:tblLayout w:type="autofit"/>
        <w:tblLook w:firstColumn="1" w:firstRow="1" w:lastColumn="0" w:lastRow="0" w:noHBand="0" w:noVBand="1" w:val="04A0"/>
      </w:tblPr>
      <w:tblGrid>
        <w:gridCol w:w="10166"/>
      </w:tblGrid>
      <w:tr>
        <w:tc>
          <w:tcPr>
            <w:tcW w:type="dxa" w:w="10166"/>
            <w:shd w:fill="E8F2FB"/>
            <w:tcMar>
              <w:top w:w="110" w:type="dxa"/>
              <w:start w:w="140" w:type="dxa"/>
              <w:bottom w:w="110" w:type="dxa"/>
              <w:end w:w="140" w:type="dxa"/>
            </w:tcMar>
            <w:vAlign w:val="top"/>
          </w:tcPr>
          <w:p>
            <w:pPr>
              <w:spacing w:after="40"/>
            </w:pPr>
            <w:r>
              <w:rPr>
                <w:rFonts w:ascii="Arial" w:hAnsi="Arial"/>
                <w:b/>
                <w:sz w:val="17"/>
              </w:rPr>
              <w:t>INTERNAL POSITIONING PRINCIPLE</w:t>
            </w:r>
          </w:p>
          <w:p>
            <w:pPr>
              <w:spacing w:after="40"/>
            </w:pPr>
            <w:r>
              <w:rPr>
                <w:rFonts w:ascii="Arial" w:hAnsi="Arial"/>
                <w:sz w:val="17"/>
              </w:rPr>
              <w:t>Do not try to win by claiming more certainty than competitors. Win by showing the result more clearly: document-level likelihood → share of flagged text → exact location of flagged passages.</w:t>
            </w:r>
          </w:p>
        </w:tc>
      </w:tr>
    </w:tbl>
    <w:p>
      <w:pPr>
        <w:pStyle w:val="Heading1"/>
      </w:pPr>
      <w:r>
        <w:t>VERIFIED PRODUCT FACTS — DO NOT CHANGE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AF7"/>
            <w:vAlign w:val="top"/>
          </w:tcPr>
          <w:p>
            <w:pPr>
              <w:spacing w:after="40"/>
            </w:pPr>
            <w:r>
              <w:rPr>
                <w:rFonts w:ascii="Arial" w:hAnsi="Arial"/>
                <w:sz w:val="17"/>
              </w:rPr>
              <w:t>Fact</w:t>
            </w:r>
          </w:p>
        </w:tc>
        <w:tc>
          <w:tcPr>
            <w:tcW w:type="dxa" w:w="5083"/>
            <w:shd w:fill="DCEAF7"/>
            <w:vAlign w:val="top"/>
          </w:tcPr>
          <w:p>
            <w:pPr>
              <w:spacing w:after="40"/>
            </w:pPr>
            <w:r>
              <w:rPr>
                <w:rFonts w:ascii="Arial" w:hAnsi="Arial"/>
                <w:sz w:val="17"/>
              </w:rPr>
              <w:t>Approved meaning</w:t>
            </w:r>
          </w:p>
        </w:tc>
      </w:tr>
      <w:tr>
        <w:tc>
          <w:tcPr>
            <w:tcW w:type="dxa" w:w="5083"/>
            <w:tcMar>
              <w:top w:w="80" w:type="dxa"/>
              <w:start w:w="100" w:type="dxa"/>
              <w:bottom w:w="80" w:type="dxa"/>
              <w:end w:w="100" w:type="dxa"/>
            </w:tcMar>
            <w:vAlign w:val="top"/>
          </w:tcPr>
          <w:p>
            <w:pPr>
              <w:spacing w:after="40"/>
            </w:pPr>
            <w:r>
              <w:rPr>
                <w:rFonts w:ascii="Arial" w:hAnsi="Arial"/>
                <w:sz w:val="17"/>
              </w:rPr>
              <w:t>AI Probability</w:t>
            </w:r>
          </w:p>
        </w:tc>
        <w:tc>
          <w:tcPr>
            <w:tcW w:type="dxa" w:w="5083"/>
            <w:tcMar>
              <w:top w:w="80" w:type="dxa"/>
              <w:start w:w="100" w:type="dxa"/>
              <w:bottom w:w="80" w:type="dxa"/>
              <w:end w:w="100" w:type="dxa"/>
            </w:tcMar>
            <w:vAlign w:val="top"/>
          </w:tcPr>
          <w:p>
            <w:pPr>
              <w:spacing w:after="40"/>
            </w:pPr>
            <w:r>
              <w:rPr>
                <w:rFonts w:ascii="Arial" w:hAnsi="Arial"/>
                <w:sz w:val="17"/>
              </w:rPr>
              <w:t>Percentage likelihood that the analyzed text, considered as a whole, was AI-generated. Individual highlighted sentences/passages may also display their own AI probability.</w:t>
            </w:r>
          </w:p>
        </w:tc>
      </w:tr>
      <w:tr>
        <w:tc>
          <w:tcPr>
            <w:tcW w:type="dxa" w:w="5083"/>
            <w:tcMar>
              <w:top w:w="80" w:type="dxa"/>
              <w:start w:w="100" w:type="dxa"/>
              <w:bottom w:w="80" w:type="dxa"/>
              <w:end w:w="100" w:type="dxa"/>
            </w:tcMar>
            <w:vAlign w:val="top"/>
          </w:tcPr>
          <w:p>
            <w:pPr>
              <w:spacing w:after="40"/>
            </w:pPr>
            <w:r>
              <w:rPr>
                <w:rFonts w:ascii="Arial" w:hAnsi="Arial"/>
                <w:sz w:val="17"/>
              </w:rPr>
              <w:t>Total AI Rate</w:t>
            </w:r>
          </w:p>
        </w:tc>
        <w:tc>
          <w:tcPr>
            <w:tcW w:type="dxa" w:w="5083"/>
            <w:tcMar>
              <w:top w:w="80" w:type="dxa"/>
              <w:start w:w="100" w:type="dxa"/>
              <w:bottom w:w="80" w:type="dxa"/>
              <w:end w:w="100" w:type="dxa"/>
            </w:tcMar>
            <w:vAlign w:val="top"/>
          </w:tcPr>
          <w:p>
            <w:pPr>
              <w:spacing w:after="40"/>
            </w:pPr>
            <w:r>
              <w:rPr>
                <w:rFonts w:ascii="Arial" w:hAnsi="Arial"/>
                <w:sz w:val="17"/>
              </w:rPr>
              <w:t>Total percentage/share of text contained in AI-generated / AI-flagged passages, derived from the highlighted AI passages. It is separate from AI Probability.</w:t>
            </w:r>
          </w:p>
        </w:tc>
      </w:tr>
      <w:tr>
        <w:tc>
          <w:tcPr>
            <w:tcW w:type="dxa" w:w="5083"/>
            <w:tcMar>
              <w:top w:w="80" w:type="dxa"/>
              <w:start w:w="100" w:type="dxa"/>
              <w:bottom w:w="80" w:type="dxa"/>
              <w:end w:w="100" w:type="dxa"/>
            </w:tcMar>
            <w:vAlign w:val="top"/>
          </w:tcPr>
          <w:p>
            <w:pPr>
              <w:spacing w:after="40"/>
            </w:pPr>
            <w:r>
              <w:rPr>
                <w:rFonts w:ascii="Arial" w:hAnsi="Arial"/>
                <w:sz w:val="17"/>
              </w:rPr>
              <w:t>AI-only report</w:t>
            </w:r>
          </w:p>
        </w:tc>
        <w:tc>
          <w:tcPr>
            <w:tcW w:type="dxa" w:w="5083"/>
            <w:tcMar>
              <w:top w:w="80" w:type="dxa"/>
              <w:start w:w="100" w:type="dxa"/>
              <w:bottom w:w="80" w:type="dxa"/>
              <w:end w:w="100" w:type="dxa"/>
            </w:tcMar>
            <w:vAlign w:val="top"/>
          </w:tcPr>
          <w:p>
            <w:pPr>
              <w:spacing w:after="40"/>
            </w:pPr>
            <w:r>
              <w:rPr>
                <w:rFonts w:ascii="Arial" w:hAnsi="Arial"/>
                <w:sz w:val="17"/>
              </w:rPr>
              <w:t>An AI-only report must not show a Plagiarism percentage/source-match result. Keep the report AI-specific.</w:t>
            </w:r>
          </w:p>
        </w:tc>
      </w:tr>
      <w:tr>
        <w:tc>
          <w:tcPr>
            <w:tcW w:type="dxa" w:w="5083"/>
            <w:tcMar>
              <w:top w:w="80" w:type="dxa"/>
              <w:start w:w="100" w:type="dxa"/>
              <w:bottom w:w="80" w:type="dxa"/>
              <w:end w:w="100" w:type="dxa"/>
            </w:tcMar>
            <w:vAlign w:val="top"/>
          </w:tcPr>
          <w:p>
            <w:pPr>
              <w:spacing w:after="40"/>
            </w:pPr>
            <w:r>
              <w:rPr>
                <w:rFonts w:ascii="Arial" w:hAnsi="Arial"/>
                <w:sz w:val="17"/>
              </w:rPr>
              <w:t>Hard pasted-text minimum</w:t>
            </w:r>
          </w:p>
        </w:tc>
        <w:tc>
          <w:tcPr>
            <w:tcW w:type="dxa" w:w="5083"/>
            <w:tcMar>
              <w:top w:w="80" w:type="dxa"/>
              <w:start w:w="100" w:type="dxa"/>
              <w:bottom w:w="80" w:type="dxa"/>
              <w:end w:w="100" w:type="dxa"/>
            </w:tcMar>
            <w:vAlign w:val="top"/>
          </w:tcPr>
          <w:p>
            <w:pPr>
              <w:spacing w:after="40"/>
            </w:pPr>
            <w:r>
              <w:rPr>
                <w:rFonts w:ascii="Arial" w:hAnsi="Arial"/>
                <w:sz w:val="17"/>
              </w:rPr>
              <w:t>100 characters.</w:t>
            </w:r>
          </w:p>
        </w:tc>
      </w:tr>
      <w:tr>
        <w:tc>
          <w:tcPr>
            <w:tcW w:type="dxa" w:w="5083"/>
            <w:tcMar>
              <w:top w:w="80" w:type="dxa"/>
              <w:start w:w="100" w:type="dxa"/>
              <w:bottom w:w="80" w:type="dxa"/>
              <w:end w:w="100" w:type="dxa"/>
            </w:tcMar>
            <w:vAlign w:val="top"/>
          </w:tcPr>
          <w:p>
            <w:pPr>
              <w:spacing w:after="40"/>
            </w:pPr>
            <w:r>
              <w:rPr>
                <w:rFonts w:ascii="Arial" w:hAnsi="Arial"/>
                <w:sz w:val="17"/>
              </w:rPr>
              <w:t>Recommended sample length</w:t>
            </w:r>
          </w:p>
        </w:tc>
        <w:tc>
          <w:tcPr>
            <w:tcW w:type="dxa" w:w="5083"/>
            <w:tcMar>
              <w:top w:w="80" w:type="dxa"/>
              <w:start w:w="100" w:type="dxa"/>
              <w:bottom w:w="80" w:type="dxa"/>
              <w:end w:w="100" w:type="dxa"/>
            </w:tcMar>
            <w:vAlign w:val="top"/>
          </w:tcPr>
          <w:p>
            <w:pPr>
              <w:spacing w:after="40"/>
            </w:pPr>
            <w:r>
              <w:rPr>
                <w:rFonts w:ascii="Arial" w:hAnsi="Arial"/>
                <w:sz w:val="17"/>
              </w:rPr>
              <w:t>150–200 words or more for a more reliable result.</w:t>
            </w:r>
          </w:p>
        </w:tc>
      </w:tr>
      <w:tr>
        <w:tc>
          <w:tcPr>
            <w:tcW w:type="dxa" w:w="5083"/>
            <w:tcMar>
              <w:top w:w="80" w:type="dxa"/>
              <w:start w:w="100" w:type="dxa"/>
              <w:bottom w:w="80" w:type="dxa"/>
              <w:end w:w="100" w:type="dxa"/>
            </w:tcMar>
            <w:vAlign w:val="top"/>
          </w:tcPr>
          <w:p>
            <w:pPr>
              <w:spacing w:after="40"/>
            </w:pPr>
            <w:r>
              <w:rPr>
                <w:rFonts w:ascii="Arial" w:hAnsi="Arial"/>
                <w:sz w:val="17"/>
              </w:rPr>
              <w:t>Languages</w:t>
            </w:r>
          </w:p>
        </w:tc>
        <w:tc>
          <w:tcPr>
            <w:tcW w:type="dxa" w:w="5083"/>
            <w:tcMar>
              <w:top w:w="80" w:type="dxa"/>
              <w:start w:w="100" w:type="dxa"/>
              <w:bottom w:w="80" w:type="dxa"/>
              <w:end w:w="100" w:type="dxa"/>
            </w:tcMar>
            <w:vAlign w:val="top"/>
          </w:tcPr>
          <w:p>
            <w:pPr>
              <w:spacing w:after="40"/>
            </w:pPr>
            <w:r>
              <w:rPr>
                <w:rFonts w:ascii="Arial" w:hAnsi="Arial"/>
                <w:sz w:val="17"/>
              </w:rPr>
              <w:t>Text can be processed in any language. Highest detection accuracy is achieved in English. Do not imply equal quality across languages.</w:t>
            </w:r>
          </w:p>
        </w:tc>
      </w:tr>
      <w:tr>
        <w:tc>
          <w:tcPr>
            <w:tcW w:type="dxa" w:w="5083"/>
            <w:tcMar>
              <w:top w:w="80" w:type="dxa"/>
              <w:start w:w="100" w:type="dxa"/>
              <w:bottom w:w="80" w:type="dxa"/>
              <w:end w:w="100" w:type="dxa"/>
            </w:tcMar>
            <w:vAlign w:val="top"/>
          </w:tcPr>
          <w:p>
            <w:pPr>
              <w:spacing w:after="40"/>
            </w:pPr>
            <w:r>
              <w:rPr>
                <w:rFonts w:ascii="Arial" w:hAnsi="Arial"/>
                <w:sz w:val="17"/>
              </w:rPr>
              <w:t>Documents</w:t>
            </w:r>
          </w:p>
        </w:tc>
        <w:tc>
          <w:tcPr>
            <w:tcW w:type="dxa" w:w="5083"/>
            <w:tcMar>
              <w:top w:w="80" w:type="dxa"/>
              <w:start w:w="100" w:type="dxa"/>
              <w:bottom w:w="80" w:type="dxa"/>
              <w:end w:w="100" w:type="dxa"/>
            </w:tcMar>
            <w:vAlign w:val="top"/>
          </w:tcPr>
          <w:p>
            <w:pPr>
              <w:spacing w:after="40"/>
            </w:pPr>
            <w:r>
              <w:rPr>
                <w:rFonts w:ascii="Arial" w:hAnsi="Arial"/>
                <w:sz w:val="17"/>
              </w:rPr>
              <w:t>AI upload supports the same broad document-format family as the plagiarism checker. Do not publish a fabricated exhaustive extension list.</w:t>
            </w:r>
          </w:p>
        </w:tc>
      </w:tr>
      <w:tr>
        <w:tc>
          <w:tcPr>
            <w:tcW w:type="dxa" w:w="5083"/>
            <w:tcMar>
              <w:top w:w="80" w:type="dxa"/>
              <w:start w:w="100" w:type="dxa"/>
              <w:bottom w:w="80" w:type="dxa"/>
              <w:end w:w="100" w:type="dxa"/>
            </w:tcMar>
            <w:vAlign w:val="top"/>
          </w:tcPr>
          <w:p>
            <w:pPr>
              <w:spacing w:after="40"/>
            </w:pPr>
            <w:r>
              <w:rPr>
                <w:rFonts w:ascii="Arial" w:hAnsi="Arial"/>
                <w:sz w:val="17"/>
              </w:rPr>
              <w:t>AI processing</w:t>
            </w:r>
          </w:p>
        </w:tc>
        <w:tc>
          <w:tcPr>
            <w:tcW w:type="dxa" w:w="5083"/>
            <w:tcMar>
              <w:top w:w="80" w:type="dxa"/>
              <w:start w:w="100" w:type="dxa"/>
              <w:bottom w:w="80" w:type="dxa"/>
              <w:end w:w="100" w:type="dxa"/>
            </w:tcMar>
            <w:vAlign w:val="top"/>
          </w:tcPr>
          <w:p>
            <w:pPr>
              <w:spacing w:after="40"/>
            </w:pPr>
            <w:r>
              <w:rPr>
                <w:rFonts w:ascii="Arial" w:hAnsi="Arial"/>
                <w:sz w:val="17"/>
              </w:rPr>
              <w:t>Runs on PlagiarismSearch infrastructure. Checked content is not transmitted to an external AI detector provider.</w:t>
            </w:r>
          </w:p>
        </w:tc>
      </w:tr>
      <w:tr>
        <w:tc>
          <w:tcPr>
            <w:tcW w:type="dxa" w:w="5083"/>
            <w:tcMar>
              <w:top w:w="80" w:type="dxa"/>
              <w:start w:w="100" w:type="dxa"/>
              <w:bottom w:w="80" w:type="dxa"/>
              <w:end w:w="100" w:type="dxa"/>
            </w:tcMar>
            <w:vAlign w:val="top"/>
          </w:tcPr>
          <w:p>
            <w:pPr>
              <w:spacing w:after="40"/>
            </w:pPr>
            <w:r>
              <w:rPr>
                <w:rFonts w:ascii="Arial" w:hAnsi="Arial"/>
                <w:sz w:val="17"/>
              </w:rPr>
              <w:t>Report retention</w:t>
            </w:r>
          </w:p>
        </w:tc>
        <w:tc>
          <w:tcPr>
            <w:tcW w:type="dxa" w:w="5083"/>
            <w:tcMar>
              <w:top w:w="80" w:type="dxa"/>
              <w:start w:w="100" w:type="dxa"/>
              <w:bottom w:w="80" w:type="dxa"/>
              <w:end w:w="100" w:type="dxa"/>
            </w:tcMar>
            <w:vAlign w:val="top"/>
          </w:tcPr>
          <w:p>
            <w:pPr>
              <w:spacing w:after="40"/>
            </w:pPr>
            <w:r>
              <w:rPr>
                <w:rFonts w:ascii="Arial" w:hAnsi="Arial"/>
                <w:sz w:val="17"/>
              </w:rPr>
              <w:t>Generated AI reports may remain available in the user account for convenience and can be permanently deleted by the user. Do not say “No data storage.”</w:t>
            </w:r>
          </w:p>
        </w:tc>
      </w:tr>
      <w:tr>
        <w:tc>
          <w:tcPr>
            <w:tcW w:type="dxa" w:w="5083"/>
            <w:tcMar>
              <w:top w:w="80" w:type="dxa"/>
              <w:start w:w="100" w:type="dxa"/>
              <w:bottom w:w="80" w:type="dxa"/>
              <w:end w:w="100" w:type="dxa"/>
            </w:tcMar>
            <w:vAlign w:val="top"/>
          </w:tcPr>
          <w:p>
            <w:pPr>
              <w:spacing w:after="40"/>
            </w:pPr>
            <w:r>
              <w:rPr>
                <w:rFonts w:ascii="Arial" w:hAnsi="Arial"/>
                <w:sz w:val="17"/>
              </w:rPr>
              <w:t>Free AI entitlement</w:t>
            </w:r>
          </w:p>
        </w:tc>
        <w:tc>
          <w:tcPr>
            <w:tcW w:type="dxa" w:w="5083"/>
            <w:tcMar>
              <w:top w:w="80" w:type="dxa"/>
              <w:start w:w="100" w:type="dxa"/>
              <w:bottom w:w="80" w:type="dxa"/>
              <w:end w:w="100" w:type="dxa"/>
            </w:tcMar>
            <w:vAlign w:val="top"/>
          </w:tcPr>
          <w:p>
            <w:pPr>
              <w:spacing w:after="40"/>
            </w:pPr>
            <w:r>
              <w:rPr>
                <w:rFonts w:ascii="Arial" w:hAnsi="Arial"/>
                <w:sz w:val="17"/>
              </w:rPr>
              <w:t>A new account receives a one-time 1,000-word credit that can be used for AI or plagiarism checking. The recurring 300-word daily free credit is plagiarism-only.</w:t>
            </w:r>
          </w:p>
        </w:tc>
      </w:tr>
      <w:tr>
        <w:tc>
          <w:tcPr>
            <w:tcW w:type="dxa" w:w="5083"/>
            <w:tcMar>
              <w:top w:w="80" w:type="dxa"/>
              <w:start w:w="100" w:type="dxa"/>
              <w:bottom w:w="80" w:type="dxa"/>
              <w:end w:w="100" w:type="dxa"/>
            </w:tcMar>
            <w:vAlign w:val="top"/>
          </w:tcPr>
          <w:p>
            <w:pPr>
              <w:spacing w:after="40"/>
            </w:pPr>
            <w:r>
              <w:rPr>
                <w:rFonts w:ascii="Arial" w:hAnsi="Arial"/>
                <w:sz w:val="17"/>
              </w:rPr>
              <w:t>API</w:t>
            </w:r>
          </w:p>
        </w:tc>
        <w:tc>
          <w:tcPr>
            <w:tcW w:type="dxa" w:w="5083"/>
            <w:tcMar>
              <w:top w:w="80" w:type="dxa"/>
              <w:start w:w="100" w:type="dxa"/>
              <w:bottom w:w="80" w:type="dxa"/>
              <w:end w:w="100" w:type="dxa"/>
            </w:tcMar>
            <w:vAlign w:val="top"/>
          </w:tcPr>
          <w:p>
            <w:pPr>
              <w:spacing w:after="40"/>
            </w:pPr>
            <w:r>
              <w:rPr>
                <w:rFonts w:ascii="Arial" w:hAnsi="Arial"/>
                <w:sz w:val="17"/>
              </w:rPr>
              <w:t>No separate standalone AI API product/page exists. AI checking uses the main PlagiarismSearch API infrastructure with AI-specific checking limits/credits. Do not claim every user automatically has API access.</w:t>
            </w:r>
          </w:p>
        </w:tc>
      </w:tr>
      <w:tr>
        <w:tc>
          <w:tcPr>
            <w:tcW w:type="dxa" w:w="5083"/>
            <w:tcMar>
              <w:top w:w="80" w:type="dxa"/>
              <w:start w:w="100" w:type="dxa"/>
              <w:bottom w:w="80" w:type="dxa"/>
              <w:end w:w="100" w:type="dxa"/>
            </w:tcMar>
            <w:vAlign w:val="top"/>
          </w:tcPr>
          <w:p>
            <w:pPr>
              <w:spacing w:after="40"/>
            </w:pPr>
            <w:r>
              <w:rPr>
                <w:rFonts w:ascii="Arial" w:hAnsi="Arial"/>
                <w:sz w:val="17"/>
              </w:rPr>
              <w:t>Accuracy claims</w:t>
            </w:r>
          </w:p>
        </w:tc>
        <w:tc>
          <w:tcPr>
            <w:tcW w:type="dxa" w:w="5083"/>
            <w:tcMar>
              <w:top w:w="80" w:type="dxa"/>
              <w:start w:w="100" w:type="dxa"/>
              <w:bottom w:w="80" w:type="dxa"/>
              <w:end w:w="100" w:type="dxa"/>
            </w:tcMar>
            <w:vAlign w:val="top"/>
          </w:tcPr>
          <w:p>
            <w:pPr>
              <w:spacing w:after="40"/>
            </w:pPr>
            <w:r>
              <w:rPr>
                <w:rFonts w:ascii="Arial" w:hAnsi="Arial"/>
                <w:sz w:val="17"/>
              </w:rPr>
              <w:t>No publishable PlagiarismSearch-owned numeric AI accuracy/false-positive benchmark is approved.</w:t>
            </w:r>
          </w:p>
        </w:tc>
      </w:tr>
      <w:tr>
        <w:tc>
          <w:tcPr>
            <w:tcW w:type="dxa" w:w="5083"/>
            <w:tcMar>
              <w:top w:w="80" w:type="dxa"/>
              <w:start w:w="100" w:type="dxa"/>
              <w:bottom w:w="80" w:type="dxa"/>
              <w:end w:w="100" w:type="dxa"/>
            </w:tcMar>
            <w:vAlign w:val="top"/>
          </w:tcPr>
          <w:p>
            <w:pPr>
              <w:spacing w:after="40"/>
            </w:pPr>
            <w:r>
              <w:rPr>
                <w:rFonts w:ascii="Arial" w:hAnsi="Arial"/>
                <w:sz w:val="17"/>
              </w:rPr>
              <w:t>Named AI model coverage</w:t>
            </w:r>
          </w:p>
        </w:tc>
        <w:tc>
          <w:tcPr>
            <w:tcW w:type="dxa" w:w="5083"/>
            <w:tcMar>
              <w:top w:w="80" w:type="dxa"/>
              <w:start w:w="100" w:type="dxa"/>
              <w:bottom w:w="80" w:type="dxa"/>
              <w:end w:w="100" w:type="dxa"/>
            </w:tcMar>
            <w:vAlign w:val="top"/>
          </w:tcPr>
          <w:p>
            <w:pPr>
              <w:spacing w:after="40"/>
            </w:pPr>
            <w:r>
              <w:rPr>
                <w:rFonts w:ascii="Arial" w:hAnsi="Arial"/>
                <w:sz w:val="17"/>
              </w:rPr>
              <w:t>Not approved for publication. Do not name GPT-5, Claude, Gemini, LLaMA, Mistral or other model families as guaranteed supported/detected models.</w:t>
            </w:r>
          </w:p>
        </w:tc>
      </w:tr>
      <w:tr>
        <w:tc>
          <w:tcPr>
            <w:tcW w:type="dxa" w:w="5083"/>
            <w:tcMar>
              <w:top w:w="80" w:type="dxa"/>
              <w:start w:w="100" w:type="dxa"/>
              <w:bottom w:w="80" w:type="dxa"/>
              <w:end w:w="100" w:type="dxa"/>
            </w:tcMar>
            <w:vAlign w:val="top"/>
          </w:tcPr>
          <w:p>
            <w:pPr>
              <w:spacing w:after="40"/>
            </w:pPr>
            <w:r>
              <w:rPr>
                <w:rFonts w:ascii="Arial" w:hAnsi="Arial"/>
                <w:sz w:val="17"/>
              </w:rPr>
              <w:t>User-scale proof</w:t>
            </w:r>
          </w:p>
        </w:tc>
        <w:tc>
          <w:tcPr>
            <w:tcW w:type="dxa" w:w="5083"/>
            <w:tcMar>
              <w:top w:w="80" w:type="dxa"/>
              <w:start w:w="100" w:type="dxa"/>
              <w:bottom w:w="80" w:type="dxa"/>
              <w:end w:w="100" w:type="dxa"/>
            </w:tcMar>
            <w:vAlign w:val="top"/>
          </w:tcPr>
          <w:p>
            <w:pPr>
              <w:spacing w:after="40"/>
            </w:pPr>
            <w:r>
              <w:rPr>
                <w:rFonts w:ascii="Arial" w:hAnsi="Arial"/>
                <w:sz w:val="17"/>
              </w:rPr>
              <w:t>500,000+ users is approved as a PlagiarismSearch-wide user-scale claim. Do not call them 500,000+ customers and do not present this number as AI-detector-only adoption.</w:t>
            </w:r>
          </w:p>
        </w:tc>
      </w:tr>
    </w:tbl>
    <w:p>
      <w:pPr>
        <w:pStyle w:val="Heading1"/>
      </w:pPr>
      <w:r>
        <w:t>GLOBAL FORBIDDEN CLAIMS / ARTIFACTS</w:t>
      </w:r>
    </w:p>
    <w:p>
      <w:pPr>
        <w:pStyle w:val="ListBullet"/>
      </w:pPr>
      <w:r>
        <w:t>Most accurate / 99% / 99.9% / proven high accuracy / highest accuracy against competitors.</w:t>
      </w:r>
    </w:p>
    <w:p>
      <w:pPr>
        <w:pStyle w:val="ListBullet"/>
      </w:pPr>
      <w:r>
        <w:t>Detects GPT-5 / Claude / Gemini / LLaMA / Mistral / named model lists unless separately approved later.</w:t>
      </w:r>
    </w:p>
    <w:p>
      <w:pPr>
        <w:pStyle w:val="ListBullet"/>
      </w:pPr>
      <w:r>
        <w:t>Proves who wrote the text / proves AI use / proves cheating / certifies human authorship / guarantees authenticity.</w:t>
      </w:r>
    </w:p>
    <w:p>
      <w:pPr>
        <w:pStyle w:val="ListBullet"/>
      </w:pPr>
      <w:r>
        <w:t>AI-generated text is plagiarism or low plagiarism means human-written.</w:t>
      </w:r>
    </w:p>
    <w:p>
      <w:pPr>
        <w:pStyle w:val="ListBullet"/>
      </w:pPr>
      <w:r>
        <w:t>No data storage / never stored anywhere / never leaves your browser / external-provider claims.</w:t>
      </w:r>
    </w:p>
    <w:p>
      <w:pPr>
        <w:pStyle w:val="ListBullet"/>
      </w:pPr>
      <w:r>
        <w:t>GDPR-compliant, military-grade, faultless security or similar security/legal absolutes unless separately approved.</w:t>
      </w:r>
    </w:p>
    <w:p>
      <w:pPr>
        <w:pStyle w:val="ListBullet"/>
      </w:pPr>
      <w:r>
        <w:t>Results in seconds or any unverified speed/SLA claim.</w:t>
      </w:r>
    </w:p>
    <w:p>
      <w:pPr>
        <w:pStyle w:val="ListBullet"/>
      </w:pPr>
      <w:r>
        <w:t>24/7 instant support unless separately confirmed.</w:t>
      </w:r>
    </w:p>
    <w:p>
      <w:pPr>
        <w:pStyle w:val="ListBullet"/>
      </w:pPr>
      <w:r>
        <w:t>1,000 AI words daily free.</w:t>
      </w:r>
    </w:p>
    <w:p>
      <w:pPr>
        <w:pStyle w:val="ListBullet"/>
      </w:pPr>
      <w:r>
        <w:t>150 AI words free without an account.</w:t>
      </w:r>
    </w:p>
    <w:p>
      <w:pPr>
        <w:pStyle w:val="ListBullet"/>
      </w:pPr>
      <w:r>
        <w:t>All users have API access / every user has an API key / separate AI Content Detector API product.</w:t>
      </w:r>
    </w:p>
    <w:p>
      <w:pPr>
        <w:pStyle w:val="ListBullet"/>
      </w:pPr>
      <w:r>
        <w:t>Plagiarism-processing status strings inside the AI-only workflow (for example: “submitted for plagiarism check,” “check against billions of web pages,” or similar).</w:t>
      </w:r>
    </w:p>
    <w:p>
      <w:pPr>
        <w:pStyle w:val="ListBullet"/>
      </w:pPr>
      <w:r>
        <w:t>A Plagiarism percentage inside the AI-only report demo.</w:t>
      </w:r>
    </w:p>
    <w:p>
      <w:pPr>
        <w:pStyle w:val="ListBullet"/>
      </w:pPr>
      <w:r>
        <w:t>Generic audience-swapped SEO sections (“AI detector for students / teachers / writers / marketers / bloggers / SEO”) unless a later approved decision adds a genuinely distinct workflow.</w:t>
      </w:r>
    </w:p>
    <w:p>
      <w:pPr>
        <w:pStyle w:val="Heading1"/>
      </w:pPr>
      <w:r>
        <w:t>HERO / REAL AI CHECKER — IMPLEMENTATION RULE</w:t>
      </w:r>
    </w:p>
    <w:p>
      <w:r>
        <w:t>The real AI checker is the dominant above-the-fold product object. Do not replace it with a decorative report, stock illustration or static fake tool. Paste and document upload must both be visually obvious.</w:t>
      </w:r>
    </w:p>
    <w:p>
      <w:pPr>
        <w:pStyle w:val="Heading2"/>
      </w:pPr>
      <w:r>
        <w:t>Authentication / free-credit behavior</w:t>
      </w:r>
    </w:p>
    <w:p>
      <w:r>
        <w:t>Do not promise an anonymous free AI scan. The approved free AI allowance begins with account creation. An unauthenticated user may enter/paste/upload content in the public tool, but running the AI check must use the existing PlagiarismSearch authentication gate. Use the existing account flow rather than inventing a new entitlement flow.</w:t>
      </w:r>
    </w:p>
    <w:p>
      <w:pPr>
        <w:pStyle w:val="ListBullet"/>
      </w:pPr>
      <w:r>
        <w:t>Create account destination/flow: /account/signup?from=/ai-content-detector (or the equivalent existing shared auth action if the implementation opens the same route in a modal).</w:t>
      </w:r>
    </w:p>
    <w:p>
      <w:pPr>
        <w:pStyle w:val="ListBullet"/>
      </w:pPr>
      <w:r>
        <w:t>Login destination/flow: /account/login?from=/ai-content-detector (or the equivalent existing shared auth action).</w:t>
      </w:r>
    </w:p>
    <w:p>
      <w:pPr>
        <w:pStyle w:val="ListBullet"/>
      </w:pPr>
      <w:r>
        <w:t>Do not label the one-time 1,000-word registration credit as daily, recurring, AI-only, or an anonymous allowance.</w:t>
      </w:r>
    </w:p>
    <w:p>
      <w:pPr>
        <w:pStyle w:val="ListBullet"/>
      </w:pPr>
      <w:r>
        <w:t>Authenticated balance/remaining-word displays must come from real account/backend state. Do not hardcode “1,000” as the permanent tool maximum or balance.</w:t>
      </w:r>
    </w:p>
    <w:p>
      <w:pPr>
        <w:pStyle w:val="ListBullet"/>
      </w:pPr>
      <w:r>
        <w:t>If the user does not have enough AI words, show the approved insufficient-balance state and send the user to #ai-pricing.</w:t>
      </w:r>
    </w:p>
    <w:p>
      <w:pPr>
        <w:pStyle w:val="Heading1"/>
      </w:pPr>
      <w:r>
        <w:t>AI-ONLY REPORT DEMO RULE</w:t>
      </w:r>
    </w:p>
    <w:p>
      <w:r>
        <w:t>The report block is the signature evidence section. Use one truthful precomputed AI-only report based on the actual product. The approved real report screenshot/state is required for final visual QA. Do not fabricate a polished report from the designer mock.</w:t>
      </w:r>
    </w:p>
    <w:p>
      <w:pPr>
        <w:pStyle w:val="ListBullet"/>
      </w:pPr>
      <w:r>
        <w:t>Required report concepts: AI Probability, Total AI Rate, highlighted passages, passage-level AI probability where shown by the real product.</w:t>
      </w:r>
    </w:p>
    <w:p>
      <w:pPr>
        <w:pStyle w:val="ListBullet"/>
      </w:pPr>
      <w:r>
        <w:t>Do not show Plagiarism %, similarity/source matches or plagiarism-only controls in this AI-only demo.</w:t>
      </w:r>
    </w:p>
    <w:p>
      <w:pPr>
        <w:pStyle w:val="ListBullet"/>
      </w:pPr>
      <w:r>
        <w:t>Do not invent report colors, thresholds, labels, values, probabilities or interaction mechanics.</w:t>
      </w:r>
    </w:p>
    <w:p>
      <w:pPr>
        <w:pStyle w:val="ListBullet"/>
      </w:pPr>
      <w:r>
        <w:t>If the final approved real report asset has not yet been supplied, use explicit placeholders such as [REAL AI PROBABILITY FROM APPROVED REPORT] rather than invented numbers. Final implementation is not considered done until the real asset/state is used.</w:t>
      </w:r>
    </w:p>
    <w:p>
      <w:pPr>
        <w:pStyle w:val="ListBullet"/>
      </w:pPr>
      <w:r>
        <w:t>Any hover/click behavior must mirror a real product behavior. If the real report allows selecting a highlighted passage to expose its probability/context, reproduce that; otherwise keep the demo static rather than inventing interaction.</w:t>
      </w:r>
    </w:p>
    <w:p>
      <w:pPr>
        <w:pStyle w:val="Heading1"/>
      </w:pPr>
      <w:r>
        <w:t>DYNAMIC / BACKEND DATA RULE</w:t>
      </w:r>
    </w:p>
    <w:p>
      <w:r>
        <w:t>The following must not become permanent hardcoded production constants:</w:t>
      </w:r>
    </w:p>
    <w:p>
      <w:pPr>
        <w:pStyle w:val="ListBullet"/>
      </w:pPr>
      <w:r>
        <w:t>Current AI pricing values and billing metadata (prototype may show the approved current values below; production uses the authoritative pricing/backend source).</w:t>
      </w:r>
    </w:p>
    <w:p>
      <w:pPr>
        <w:pStyle w:val="ListBullet"/>
      </w:pPr>
      <w:r>
        <w:t>Authenticated AI word balance, remaining allowance, entitlements and insufficient-balance logic.</w:t>
      </w:r>
    </w:p>
    <w:p>
      <w:pPr>
        <w:pStyle w:val="ListBullet"/>
      </w:pPr>
      <w:r>
        <w:t>Real report metric values used in the demo.</w:t>
      </w:r>
    </w:p>
    <w:p>
      <w:pPr>
        <w:pStyle w:val="ListBullet"/>
      </w:pPr>
      <w:r>
        <w:t>Any future exact exhaustive file-extension / size / count allow-list.</w:t>
      </w:r>
    </w:p>
    <w:p>
      <w:pPr>
        <w:pStyle w:val="ListBullet"/>
      </w:pPr>
      <w:r>
        <w:t>API entitlement/access details not already approved in this brief.</w:t>
      </w:r>
    </w:p>
    <w:p>
      <w:pPr>
        <w:pStyle w:val="ListBullet"/>
      </w:pPr>
      <w:r>
        <w:t>Any future review/rating figures if a visual designer tries to add them — this brief does not require an AI reviews block.</w:t>
      </w:r>
    </w:p>
    <w:p>
      <w:pPr>
        <w:pStyle w:val="Heading1"/>
      </w:pPr>
      <w:r>
        <w:t>SEO / HTML / URL REQUIREMENTS</w:t>
      </w:r>
    </w:p>
    <w:p>
      <w:pPr>
        <w:pStyle w:val="ListBullet"/>
      </w:pPr>
      <w:r>
        <w:t>Preserve URL: https://plagiarismsearch.com/ai-content-detector.</w:t>
      </w:r>
    </w:p>
    <w:p>
      <w:pPr>
        <w:pStyle w:val="ListBullet"/>
      </w:pPr>
      <w:r>
        <w:t>Self-canonical to /ai-content-detector. Do not redirect, canonicalize away or rename this URL.</w:t>
      </w:r>
    </w:p>
    <w:p>
      <w:pPr>
        <w:pStyle w:val="ListBullet"/>
      </w:pPr>
      <w:r>
        <w:t>Exactly one visible H1: “AI Detector for Text and Documents”.</w:t>
      </w:r>
    </w:p>
    <w:p>
      <w:pPr>
        <w:pStyle w:val="ListBullet"/>
      </w:pPr>
      <w:r>
        <w:t>Keep important page copy in rendered HTML. Do not make essential headings/answers/report explanations JS-only.</w:t>
      </w:r>
    </w:p>
    <w:p>
      <w:pPr>
        <w:pStyle w:val="ListBullet"/>
      </w:pPr>
      <w:r>
        <w:t>FAQ answers must exist in rendered HTML even when presented in an accessible accordion.</w:t>
      </w:r>
    </w:p>
    <w:p>
      <w:pPr>
        <w:pStyle w:val="ListBullet"/>
      </w:pPr>
      <w:r>
        <w:t>Approved editorial links must use real crawlable &lt;a href&gt; destinations.</w:t>
      </w:r>
    </w:p>
    <w:p>
      <w:pPr>
        <w:pStyle w:val="ListBullet"/>
      </w:pPr>
      <w:r>
        <w:t>Use clean production routes. Prototype .html URLs must not ship in production links.</w:t>
      </w:r>
    </w:p>
    <w:p>
      <w:pPr>
        <w:pStyle w:val="ListBullet"/>
      </w:pPr>
      <w:r>
        <w:t>Do not create new SEO landing URLs, model pages, audience pages, “AI API” pages, or an integrations hub from this brief.</w:t>
      </w:r>
    </w:p>
    <w:p>
      <w:pPr>
        <w:pStyle w:val="ListBullet"/>
      </w:pPr>
      <w:r>
        <w:t>Do not add Review/AggregateRating schema or rating claims merely because the old page had review markup. Only retain structured data that is valid for the actual page/content and verified by the implementation team.</w:t>
      </w:r>
    </w:p>
    <w:p>
      <w:pPr>
        <w:pStyle w:val="ListBullet"/>
      </w:pPr>
      <w:r>
        <w:t>Do not change the approved global language/hreflang/navigation architecture from this page task.</w:t>
      </w:r>
    </w:p>
    <w:p>
      <w:pPr>
        <w:pStyle w:val="Heading1"/>
      </w:pPr>
      <w:r>
        <w:t>BODY INTERNAL-LINK POLICY</w:t>
      </w:r>
    </w:p>
    <w:p>
      <w:r>
        <w:t>Keep the AI page semantically concentrated. Approved editorial destinations are intentionally narrow: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AF7"/>
            <w:vAlign w:val="top"/>
          </w:tcPr>
          <w:p>
            <w:pPr>
              <w:spacing w:after="40"/>
            </w:pPr>
            <w:r>
              <w:rPr>
                <w:rFonts w:ascii="Arial" w:hAnsi="Arial"/>
                <w:sz w:val="17"/>
              </w:rPr>
              <w:t>Visible anchor/CTA</w:t>
            </w:r>
          </w:p>
        </w:tc>
        <w:tc>
          <w:tcPr>
            <w:tcW w:type="dxa" w:w="3389"/>
            <w:shd w:fill="DCEAF7"/>
            <w:vAlign w:val="top"/>
          </w:tcPr>
          <w:p>
            <w:pPr>
              <w:spacing w:after="40"/>
            </w:pPr>
            <w:r>
              <w:rPr>
                <w:rFonts w:ascii="Arial" w:hAnsi="Arial"/>
                <w:sz w:val="17"/>
              </w:rPr>
              <w:t>Destination</w:t>
            </w:r>
          </w:p>
        </w:tc>
        <w:tc>
          <w:tcPr>
            <w:tcW w:type="dxa" w:w="3389"/>
            <w:shd w:fill="DCEAF7"/>
            <w:vAlign w:val="top"/>
          </w:tcPr>
          <w:p>
            <w:pPr>
              <w:spacing w:after="40"/>
            </w:pPr>
            <w:r>
              <w:rPr>
                <w:rFonts w:ascii="Arial" w:hAnsi="Arial"/>
                <w:sz w:val="17"/>
              </w:rPr>
              <w:t>Purpose</w:t>
            </w:r>
          </w:p>
        </w:tc>
      </w:tr>
      <w:tr>
        <w:tc>
          <w:tcPr>
            <w:tcW w:type="dxa" w:w="3389"/>
            <w:tcMar>
              <w:top w:w="80" w:type="dxa"/>
              <w:start w:w="100" w:type="dxa"/>
              <w:bottom w:w="80" w:type="dxa"/>
              <w:end w:w="100" w:type="dxa"/>
            </w:tcMar>
            <w:vAlign w:val="top"/>
          </w:tcPr>
          <w:p>
            <w:pPr>
              <w:spacing w:after="40"/>
            </w:pPr>
            <w:r>
              <w:rPr>
                <w:rFonts w:ascii="Arial" w:hAnsi="Arial"/>
                <w:sz w:val="17"/>
              </w:rPr>
              <w:t>Check for plagiarism</w:t>
            </w:r>
          </w:p>
        </w:tc>
        <w:tc>
          <w:tcPr>
            <w:tcW w:type="dxa" w:w="3389"/>
            <w:tcMar>
              <w:top w:w="80" w:type="dxa"/>
              <w:start w:w="100" w:type="dxa"/>
              <w:bottom w:w="80" w:type="dxa"/>
              <w:end w:w="100" w:type="dxa"/>
            </w:tcMar>
            <w:vAlign w:val="top"/>
          </w:tcPr>
          <w:p>
            <w:pPr>
              <w:spacing w:after="40"/>
            </w:pPr>
            <w:r>
              <w:rPr>
                <w:rFonts w:ascii="Arial" w:hAnsi="Arial"/>
                <w:sz w:val="17"/>
              </w:rPr>
              <w:t>/</w:t>
            </w:r>
          </w:p>
        </w:tc>
        <w:tc>
          <w:tcPr>
            <w:tcW w:type="dxa" w:w="3389"/>
            <w:tcMar>
              <w:top w:w="80" w:type="dxa"/>
              <w:start w:w="100" w:type="dxa"/>
              <w:bottom w:w="80" w:type="dxa"/>
              <w:end w:w="100" w:type="dxa"/>
            </w:tcMar>
            <w:vAlign w:val="top"/>
          </w:tcPr>
          <w:p>
            <w:pPr>
              <w:spacing w:after="40"/>
            </w:pPr>
            <w:r>
              <w:rPr>
                <w:rFonts w:ascii="Arial" w:hAnsi="Arial"/>
                <w:sz w:val="17"/>
              </w:rPr>
              <w:t>Single AI-vs-plagiarism distinction link.</w:t>
            </w:r>
          </w:p>
        </w:tc>
      </w:tr>
      <w:tr>
        <w:tc>
          <w:tcPr>
            <w:tcW w:type="dxa" w:w="3389"/>
            <w:tcMar>
              <w:top w:w="80" w:type="dxa"/>
              <w:start w:w="100" w:type="dxa"/>
              <w:bottom w:w="80" w:type="dxa"/>
              <w:end w:w="100" w:type="dxa"/>
            </w:tcMar>
            <w:vAlign w:val="top"/>
          </w:tcPr>
          <w:p>
            <w:pPr>
              <w:spacing w:after="40"/>
            </w:pPr>
            <w:r>
              <w:rPr>
                <w:rFonts w:ascii="Arial" w:hAnsi="Arial"/>
                <w:sz w:val="17"/>
              </w:rPr>
              <w:t>Read the Privacy Policy</w:t>
            </w:r>
          </w:p>
        </w:tc>
        <w:tc>
          <w:tcPr>
            <w:tcW w:type="dxa" w:w="3389"/>
            <w:tcMar>
              <w:top w:w="80" w:type="dxa"/>
              <w:start w:w="100" w:type="dxa"/>
              <w:bottom w:w="80" w:type="dxa"/>
              <w:end w:w="100" w:type="dxa"/>
            </w:tcMar>
            <w:vAlign w:val="top"/>
          </w:tcPr>
          <w:p>
            <w:pPr>
              <w:spacing w:after="40"/>
            </w:pPr>
            <w:r>
              <w:rPr>
                <w:rFonts w:ascii="Arial" w:hAnsi="Arial"/>
                <w:sz w:val="17"/>
              </w:rPr>
              <w:t>/policy</w:t>
            </w:r>
          </w:p>
        </w:tc>
        <w:tc>
          <w:tcPr>
            <w:tcW w:type="dxa" w:w="3389"/>
            <w:tcMar>
              <w:top w:w="80" w:type="dxa"/>
              <w:start w:w="100" w:type="dxa"/>
              <w:bottom w:w="80" w:type="dxa"/>
              <w:end w:w="100" w:type="dxa"/>
            </w:tcMar>
            <w:vAlign w:val="top"/>
          </w:tcPr>
          <w:p>
            <w:pPr>
              <w:spacing w:after="40"/>
            </w:pPr>
            <w:r>
              <w:rPr>
                <w:rFonts w:ascii="Arial" w:hAnsi="Arial"/>
                <w:sz w:val="17"/>
              </w:rPr>
              <w:t>Data handling / privacy.</w:t>
            </w:r>
          </w:p>
        </w:tc>
      </w:tr>
      <w:tr>
        <w:tc>
          <w:tcPr>
            <w:tcW w:type="dxa" w:w="3389"/>
            <w:tcMar>
              <w:top w:w="80" w:type="dxa"/>
              <w:start w:w="100" w:type="dxa"/>
              <w:bottom w:w="80" w:type="dxa"/>
              <w:end w:w="100" w:type="dxa"/>
            </w:tcMar>
            <w:vAlign w:val="top"/>
          </w:tcPr>
          <w:p>
            <w:pPr>
              <w:spacing w:after="40"/>
            </w:pPr>
            <w:r>
              <w:rPr>
                <w:rFonts w:ascii="Arial" w:hAnsi="Arial"/>
                <w:sz w:val="17"/>
              </w:rPr>
              <w:t>Explore the PlagiarismSearch API</w:t>
            </w:r>
          </w:p>
        </w:tc>
        <w:tc>
          <w:tcPr>
            <w:tcW w:type="dxa" w:w="3389"/>
            <w:tcMar>
              <w:top w:w="80" w:type="dxa"/>
              <w:start w:w="100" w:type="dxa"/>
              <w:bottom w:w="80" w:type="dxa"/>
              <w:end w:w="100" w:type="dxa"/>
            </w:tcMar>
            <w:vAlign w:val="top"/>
          </w:tcPr>
          <w:p>
            <w:pPr>
              <w:spacing w:after="40"/>
            </w:pPr>
            <w:r>
              <w:rPr>
                <w:rFonts w:ascii="Arial" w:hAnsi="Arial"/>
                <w:sz w:val="17"/>
              </w:rPr>
              <w:t>/plagiarism-api</w:t>
            </w:r>
          </w:p>
        </w:tc>
        <w:tc>
          <w:tcPr>
            <w:tcW w:type="dxa" w:w="3389"/>
            <w:tcMar>
              <w:top w:w="80" w:type="dxa"/>
              <w:start w:w="100" w:type="dxa"/>
              <w:bottom w:w="80" w:type="dxa"/>
              <w:end w:w="100" w:type="dxa"/>
            </w:tcMar>
            <w:vAlign w:val="top"/>
          </w:tcPr>
          <w:p>
            <w:pPr>
              <w:spacing w:after="40"/>
            </w:pPr>
            <w:r>
              <w:rPr>
                <w:rFonts w:ascii="Arial" w:hAnsi="Arial"/>
                <w:sz w:val="17"/>
              </w:rPr>
              <w:t>AI capability through the main API infrastructure.</w:t>
            </w:r>
          </w:p>
        </w:tc>
      </w:tr>
      <w:tr>
        <w:tc>
          <w:tcPr>
            <w:tcW w:type="dxa" w:w="3389"/>
            <w:tcMar>
              <w:top w:w="80" w:type="dxa"/>
              <w:start w:w="100" w:type="dxa"/>
              <w:bottom w:w="80" w:type="dxa"/>
              <w:end w:w="100" w:type="dxa"/>
            </w:tcMar>
            <w:vAlign w:val="top"/>
          </w:tcPr>
          <w:p>
            <w:pPr>
              <w:spacing w:after="40"/>
            </w:pPr>
            <w:r>
              <w:rPr>
                <w:rFonts w:ascii="Arial" w:hAnsi="Arial"/>
                <w:sz w:val="17"/>
              </w:rPr>
              <w:t>Visit the Help Center</w:t>
            </w:r>
          </w:p>
        </w:tc>
        <w:tc>
          <w:tcPr>
            <w:tcW w:type="dxa" w:w="3389"/>
            <w:tcMar>
              <w:top w:w="80" w:type="dxa"/>
              <w:start w:w="100" w:type="dxa"/>
              <w:bottom w:w="80" w:type="dxa"/>
              <w:end w:w="100" w:type="dxa"/>
            </w:tcMar>
            <w:vAlign w:val="top"/>
          </w:tcPr>
          <w:p>
            <w:pPr>
              <w:spacing w:after="40"/>
            </w:pPr>
            <w:r>
              <w:rPr>
                <w:rFonts w:ascii="Arial" w:hAnsi="Arial"/>
                <w:sz w:val="17"/>
              </w:rPr>
              <w:t>/faq-and-support</w:t>
            </w:r>
          </w:p>
        </w:tc>
        <w:tc>
          <w:tcPr>
            <w:tcW w:type="dxa" w:w="3389"/>
            <w:tcMar>
              <w:top w:w="80" w:type="dxa"/>
              <w:start w:w="100" w:type="dxa"/>
              <w:bottom w:w="80" w:type="dxa"/>
              <w:end w:w="100" w:type="dxa"/>
            </w:tcMar>
            <w:vAlign w:val="top"/>
          </w:tcPr>
          <w:p>
            <w:pPr>
              <w:spacing w:after="40"/>
            </w:pPr>
            <w:r>
              <w:rPr>
                <w:rFonts w:ascii="Arial" w:hAnsi="Arial"/>
                <w:sz w:val="17"/>
              </w:rPr>
              <w:t>Account/report/support follow-up.</w:t>
            </w:r>
          </w:p>
        </w:tc>
      </w:tr>
    </w:tbl>
    <w:p>
      <w:r>
        <w:t>Hero/final pricing/checker CTAs use same-page anchors and do not add new body destinations. Do not add body links to Students, Teachers, Universities, Organizations, Moodle, Canvas, Google Docs, VIP, Turnitin Alternative, Quote Checker, PDF Checker, PowerPoint Checker, auxiliary writing tools, removed Publishers/Journals/Manuscript/Writers routes, or arbitrary blog posts from this page task.</w:t>
      </w:r>
    </w:p>
    <w:p>
      <w:pPr>
        <w:pStyle w:val="Heading1"/>
      </w:pPr>
      <w:r>
        <w:t>HEADER / FOOTER / OUT OF SCOPE</w:t>
      </w:r>
    </w:p>
    <w:p>
      <w:r>
        <w:t>Global header/footer are governed by the already approved site navigation system and are not redesigned here. This task also does not redesign other language AI pages, the API page, Pricing page, full Help Center, reports product, or account/billing logic. Only the three exact adjacent Help Center AI FAQ corrections listed later are included as a P0 semantic hotfix.</w:t>
      </w:r>
    </w:p>
    <w:p>
      <w:pPr>
        <w:pStyle w:val="Heading1"/>
      </w:pPr>
      <w:r>
        <w:t>DEFINITION OF DONE</w:t>
      </w:r>
    </w:p>
    <w:p>
      <w:pPr>
        <w:pStyle w:val="ListBullet"/>
      </w:pPr>
      <w:r>
        <w:t>The page is unmistakably an AI Detector / AI Checker page, not a plagiarism or generic content-quality page.</w:t>
      </w:r>
    </w:p>
    <w:p>
      <w:pPr>
        <w:pStyle w:val="ListBullet"/>
      </w:pPr>
      <w:r>
        <w:t>The real paste/upload AI checker dominates above the fold.</w:t>
      </w:r>
    </w:p>
    <w:p>
      <w:pPr>
        <w:pStyle w:val="ListBullet"/>
      </w:pPr>
      <w:r>
        <w:t>File/document upload is visually prominent and not relegated to a minor icon.</w:t>
      </w:r>
    </w:p>
    <w:p>
      <w:pPr>
        <w:pStyle w:val="ListBullet"/>
      </w:pPr>
      <w:r>
        <w:t>All approved content sections below appear in the approved order.</w:t>
      </w:r>
    </w:p>
    <w:p>
      <w:pPr>
        <w:pStyle w:val="ListBullet"/>
      </w:pPr>
      <w:r>
        <w:t>All fixed copy and CTA labels match the approved baseline below.</w:t>
      </w:r>
    </w:p>
    <w:p>
      <w:pPr>
        <w:pStyle w:val="ListBullet"/>
      </w:pPr>
      <w:r>
        <w:t>The report demo is AI-only and uses a real approved product state; no Plagiarism percentage is shown.</w:t>
      </w:r>
    </w:p>
    <w:p>
      <w:pPr>
        <w:pStyle w:val="ListBullet"/>
      </w:pPr>
      <w:r>
        <w:t>AI Probability, Total AI Rate and highlighted passages are clearly distinguished.</w:t>
      </w:r>
    </w:p>
    <w:p>
      <w:pPr>
        <w:pStyle w:val="ListBullet"/>
      </w:pPr>
      <w:r>
        <w:t>The page never presents AI detection as proof of authorship or plagiarism.</w:t>
      </w:r>
    </w:p>
    <w:p>
      <w:pPr>
        <w:pStyle w:val="ListBullet"/>
      </w:pPr>
      <w:r>
        <w:t>The 1,000-word registration credit is described as one-time, not daily.</w:t>
      </w:r>
    </w:p>
    <w:p>
      <w:pPr>
        <w:pStyle w:val="ListBullet"/>
      </w:pPr>
      <w:r>
        <w:t>Data/privacy copy states PlagiarismSearch infrastructure + report retention/deletion correctly; “No data storage” is absent.</w:t>
      </w:r>
    </w:p>
    <w:p>
      <w:pPr>
        <w:pStyle w:val="ListBullet"/>
      </w:pPr>
      <w:r>
        <w:t>API copy uses the main /plagiarism-api product and does not promise universal API entitlement.</w:t>
      </w:r>
    </w:p>
    <w:p>
      <w:pPr>
        <w:pStyle w:val="ListBullet"/>
      </w:pPr>
      <w:r>
        <w:t>Pricing is accurate in the prototype and backend/data-driven in production.</w:t>
      </w:r>
    </w:p>
    <w:p>
      <w:pPr>
        <w:pStyle w:val="ListBullet"/>
      </w:pPr>
      <w:r>
        <w:t>FAQ content exists in rendered HTML.</w:t>
      </w:r>
    </w:p>
    <w:p>
      <w:pPr>
        <w:pStyle w:val="ListBullet"/>
      </w:pPr>
      <w:r>
        <w:t>Only the approved body destinations are added; no new SEO URLs are invented.</w:t>
      </w:r>
    </w:p>
    <w:p>
      <w:pPr>
        <w:pStyle w:val="ListBullet"/>
      </w:pPr>
      <w:r>
        <w:t>The three adjacent Help Center AI FAQ fixes are implemented or included in the same implementation QA batch.</w:t>
      </w:r>
    </w:p>
    <w:p>
      <w:pPr>
        <w:pStyle w:val="ListBullet"/>
      </w:pPr>
      <w:r>
        <w:t>Mobile/responsive behavior preserves the same information hierarchy and does not hide document upload, report interpretation or essential caveats.</w:t>
      </w:r>
    </w:p>
    <w:p>
      <w:pPr>
        <w:pStyle w:val="ListBullet"/>
      </w:pPr>
      <w:r>
        <w:t>No legacy plagiarism-specific AI form/status strings survive anywhere in the redesigned AI flow.</w:t>
      </w:r>
    </w:p>
    <w:p>
      <w:r>
        <w:rPr>
          <w:b/>
        </w:rPr>
        <w:t>================ APPROVED CONTENT BASELINE ================</w:t>
      </w:r>
    </w:p>
    <w:p>
      <w:pPr>
        <w:pStyle w:val="Title"/>
      </w:pPr>
      <w:r>
        <w:t>PLAGIARISMSEARCH EN AI DETECTOR — FINAL CONTENT SOURCE OF TRUTH</w:t>
      </w:r>
    </w:p>
    <w:p>
      <w:r>
        <w:rPr>
          <w:b/>
        </w:rPr>
        <w:t xml:space="preserve">Approved: </w:t>
      </w:r>
      <w:r>
        <w:rPr>
          <w:b w:val="0"/>
        </w:rPr>
        <w:t>2026-08-22</w:t>
      </w:r>
    </w:p>
    <w:p>
      <w:r>
        <w:rPr>
          <w:b/>
        </w:rPr>
        <w:t xml:space="preserve">URL: </w:t>
      </w:r>
      <w:r>
        <w:rPr>
          <w:b w:val="0"/>
        </w:rPr>
        <w:t>https://plagiarismsearch.com/ai-content-detector</w:t>
      </w:r>
    </w:p>
    <w:p>
      <w:r>
        <w:rPr>
          <w:b/>
        </w:rPr>
        <w:t xml:space="preserve">Status: </w:t>
      </w:r>
      <w:r>
        <w:rPr>
          <w:b w:val="0"/>
        </w:rPr>
        <w:t>APPROVED BASELINE — DEC-0038</w:t>
      </w:r>
    </w:p>
    <w:p>
      <w:pPr>
        <w:pStyle w:val="Heading2"/>
      </w:pPr>
      <w:r>
        <w:t>Purpose</w:t>
      </w:r>
    </w:p>
    <w:p>
      <w:r>
        <w:t>This is the final approved English content baseline for the redesigned AI Detector page. Visual execution may change composition, spacing, responsive behavior, animation and component styling, but must not change the approved semantic hierarchy, section order, product facts, claims, destinations, CTA hierarchy or copy without explicit approval.</w:t>
      </w:r>
    </w:p>
    <w:p>
      <w:pPr>
        <w:pStyle w:val="Heading1"/>
      </w:pPr>
      <w:r>
        <w:t>PAGE-LEVEL SEO</w:t>
      </w:r>
    </w:p>
    <w:p>
      <w:r>
        <w:rPr>
          <w:b/>
        </w:rPr>
        <w:t xml:space="preserve">Title: </w:t>
      </w:r>
      <w:r>
        <w:rPr>
          <w:b w:val="0"/>
        </w:rPr>
        <w:t>AI Detector &amp; AI Checker for Documents | PlagiarismSearch</w:t>
      </w:r>
    </w:p>
    <w:p>
      <w:r>
        <w:rPr>
          <w:b/>
        </w:rPr>
        <w:t xml:space="preserve">Meta description: </w:t>
      </w:r>
      <w:r>
        <w:rPr>
          <w:b w:val="0"/>
        </w:rPr>
        <w:t>Paste text or upload a document to check for AI-written content. Review AI Probability, Total AI Rate, and highlighted passages in one report.</w:t>
      </w:r>
    </w:p>
    <w:p>
      <w:r>
        <w:rPr>
          <w:b/>
        </w:rPr>
        <w:t xml:space="preserve">Canonical: </w:t>
      </w:r>
      <w:r>
        <w:rPr>
          <w:b w:val="0"/>
        </w:rPr>
        <w:t>Self-canonical to https://plagiarismsearch.com/ai-content-detector</w:t>
      </w:r>
    </w:p>
    <w:p>
      <w:r>
        <w:rPr>
          <w:b/>
        </w:rPr>
        <w:t xml:space="preserve">H1 rule: </w:t>
      </w:r>
      <w:r>
        <w:rPr>
          <w:b w:val="0"/>
        </w:rPr>
        <w:t>Exactly one visible H1: AI Detector for Text and Documents</w:t>
      </w:r>
    </w:p>
    <w:p>
      <w:r>
        <w:t>Do not lead the title/H1 with Free, Most Accurate, 99%, ChatGPT Detector, GPT-5 Detector, Humanizer, Authenticity Checker, Plagiarism Checker or unsupported model/accuracy language.</w:t>
      </w:r>
    </w:p>
    <w:p>
      <w:pPr>
        <w:pStyle w:val="Heading1"/>
      </w:pPr>
      <w:r>
        <w:t>SECTION 1 — HERO + REAL AI CHECKER</w:t>
      </w:r>
    </w:p>
    <w:p>
      <w:pPr>
        <w:pStyle w:val="SpecLabel"/>
      </w:pPr>
      <w:r>
        <w:t>Anchor</w:t>
      </w:r>
    </w:p>
    <w:p>
      <w:r>
        <w:t>#ai-checker</w:t>
      </w:r>
    </w:p>
    <w:p>
      <w:pPr>
        <w:pStyle w:val="SpecLabel"/>
      </w:pPr>
      <w:r>
        <w:t>H1</w:t>
      </w:r>
    </w:p>
    <w:p>
      <w:r>
        <w:t>AI Detector for Text and Documents</w:t>
      </w:r>
    </w:p>
    <w:p>
      <w:pPr>
        <w:pStyle w:val="SpecLabel"/>
      </w:pPr>
      <w:r>
        <w:t>Supporting copy</w:t>
      </w:r>
    </w:p>
    <w:p>
      <w:r>
        <w:t>Paste text or upload a document to review AI-writing signals in a report that separates overall AI likelihood from the share and location of flagged passages.</w:t>
      </w:r>
    </w:p>
    <w:p>
      <w:pPr>
        <w:pStyle w:val="Heading2"/>
      </w:pPr>
      <w:r>
        <w:t>Checker copy</w:t>
      </w:r>
    </w:p>
    <w:p>
      <w:r>
        <w:rPr>
          <w:b/>
        </w:rPr>
        <w:t xml:space="preserve">Tool heading: </w:t>
      </w:r>
      <w:r>
        <w:rPr>
          <w:b w:val="0"/>
        </w:rPr>
        <w:t>Paste text or upload a document</w:t>
      </w:r>
    </w:p>
    <w:p>
      <w:r>
        <w:rPr>
          <w:b/>
        </w:rPr>
        <w:t xml:space="preserve">Text-area placeholder: </w:t>
      </w:r>
      <w:r>
        <w:rPr>
          <w:b w:val="0"/>
        </w:rPr>
        <w:t>Paste your text here…</w:t>
      </w:r>
    </w:p>
    <w:p>
      <w:r>
        <w:rPr>
          <w:b/>
        </w:rPr>
        <w:t xml:space="preserve">Text guidance: </w:t>
      </w:r>
      <w:r>
        <w:rPr>
          <w:b w:val="0"/>
        </w:rPr>
        <w:t>Minimum: 100 characters. For a more reliable result, we recommend 150–200 words or more.</w:t>
      </w:r>
    </w:p>
    <w:p>
      <w:r>
        <w:rPr>
          <w:b/>
        </w:rPr>
        <w:t xml:space="preserve">Upload area: </w:t>
      </w:r>
      <w:r>
        <w:rPr>
          <w:b w:val="0"/>
        </w:rPr>
        <w:t>Drag and drop a document here</w:t>
      </w:r>
    </w:p>
    <w:p>
      <w:r>
        <w:rPr>
          <w:b/>
        </w:rPr>
        <w:t xml:space="preserve">Upload button: </w:t>
      </w:r>
      <w:r>
        <w:rPr>
          <w:b w:val="0"/>
        </w:rPr>
        <w:t>Upload file</w:t>
      </w:r>
    </w:p>
    <w:p>
      <w:pPr>
        <w:pStyle w:val="SpecLabel"/>
      </w:pPr>
      <w:r>
        <w:t>Existing input methods that must remain available when supported by the real AI flow</w:t>
      </w:r>
    </w:p>
    <w:p>
      <w:pPr>
        <w:pStyle w:val="ListBullet"/>
      </w:pPr>
      <w:r>
        <w:t>Dropbox</w:t>
      </w:r>
    </w:p>
    <w:p>
      <w:pPr>
        <w:pStyle w:val="ListBullet"/>
      </w:pPr>
      <w:r>
        <w:t>OneDrive</w:t>
      </w:r>
    </w:p>
    <w:p>
      <w:pPr>
        <w:pStyle w:val="ListBullet"/>
      </w:pPr>
      <w:r>
        <w:t>Attach file</w:t>
      </w:r>
    </w:p>
    <w:p>
      <w:pPr>
        <w:pStyle w:val="ListBullet"/>
      </w:pPr>
      <w:r>
        <w:t>By URL</w:t>
      </w:r>
    </w:p>
    <w:p>
      <w:r>
        <w:rPr>
          <w:b/>
        </w:rPr>
        <w:t xml:space="preserve">Primary checker CTA: </w:t>
      </w:r>
      <w:r>
        <w:rPr>
          <w:b w:val="0"/>
        </w:rPr>
        <w:t>Check for AI</w:t>
      </w:r>
    </w:p>
    <w:p>
      <w:r>
        <w:rPr>
          <w:b/>
        </w:rPr>
        <w:t xml:space="preserve">Secondary hero link: </w:t>
      </w:r>
      <w:r>
        <w:rPr>
          <w:b w:val="0"/>
        </w:rPr>
        <w:t>View AI pricing → #ai-pricing</w:t>
      </w:r>
    </w:p>
    <w:p>
      <w:pPr>
        <w:pStyle w:val="Heading2"/>
      </w:pPr>
      <w:r>
        <w:t>Required tool states</w:t>
      </w:r>
    </w:p>
    <w:p>
      <w:r>
        <w:rPr>
          <w:b/>
        </w:rPr>
        <w:t xml:space="preserve">Too-short pasted text: </w:t>
      </w:r>
      <w:r>
        <w:rPr>
          <w:b w:val="0"/>
        </w:rPr>
        <w:t>Please enter at least 100 characters or upload a document.</w:t>
      </w:r>
    </w:p>
    <w:p>
      <w:r>
        <w:rPr>
          <w:b/>
        </w:rPr>
        <w:t xml:space="preserve">Unreadable file: </w:t>
      </w:r>
      <w:r>
        <w:rPr>
          <w:b w:val="0"/>
        </w:rPr>
        <w:t>We couldn’t identify readable text in this file. Try another document or paste the text directly.</w:t>
      </w:r>
    </w:p>
    <w:p>
      <w:r>
        <w:rPr>
          <w:b/>
        </w:rPr>
        <w:t xml:space="preserve">Processing: </w:t>
      </w:r>
      <w:r>
        <w:rPr>
          <w:b w:val="0"/>
        </w:rPr>
        <w:t>Analyzing your text for AI-writing signals…</w:t>
      </w:r>
    </w:p>
    <w:p>
      <w:r>
        <w:rPr>
          <w:b/>
        </w:rPr>
        <w:t xml:space="preserve">Completed: </w:t>
      </w:r>
      <w:r>
        <w:rPr>
          <w:b w:val="0"/>
        </w:rPr>
        <w:t>Your AI report is ready.</w:t>
      </w:r>
    </w:p>
    <w:p>
      <w:r>
        <w:rPr>
          <w:b/>
        </w:rPr>
        <w:t xml:space="preserve">Insufficient AI balance: </w:t>
      </w:r>
      <w:r>
        <w:rPr>
          <w:b w:val="0"/>
        </w:rPr>
        <w:t>You don’t have enough AI words for this check.</w:t>
      </w:r>
    </w:p>
    <w:p>
      <w:r>
        <w:rPr>
          <w:b/>
        </w:rPr>
        <w:t xml:space="preserve">Insufficient-balance CTA: </w:t>
      </w:r>
      <w:r>
        <w:rPr>
          <w:b w:val="0"/>
        </w:rPr>
        <w:t>View AI pricing → #ai-pricing</w:t>
      </w:r>
    </w:p>
    <w:p>
      <w:pPr>
        <w:pStyle w:val="Heading2"/>
      </w:pPr>
      <w:r>
        <w:t>Registration / login state</w:t>
      </w:r>
    </w:p>
    <w:p>
      <w:r>
        <w:rPr>
          <w:b/>
        </w:rPr>
        <w:t xml:space="preserve">Heading: </w:t>
      </w:r>
      <w:r>
        <w:rPr>
          <w:b w:val="0"/>
        </w:rPr>
        <w:t>Create an account to run your AI check</w:t>
      </w:r>
    </w:p>
    <w:p>
      <w:r>
        <w:rPr>
          <w:b/>
        </w:rPr>
        <w:t xml:space="preserve">Copy: </w:t>
      </w:r>
      <w:r>
        <w:rPr>
          <w:b w:val="0"/>
        </w:rPr>
        <w:t>New accounts receive a one-time 1,000-word credit that can be used for AI or plagiarism checking.</w:t>
      </w:r>
    </w:p>
    <w:p>
      <w:r>
        <w:rPr>
          <w:b/>
        </w:rPr>
        <w:t xml:space="preserve">Primary CTA: </w:t>
      </w:r>
      <w:r>
        <w:rPr>
          <w:b w:val="0"/>
        </w:rPr>
        <w:t>Create free account</w:t>
      </w:r>
    </w:p>
    <w:p>
      <w:r>
        <w:rPr>
          <w:b/>
        </w:rPr>
        <w:t xml:space="preserve">Primary destination: </w:t>
      </w:r>
      <w:r>
        <w:rPr>
          <w:b w:val="0"/>
        </w:rPr>
        <w:t>/account/signup?from=/ai-content-detector</w:t>
      </w:r>
    </w:p>
    <w:p>
      <w:r>
        <w:rPr>
          <w:b/>
        </w:rPr>
        <w:t xml:space="preserve">Secondary text: </w:t>
      </w:r>
      <w:r>
        <w:rPr>
          <w:b w:val="0"/>
        </w:rPr>
        <w:t>Already have an account? Log in</w:t>
      </w:r>
    </w:p>
    <w:p>
      <w:r>
        <w:rPr>
          <w:b/>
        </w:rPr>
        <w:t xml:space="preserve">Login destination: </w:t>
      </w:r>
      <w:r>
        <w:rPr>
          <w:b w:val="0"/>
        </w:rPr>
        <w:t>/account/login?from=/ai-content-detector</w:t>
      </w:r>
    </w:p>
    <w:p>
      <w:pPr>
        <w:pStyle w:val="Heading2"/>
      </w:pPr>
      <w:r>
        <w:t>Compact product proof rail</w:t>
      </w:r>
    </w:p>
    <w:p>
      <w:r>
        <w:rPr>
          <w:b/>
        </w:rPr>
        <w:t xml:space="preserve">Item 1 heading: </w:t>
      </w:r>
      <w:r>
        <w:rPr>
          <w:b w:val="0"/>
        </w:rPr>
        <w:t>500,000+ users</w:t>
      </w:r>
    </w:p>
    <w:p>
      <w:r>
        <w:rPr>
          <w:b/>
        </w:rPr>
        <w:t xml:space="preserve">Item 1 support: </w:t>
      </w:r>
      <w:r>
        <w:rPr>
          <w:b w:val="0"/>
        </w:rPr>
        <w:t>Across PlagiarismSearch</w:t>
      </w:r>
    </w:p>
    <w:p>
      <w:r>
        <w:rPr>
          <w:b/>
        </w:rPr>
        <w:t xml:space="preserve">Item 2 heading: </w:t>
      </w:r>
      <w:r>
        <w:rPr>
          <w:b w:val="0"/>
        </w:rPr>
        <w:t>Processed on PlagiarismSearch infrastructure</w:t>
      </w:r>
    </w:p>
    <w:p>
      <w:r>
        <w:rPr>
          <w:b/>
        </w:rPr>
        <w:t xml:space="preserve">Item 2 support: </w:t>
      </w:r>
      <w:r>
        <w:rPr>
          <w:b w:val="0"/>
        </w:rPr>
        <w:t>Checked content is not sent to an external AI detector provider.</w:t>
      </w:r>
    </w:p>
    <w:p>
      <w:r>
        <w:rPr>
          <w:b/>
        </w:rPr>
        <w:t xml:space="preserve">Item 3 heading: </w:t>
      </w:r>
      <w:r>
        <w:rPr>
          <w:b w:val="0"/>
        </w:rPr>
        <w:t>Text or document</w:t>
      </w:r>
    </w:p>
    <w:p>
      <w:r>
        <w:rPr>
          <w:b/>
        </w:rPr>
        <w:t xml:space="preserve">Item 3 support: </w:t>
      </w:r>
      <w:r>
        <w:rPr>
          <w:b w:val="0"/>
        </w:rPr>
        <w:t>Paste text or upload a file for analysis.</w:t>
      </w:r>
    </w:p>
    <w:p>
      <w:pPr>
        <w:pStyle w:val="Heading2"/>
      </w:pPr>
      <w:r>
        <w:t>Hero rules</w:t>
      </w:r>
    </w:p>
    <w:p>
      <w:pPr>
        <w:pStyle w:val="ListBullet"/>
      </w:pPr>
      <w:r>
        <w:t>The real checker is the dominant visual object.</w:t>
      </w:r>
    </w:p>
    <w:p>
      <w:pPr>
        <w:pStyle w:val="ListBullet"/>
      </w:pPr>
      <w:r>
        <w:t>Do not use “Free check — up to 1,000 words daily.”</w:t>
      </w:r>
    </w:p>
    <w:p>
      <w:pPr>
        <w:pStyle w:val="ListBullet"/>
      </w:pPr>
      <w:r>
        <w:t>Do not use “150 words free — no account needed” for AI.</w:t>
      </w:r>
    </w:p>
    <w:p>
      <w:pPr>
        <w:pStyle w:val="ListBullet"/>
      </w:pPr>
      <w:r>
        <w:t>Do not hardcode a permanent 1,000-word counter/limit; account balances are state-driven.</w:t>
      </w:r>
    </w:p>
    <w:p>
      <w:pPr>
        <w:pStyle w:val="ListBullet"/>
      </w:pPr>
      <w:r>
        <w:t>Do not use plagiarism-specific upload/success/status text anywhere in the AI flow.</w:t>
      </w:r>
    </w:p>
    <w:p>
      <w:pPr>
        <w:pStyle w:val="ListBullet"/>
      </w:pPr>
      <w:r>
        <w:t>Do not add named-model chips, accuracy badges or unverified “fast/confidential” absolutes.</w:t>
      </w:r>
    </w:p>
    <w:p>
      <w:pPr>
        <w:pStyle w:val="Heading1"/>
      </w:pPr>
      <w:r>
        <w:t>SECTION 2 — SIGNATURE: AI-ONLY REPORT + METRIC EXPLANATION</w:t>
      </w:r>
    </w:p>
    <w:p>
      <w:pPr>
        <w:pStyle w:val="SpecLabel"/>
      </w:pPr>
      <w:r>
        <w:t>Anchor</w:t>
      </w:r>
    </w:p>
    <w:p>
      <w:r>
        <w:t>#ai-report</w:t>
      </w:r>
    </w:p>
    <w:p>
      <w:pPr>
        <w:pStyle w:val="SpecLabel"/>
      </w:pPr>
      <w:r>
        <w:t>H2</w:t>
      </w:r>
    </w:p>
    <w:p>
      <w:r>
        <w:t>Understand your AI detection report</w:t>
      </w:r>
    </w:p>
    <w:p>
      <w:pPr>
        <w:pStyle w:val="SpecLabel"/>
      </w:pPr>
      <w:r>
        <w:t>Intro</w:t>
      </w:r>
    </w:p>
    <w:p>
      <w:r>
        <w:t>A single percentage can be easy to misread. PlagiarismSearch separates the result into three levels so you can see what the detector says about the document as a whole, how much of the text is flagged, and where those signals appear.</w:t>
      </w:r>
    </w:p>
    <w:p>
      <w:pPr>
        <w:pStyle w:val="Heading2"/>
      </w:pPr>
      <w:r>
        <w:t>Metric 1</w:t>
      </w:r>
    </w:p>
    <w:p>
      <w:r>
        <w:rPr>
          <w:b/>
        </w:rPr>
        <w:t xml:space="preserve">Label: </w:t>
      </w:r>
      <w:r>
        <w:rPr>
          <w:b w:val="0"/>
        </w:rPr>
        <w:t>AI Probability</w:t>
      </w:r>
    </w:p>
    <w:p>
      <w:r>
        <w:t>The percentage likelihood that the analyzed text, considered as a whole, was AI-generated.</w:t>
      </w:r>
    </w:p>
    <w:p>
      <w:r>
        <w:rPr>
          <w:b/>
        </w:rPr>
        <w:t xml:space="preserve">Supporting label: </w:t>
      </w:r>
      <w:r>
        <w:rPr>
          <w:b w:val="0"/>
        </w:rPr>
        <w:t>Document-level likelihood</w:t>
      </w:r>
    </w:p>
    <w:p>
      <w:pPr>
        <w:pStyle w:val="Heading2"/>
      </w:pPr>
      <w:r>
        <w:t>Metric 2</w:t>
      </w:r>
    </w:p>
    <w:p>
      <w:r>
        <w:rPr>
          <w:b/>
        </w:rPr>
        <w:t xml:space="preserve">Label: </w:t>
      </w:r>
      <w:r>
        <w:rPr>
          <w:b w:val="0"/>
        </w:rPr>
        <w:t>Total AI Rate</w:t>
      </w:r>
    </w:p>
    <w:p>
      <w:r>
        <w:t>The share of the document made up of passages flagged as AI-generated.</w:t>
      </w:r>
    </w:p>
    <w:p>
      <w:r>
        <w:rPr>
          <w:b/>
        </w:rPr>
        <w:t xml:space="preserve">Supporting label: </w:t>
      </w:r>
      <w:r>
        <w:rPr>
          <w:b w:val="0"/>
        </w:rPr>
        <w:t>Share of flagged text</w:t>
      </w:r>
    </w:p>
    <w:p>
      <w:pPr>
        <w:pStyle w:val="Heading2"/>
      </w:pPr>
      <w:r>
        <w:t>Metric 3</w:t>
      </w:r>
    </w:p>
    <w:p>
      <w:r>
        <w:rPr>
          <w:b/>
        </w:rPr>
        <w:t xml:space="preserve">Label: </w:t>
      </w:r>
      <w:r>
        <w:rPr>
          <w:b w:val="0"/>
        </w:rPr>
        <w:t>Highlighted passages</w:t>
      </w:r>
    </w:p>
    <w:p>
      <w:r>
        <w:t>See where AI-writing signals appear in the document. Individual highlighted sentences or passages can show their own AI probability.</w:t>
      </w:r>
    </w:p>
    <w:p>
      <w:r>
        <w:rPr>
          <w:b/>
        </w:rPr>
        <w:t xml:space="preserve">Supporting label: </w:t>
      </w:r>
      <w:r>
        <w:rPr>
          <w:b w:val="0"/>
        </w:rPr>
        <w:t>Location and passage-level signal</w:t>
      </w:r>
    </w:p>
    <w:p>
      <w:pPr>
        <w:pStyle w:val="SpecLabel"/>
      </w:pPr>
      <w:r>
        <w:t>Critical interpretation callout</w:t>
      </w:r>
    </w:p>
    <w:p>
      <w:r>
        <w:t>AI Probability and Total AI Rate are not the same metric. AI Probability describes the document-level likelihood. Total AI Rate describes how much of the document is contained in passages flagged as AI-generated.</w:t>
      </w:r>
    </w:p>
    <w:p>
      <w:r>
        <w:t>These values are detection indicators, not proof of authorship.</w:t>
      </w:r>
    </w:p>
    <w:p>
      <w:pPr>
        <w:pStyle w:val="Heading2"/>
      </w:pPr>
      <w:r>
        <w:t>Report asset / implementation rules</w:t>
      </w:r>
    </w:p>
    <w:p>
      <w:pPr>
        <w:pStyle w:val="ListBullet"/>
      </w:pPr>
      <w:r>
        <w:t>Use a REAL APPROVED AI-ONLY report state/screenshot as the visual source of truth.</w:t>
      </w:r>
    </w:p>
    <w:p>
      <w:pPr>
        <w:pStyle w:val="ListBullet"/>
      </w:pPr>
      <w:r>
        <w:t>Do not show a Plagiarism percentage in this demo.</w:t>
      </w:r>
    </w:p>
    <w:p>
      <w:pPr>
        <w:pStyle w:val="ListBullet"/>
      </w:pPr>
      <w:r>
        <w:t>Do not invent values. Until a real asset is supplied, use [REAL AI PROBABILITY], [REAL TOTAL AI RATE] and [REAL PASSAGE-LEVEL AI PROBABILITY] placeholders.</w:t>
      </w:r>
    </w:p>
    <w:p>
      <w:pPr>
        <w:pStyle w:val="ListBullet"/>
      </w:pPr>
      <w:r>
        <w:t>Do not invent colors, thresholds, fields or interactions.</w:t>
      </w:r>
    </w:p>
    <w:p>
      <w:pPr>
        <w:pStyle w:val="Heading1"/>
      </w:pPr>
      <w:r>
        <w:t>SECTION 3 — DOCUMENT / FILE CHECKING</w:t>
      </w:r>
    </w:p>
    <w:p>
      <w:pPr>
        <w:pStyle w:val="SpecLabel"/>
      </w:pPr>
      <w:r>
        <w:t>Anchor</w:t>
      </w:r>
    </w:p>
    <w:p>
      <w:r>
        <w:t>#document-ai-checker</w:t>
      </w:r>
    </w:p>
    <w:p>
      <w:pPr>
        <w:pStyle w:val="SpecLabel"/>
      </w:pPr>
      <w:r>
        <w:t>H2</w:t>
      </w:r>
    </w:p>
    <w:p>
      <w:r>
        <w:t>Check AI-written text in complete documents</w:t>
      </w:r>
    </w:p>
    <w:p>
      <w:pPr>
        <w:pStyle w:val="SpecLabel"/>
      </w:pPr>
      <w:r>
        <w:t>Intro</w:t>
      </w:r>
    </w:p>
    <w:p>
      <w:r>
        <w:t>Paste text directly into the AI checker for a quick analysis, or upload a document when you want to review the text from a complete file. Document upload makes it easier to check longer essays, reports, articles, and other written work without copying the entire text into the editor.</w:t>
      </w:r>
    </w:p>
    <w:p>
      <w:pPr>
        <w:pStyle w:val="Heading2"/>
      </w:pPr>
      <w:r>
        <w:t>Paste text</w:t>
      </w:r>
    </w:p>
    <w:p>
      <w:r>
        <w:t>Use the editor when the text is already available to copy and paste. Pasted text must contain at least 100 characters.</w:t>
      </w:r>
    </w:p>
    <w:p>
      <w:pPr>
        <w:pStyle w:val="Heading2"/>
      </w:pPr>
      <w:r>
        <w:t>Upload a document</w:t>
      </w:r>
    </w:p>
    <w:p>
      <w:r>
        <w:t>Upload a supported document and let PlagiarismSearch extract the readable text for AI analysis.</w:t>
      </w:r>
    </w:p>
    <w:p>
      <w:pPr>
        <w:pStyle w:val="Heading2"/>
      </w:pPr>
      <w:r>
        <w:t>Give the detector enough context</w:t>
      </w:r>
    </w:p>
    <w:p>
      <w:r>
        <w:t>For a more reliable result, we recommend checking at least 150–200 words whenever possible. Longer samples give the detector more context than very short excerpts.</w:t>
      </w:r>
    </w:p>
    <w:p>
      <w:pPr>
        <w:pStyle w:val="Heading2"/>
      </w:pPr>
      <w:r>
        <w:t>Check text in different languages</w:t>
      </w:r>
    </w:p>
    <w:p>
      <w:r>
        <w:t>PlagiarismSearch can process text in any language. Detection accuracy is highest in English, so results in other languages should be interpreted with that limitation in mind.</w:t>
      </w:r>
    </w:p>
    <w:p>
      <w:pPr>
        <w:pStyle w:val="SpecLabel"/>
      </w:pPr>
      <w:r>
        <w:t>Rules</w:t>
      </w:r>
    </w:p>
    <w:p>
      <w:r>
        <w:t>Do not turn this into repetitive “AI detector for PDF / DOCX / PPT / students / teachers / writers” keyword cards. Do not publish an exhaustive extension list until the authoritative backend/UI allow-list is available.</w:t>
      </w:r>
    </w:p>
    <w:p>
      <w:pPr>
        <w:pStyle w:val="Heading1"/>
      </w:pPr>
      <w:r>
        <w:t>SECTION 4 — RESPONSIBLE INTERPRETATION</w:t>
      </w:r>
    </w:p>
    <w:p>
      <w:pPr>
        <w:pStyle w:val="SpecLabel"/>
      </w:pPr>
      <w:r>
        <w:t>Anchor</w:t>
      </w:r>
    </w:p>
    <w:p>
      <w:r>
        <w:t>#interpret-ai-results</w:t>
      </w:r>
    </w:p>
    <w:p>
      <w:pPr>
        <w:pStyle w:val="SpecLabel"/>
      </w:pPr>
      <w:r>
        <w:t>H2</w:t>
      </w:r>
    </w:p>
    <w:p>
      <w:r>
        <w:t>Use AI detection as a signal, not a verdict</w:t>
      </w:r>
    </w:p>
    <w:p>
      <w:r>
        <w:t>AI detection estimates patterns associated with AI-generated writing. It cannot prove who wrote a text or, by itself, establish that a person used AI.</w:t>
      </w:r>
    </w:p>
    <w:p>
      <w:r>
        <w:t>Review the document-level AI Probability together with Total AI Rate and the highlighted passages. Looking at these signals together provides more context than relying on a single percentage.</w:t>
      </w:r>
    </w:p>
    <w:p>
      <w:r>
        <w:t>Short samples give the detector less context, which is why we recommend 150–200 words or more whenever possible.</w:t>
      </w:r>
    </w:p>
    <w:p>
      <w:pPr>
        <w:pStyle w:val="SpecLabel"/>
      </w:pPr>
      <w:r>
        <w:t>Signature clarification callout</w:t>
      </w:r>
    </w:p>
    <w:p>
      <w:r>
        <w:t>A 70% AI Probability does not mean that 70% of the text was written by AI. AI Probability describes the likelihood for the document as a whole. Use Total AI Rate to understand the share of text contained in passages flagged as AI-generated.</w:t>
      </w:r>
    </w:p>
    <w:p>
      <w:pPr>
        <w:pStyle w:val="SpecLabel"/>
      </w:pPr>
      <w:r>
        <w:t>Consequential-use note</w:t>
      </w:r>
    </w:p>
    <w:p>
      <w:r>
        <w:t>If an AI result is being considered in an academic or other consequential review, use the report as one source of evidence and consider the surrounding context before making a decision.</w:t>
      </w:r>
    </w:p>
    <w:p>
      <w:pPr>
        <w:pStyle w:val="Heading1"/>
      </w:pPr>
      <w:r>
        <w:t>SECTION 5 — AI DETECTION VS PLAGIARISM</w:t>
      </w:r>
    </w:p>
    <w:p>
      <w:pPr>
        <w:pStyle w:val="SpecLabel"/>
      </w:pPr>
      <w:r>
        <w:t>Anchor</w:t>
      </w:r>
    </w:p>
    <w:p>
      <w:r>
        <w:t>#ai-vs-plagiarism</w:t>
      </w:r>
    </w:p>
    <w:p>
      <w:pPr>
        <w:pStyle w:val="SpecLabel"/>
      </w:pPr>
      <w:r>
        <w:t>H2</w:t>
      </w:r>
    </w:p>
    <w:p>
      <w:r>
        <w:t>AI-generated text and plagiarism are different</w:t>
      </w:r>
    </w:p>
    <w:p>
      <w:pPr>
        <w:pStyle w:val="SpecLabel"/>
      </w:pPr>
      <w:r>
        <w:t>Intro</w:t>
      </w:r>
    </w:p>
    <w:p>
      <w:r>
        <w:t>An AI detector and a plagiarism checker answer different questions.</w:t>
      </w:r>
    </w:p>
    <w:p>
      <w:pPr>
        <w:pStyle w:val="Heading2"/>
      </w:pPr>
      <w:r>
        <w:t>AI Detector</w:t>
      </w:r>
    </w:p>
    <w:p>
      <w:r>
        <w:t>AI detection estimates whether writing shows patterns associated with AI generation and highlights the parts of the text that contribute to the result.</w:t>
      </w:r>
    </w:p>
    <w:p>
      <w:pPr>
        <w:pStyle w:val="Heading2"/>
      </w:pPr>
      <w:r>
        <w:t>Plagiarism Checker</w:t>
      </w:r>
    </w:p>
    <w:p>
      <w:r>
        <w:t>Plagiarism checking compares text with available sources to identify matching or similar passages for review.</w:t>
      </w:r>
    </w:p>
    <w:p>
      <w:pPr>
        <w:pStyle w:val="SpecLabel"/>
      </w:pPr>
      <w:r>
        <w:t>Core clarification</w:t>
      </w:r>
    </w:p>
    <w:p>
      <w:r>
        <w:t>AI-generated text is not automatically plagiarism, and a matching source does not prove that AI was used.</w:t>
      </w:r>
    </w:p>
    <w:p>
      <w:r>
        <w:t>If you need both checks, run them as separate analyses and interpret each report according to what it measures.</w:t>
      </w:r>
    </w:p>
    <w:p>
      <w:r>
        <w:rPr>
          <w:b/>
        </w:rPr>
        <w:t xml:space="preserve">CTA: </w:t>
      </w:r>
      <w:r>
        <w:rPr>
          <w:b w:val="0"/>
        </w:rPr>
        <w:t>Check for plagiarism</w:t>
      </w:r>
    </w:p>
    <w:p>
      <w:r>
        <w:rPr>
          <w:b/>
        </w:rPr>
        <w:t xml:space="preserve">Destination: </w:t>
      </w:r>
      <w:r>
        <w:rPr>
          <w:b w:val="0"/>
        </w:rPr>
        <w:t>/</w:t>
      </w:r>
    </w:p>
    <w:p>
      <w:pPr>
        <w:pStyle w:val="SpecLabel"/>
      </w:pPr>
      <w:r>
        <w:t>Rule</w:t>
      </w:r>
    </w:p>
    <w:p>
      <w:r>
        <w:t>This is the only intended plagiarism-product cross-link in the page body. Do not add plagiarism database, plagiarism pricing, similarity-report screenshots, plagiarism status strings or other plagiarism-heavy modules to this AI page.</w:t>
      </w:r>
    </w:p>
    <w:p>
      <w:pPr>
        <w:pStyle w:val="Heading1"/>
      </w:pPr>
      <w:r>
        <w:t>SECTION 6 — AI DATA HANDLING / REPORT LIFECYCLE</w:t>
      </w:r>
    </w:p>
    <w:p>
      <w:pPr>
        <w:pStyle w:val="SpecLabel"/>
      </w:pPr>
      <w:r>
        <w:t>Anchor</w:t>
      </w:r>
    </w:p>
    <w:p>
      <w:r>
        <w:t>#ai-data-handling</w:t>
      </w:r>
    </w:p>
    <w:p>
      <w:pPr>
        <w:pStyle w:val="SpecLabel"/>
      </w:pPr>
      <w:r>
        <w:t>H2</w:t>
      </w:r>
    </w:p>
    <w:p>
      <w:r>
        <w:t>Your AI check is processed on PlagiarismSearch infrastructure</w:t>
      </w:r>
    </w:p>
    <w:p>
      <w:pPr>
        <w:pStyle w:val="SpecLabel"/>
      </w:pPr>
      <w:r>
        <w:t>Intro</w:t>
      </w:r>
    </w:p>
    <w:p>
      <w:r>
        <w:t>AI checks are processed on PlagiarismSearch infrastructure. Checked content is not sent to an external AI detector provider.</w:t>
      </w:r>
    </w:p>
    <w:p>
      <w:pPr>
        <w:pStyle w:val="Heading2"/>
      </w:pPr>
      <w:r>
        <w:t>Step 1 — Submit</w:t>
      </w:r>
    </w:p>
    <w:p>
      <w:r>
        <w:t>Paste text or upload a document for AI analysis.</w:t>
      </w:r>
    </w:p>
    <w:p>
      <w:pPr>
        <w:pStyle w:val="Heading2"/>
      </w:pPr>
      <w:r>
        <w:t>Step 2 — Process</w:t>
      </w:r>
    </w:p>
    <w:p>
      <w:r>
        <w:t>The AI check runs on PlagiarismSearch infrastructure without sending the checked content to an external AI detector provider.</w:t>
      </w:r>
    </w:p>
    <w:p>
      <w:pPr>
        <w:pStyle w:val="Heading2"/>
      </w:pPr>
      <w:r>
        <w:t>Step 3 — Review or delete</w:t>
      </w:r>
    </w:p>
    <w:p>
      <w:r>
        <w:t>The generated AI report may remain available in your account for convenience. You can permanently delete the report when you no longer need it.</w:t>
      </w:r>
    </w:p>
    <w:p>
      <w:pPr>
        <w:pStyle w:val="SpecLabel"/>
      </w:pPr>
      <w:r>
        <w:t>Supporting copy</w:t>
      </w:r>
    </w:p>
    <w:p>
      <w:r>
        <w:t>For broader information about account data and privacy practices, read the PlagiarismSearch Privacy Policy.</w:t>
      </w:r>
    </w:p>
    <w:p>
      <w:r>
        <w:rPr>
          <w:b/>
        </w:rPr>
        <w:t xml:space="preserve">CTA: </w:t>
      </w:r>
      <w:r>
        <w:rPr>
          <w:b w:val="0"/>
        </w:rPr>
        <w:t>Read the Privacy Policy</w:t>
      </w:r>
    </w:p>
    <w:p>
      <w:r>
        <w:rPr>
          <w:b/>
        </w:rPr>
        <w:t xml:space="preserve">Destination: </w:t>
      </w:r>
      <w:r>
        <w:rPr>
          <w:b w:val="0"/>
        </w:rPr>
        <w:t>/policy</w:t>
      </w:r>
    </w:p>
    <w:p>
      <w:pPr>
        <w:pStyle w:val="SpecLabel"/>
      </w:pPr>
      <w:r>
        <w:t>Rule</w:t>
      </w:r>
    </w:p>
    <w:p>
      <w:r>
        <w:t>Do not use “No data storage,” “never stored,” “never leaves your browser,” unverified deletion timing, external-provider language, or unsupported security/legal absolutes.</w:t>
      </w:r>
    </w:p>
    <w:p>
      <w:pPr>
        <w:pStyle w:val="Heading1"/>
      </w:pPr>
      <w:r>
        <w:t>SECTION 7 — AI DETECTION THROUGH THE API</w:t>
      </w:r>
    </w:p>
    <w:p>
      <w:pPr>
        <w:pStyle w:val="SpecLabel"/>
      </w:pPr>
      <w:r>
        <w:t>Anchor</w:t>
      </w:r>
    </w:p>
    <w:p>
      <w:r>
        <w:t>#ai-api</w:t>
      </w:r>
    </w:p>
    <w:p>
      <w:pPr>
        <w:pStyle w:val="SpecLabel"/>
      </w:pPr>
      <w:r>
        <w:t>H2</w:t>
      </w:r>
    </w:p>
    <w:p>
      <w:r>
        <w:t>Add AI detection to your own workflow</w:t>
      </w:r>
    </w:p>
    <w:p>
      <w:r>
        <w:t>AI checking is available through the same PlagiarismSearch API infrastructure used for the main service. It is not a separate AI API product.</w:t>
      </w:r>
    </w:p>
    <w:p>
      <w:r>
        <w:t>AI checks use AI-specific checking limits or credits within the API workflow. Use the main PlagiarismSearch API page to review current access options and implementation details.</w:t>
      </w:r>
    </w:p>
    <w:p>
      <w:r>
        <w:rPr>
          <w:b/>
        </w:rPr>
        <w:t xml:space="preserve">Primary CTA: </w:t>
      </w:r>
      <w:r>
        <w:rPr>
          <w:b w:val="0"/>
        </w:rPr>
        <w:t>Explore the PlagiarismSearch API</w:t>
      </w:r>
    </w:p>
    <w:p>
      <w:r>
        <w:rPr>
          <w:b/>
        </w:rPr>
        <w:t xml:space="preserve">Destination: </w:t>
      </w:r>
      <w:r>
        <w:rPr>
          <w:b w:val="0"/>
        </w:rPr>
        <w:t>/plagiarism-api</w:t>
      </w:r>
    </w:p>
    <w:p>
      <w:pPr>
        <w:pStyle w:val="SpecLabel"/>
      </w:pPr>
      <w:r>
        <w:t>Forbidden API wording</w:t>
      </w:r>
    </w:p>
    <w:p>
      <w:pPr>
        <w:pStyle w:val="ListBullet"/>
      </w:pPr>
      <w:r>
        <w:t>AI Content Detector API as a standalone product</w:t>
      </w:r>
    </w:p>
    <w:p>
      <w:pPr>
        <w:pStyle w:val="ListBullet"/>
      </w:pPr>
      <w:r>
        <w:t>All users have API access</w:t>
      </w:r>
    </w:p>
    <w:p>
      <w:pPr>
        <w:pStyle w:val="ListBullet"/>
      </w:pPr>
      <w:r>
        <w:t>Every account includes an API key</w:t>
      </w:r>
    </w:p>
    <w:p>
      <w:pPr>
        <w:pStyle w:val="ListBullet"/>
      </w:pPr>
      <w:r>
        <w:t>Request your unique AI API proposal</w:t>
      </w:r>
    </w:p>
    <w:p>
      <w:pPr>
        <w:pStyle w:val="Heading1"/>
      </w:pPr>
      <w:r>
        <w:t>SECTION 8 — AI PRICING</w:t>
      </w:r>
    </w:p>
    <w:p>
      <w:pPr>
        <w:pStyle w:val="SpecLabel"/>
      </w:pPr>
      <w:r>
        <w:t>Anchor</w:t>
      </w:r>
    </w:p>
    <w:p>
      <w:r>
        <w:t>#ai-pricing</w:t>
      </w:r>
    </w:p>
    <w:p>
      <w:pPr>
        <w:pStyle w:val="SpecLabel"/>
      </w:pPr>
      <w:r>
        <w:t>H2</w:t>
      </w:r>
    </w:p>
    <w:p>
      <w:r>
        <w:t>Choose an AI word package for your checking volume</w:t>
      </w:r>
    </w:p>
    <w:p>
      <w:pPr>
        <w:pStyle w:val="SpecLabel"/>
      </w:pPr>
      <w:r>
        <w:t>Intro</w:t>
      </w:r>
    </w:p>
    <w:p>
      <w:r>
        <w:t>AI checking is priced by word allowance. Choose a one-time package or a recurring plan based on how much text you expect to analyze.</w:t>
      </w:r>
    </w:p>
    <w:p>
      <w:pPr>
        <w:pStyle w:val="SpecLabel"/>
      </w:pPr>
      <w:r>
        <w:t>Free-credit supporting copy</w:t>
      </w:r>
    </w:p>
    <w:p>
      <w:r>
        <w:t>New accounts receive a one-time 1,000-word credit that can be used for AI checking.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CEAF7"/>
            <w:vAlign w:val="top"/>
          </w:tcPr>
          <w:p>
            <w:pPr>
              <w:spacing w:after="40"/>
            </w:pPr>
            <w:r>
              <w:rPr>
                <w:rFonts w:ascii="Arial" w:hAnsi="Arial"/>
                <w:sz w:val="17"/>
              </w:rPr>
              <w:t>AI words</w:t>
            </w:r>
          </w:p>
        </w:tc>
        <w:tc>
          <w:tcPr>
            <w:tcW w:type="dxa" w:w="3389"/>
            <w:shd w:fill="DCEAF7"/>
            <w:vAlign w:val="top"/>
          </w:tcPr>
          <w:p>
            <w:pPr>
              <w:spacing w:after="40"/>
            </w:pPr>
            <w:r>
              <w:rPr>
                <w:rFonts w:ascii="Arial" w:hAnsi="Arial"/>
                <w:sz w:val="17"/>
              </w:rPr>
              <w:t>Price</w:t>
            </w:r>
          </w:p>
        </w:tc>
        <w:tc>
          <w:tcPr>
            <w:tcW w:type="dxa" w:w="3389"/>
            <w:shd w:fill="DCEAF7"/>
            <w:vAlign w:val="top"/>
          </w:tcPr>
          <w:p>
            <w:pPr>
              <w:spacing w:after="40"/>
            </w:pPr>
            <w:r>
              <w:rPr>
                <w:rFonts w:ascii="Arial" w:hAnsi="Arial"/>
                <w:sz w:val="17"/>
              </w:rPr>
              <w:t>Billing</w:t>
            </w:r>
          </w:p>
        </w:tc>
      </w:tr>
      <w:tr>
        <w:tc>
          <w:tcPr>
            <w:tcW w:type="dxa" w:w="3389"/>
            <w:tcMar>
              <w:top w:w="80" w:type="dxa"/>
              <w:start w:w="100" w:type="dxa"/>
              <w:bottom w:w="80" w:type="dxa"/>
              <w:end w:w="100" w:type="dxa"/>
            </w:tcMar>
            <w:vAlign w:val="top"/>
          </w:tcPr>
          <w:p>
            <w:pPr>
              <w:spacing w:after="40"/>
            </w:pPr>
            <w:r>
              <w:rPr>
                <w:rFonts w:ascii="Arial" w:hAnsi="Arial"/>
                <w:sz w:val="17"/>
              </w:rPr>
              <w:t>10,000</w:t>
            </w:r>
          </w:p>
        </w:tc>
        <w:tc>
          <w:tcPr>
            <w:tcW w:type="dxa" w:w="3389"/>
            <w:tcMar>
              <w:top w:w="80" w:type="dxa"/>
              <w:start w:w="100" w:type="dxa"/>
              <w:bottom w:w="80" w:type="dxa"/>
              <w:end w:w="100" w:type="dxa"/>
            </w:tcMar>
            <w:vAlign w:val="top"/>
          </w:tcPr>
          <w:p>
            <w:pPr>
              <w:spacing w:after="40"/>
            </w:pPr>
            <w:r>
              <w:rPr>
                <w:rFonts w:ascii="Arial" w:hAnsi="Arial"/>
                <w:sz w:val="17"/>
              </w:rPr>
              <w:t>$4.95</w:t>
            </w:r>
          </w:p>
        </w:tc>
        <w:tc>
          <w:tcPr>
            <w:tcW w:type="dxa" w:w="3389"/>
            <w:tcMar>
              <w:top w:w="80" w:type="dxa"/>
              <w:start w:w="100" w:type="dxa"/>
              <w:bottom w:w="80" w:type="dxa"/>
              <w:end w:w="100" w:type="dxa"/>
            </w:tcMar>
            <w:vAlign w:val="top"/>
          </w:tcPr>
          <w:p>
            <w:pPr>
              <w:spacing w:after="40"/>
            </w:pPr>
            <w:r>
              <w:rPr>
                <w:rFonts w:ascii="Arial" w:hAnsi="Arial"/>
                <w:sz w:val="17"/>
              </w:rPr>
              <w:t>One-time</w:t>
            </w:r>
          </w:p>
        </w:tc>
      </w:tr>
      <w:tr>
        <w:tc>
          <w:tcPr>
            <w:tcW w:type="dxa" w:w="3389"/>
            <w:tcMar>
              <w:top w:w="80" w:type="dxa"/>
              <w:start w:w="100" w:type="dxa"/>
              <w:bottom w:w="80" w:type="dxa"/>
              <w:end w:w="100" w:type="dxa"/>
            </w:tcMar>
            <w:vAlign w:val="top"/>
          </w:tcPr>
          <w:p>
            <w:pPr>
              <w:spacing w:after="40"/>
            </w:pPr>
            <w:r>
              <w:rPr>
                <w:rFonts w:ascii="Arial" w:hAnsi="Arial"/>
                <w:sz w:val="17"/>
              </w:rPr>
              <w:t>50,000</w:t>
            </w:r>
          </w:p>
        </w:tc>
        <w:tc>
          <w:tcPr>
            <w:tcW w:type="dxa" w:w="3389"/>
            <w:tcMar>
              <w:top w:w="80" w:type="dxa"/>
              <w:start w:w="100" w:type="dxa"/>
              <w:bottom w:w="80" w:type="dxa"/>
              <w:end w:w="100" w:type="dxa"/>
            </w:tcMar>
            <w:vAlign w:val="top"/>
          </w:tcPr>
          <w:p>
            <w:pPr>
              <w:spacing w:after="40"/>
            </w:pPr>
            <w:r>
              <w:rPr>
                <w:rFonts w:ascii="Arial" w:hAnsi="Arial"/>
                <w:sz w:val="17"/>
              </w:rPr>
              <w:t>$9.95</w:t>
            </w:r>
          </w:p>
        </w:tc>
        <w:tc>
          <w:tcPr>
            <w:tcW w:type="dxa" w:w="3389"/>
            <w:tcMar>
              <w:top w:w="80" w:type="dxa"/>
              <w:start w:w="100" w:type="dxa"/>
              <w:bottom w:w="80" w:type="dxa"/>
              <w:end w:w="100" w:type="dxa"/>
            </w:tcMar>
            <w:vAlign w:val="top"/>
          </w:tcPr>
          <w:p>
            <w:pPr>
              <w:spacing w:after="40"/>
            </w:pPr>
            <w:r>
              <w:rPr>
                <w:rFonts w:ascii="Arial" w:hAnsi="Arial"/>
                <w:sz w:val="17"/>
              </w:rPr>
              <w:t>One-time</w:t>
            </w:r>
          </w:p>
        </w:tc>
      </w:tr>
      <w:tr>
        <w:tc>
          <w:tcPr>
            <w:tcW w:type="dxa" w:w="3389"/>
            <w:tcMar>
              <w:top w:w="80" w:type="dxa"/>
              <w:start w:w="100" w:type="dxa"/>
              <w:bottom w:w="80" w:type="dxa"/>
              <w:end w:w="100" w:type="dxa"/>
            </w:tcMar>
            <w:vAlign w:val="top"/>
          </w:tcPr>
          <w:p>
            <w:pPr>
              <w:spacing w:after="40"/>
            </w:pPr>
            <w:r>
              <w:rPr>
                <w:rFonts w:ascii="Arial" w:hAnsi="Arial"/>
                <w:sz w:val="17"/>
              </w:rPr>
              <w:t>100,000</w:t>
            </w:r>
          </w:p>
        </w:tc>
        <w:tc>
          <w:tcPr>
            <w:tcW w:type="dxa" w:w="3389"/>
            <w:tcMar>
              <w:top w:w="80" w:type="dxa"/>
              <w:start w:w="100" w:type="dxa"/>
              <w:bottom w:w="80" w:type="dxa"/>
              <w:end w:w="100" w:type="dxa"/>
            </w:tcMar>
            <w:vAlign w:val="top"/>
          </w:tcPr>
          <w:p>
            <w:pPr>
              <w:spacing w:after="40"/>
            </w:pPr>
            <w:r>
              <w:rPr>
                <w:rFonts w:ascii="Arial" w:hAnsi="Arial"/>
                <w:sz w:val="17"/>
              </w:rPr>
              <w:t>$12.95/month</w:t>
            </w:r>
          </w:p>
        </w:tc>
        <w:tc>
          <w:tcPr>
            <w:tcW w:type="dxa" w:w="3389"/>
            <w:tcMar>
              <w:top w:w="80" w:type="dxa"/>
              <w:start w:w="100" w:type="dxa"/>
              <w:bottom w:w="80" w:type="dxa"/>
              <w:end w:w="100" w:type="dxa"/>
            </w:tcMar>
            <w:vAlign w:val="top"/>
          </w:tcPr>
          <w:p>
            <w:pPr>
              <w:spacing w:after="40"/>
            </w:pPr>
            <w:r>
              <w:rPr>
                <w:rFonts w:ascii="Arial" w:hAnsi="Arial"/>
                <w:sz w:val="17"/>
              </w:rPr>
              <w:t>Monthly</w:t>
            </w:r>
          </w:p>
        </w:tc>
      </w:tr>
      <w:tr>
        <w:tc>
          <w:tcPr>
            <w:tcW w:type="dxa" w:w="3389"/>
            <w:tcMar>
              <w:top w:w="80" w:type="dxa"/>
              <w:start w:w="100" w:type="dxa"/>
              <w:bottom w:w="80" w:type="dxa"/>
              <w:end w:w="100" w:type="dxa"/>
            </w:tcMar>
            <w:vAlign w:val="top"/>
          </w:tcPr>
          <w:p>
            <w:pPr>
              <w:spacing w:after="40"/>
            </w:pPr>
            <w:r>
              <w:rPr>
                <w:rFonts w:ascii="Arial" w:hAnsi="Arial"/>
                <w:sz w:val="17"/>
              </w:rPr>
              <w:t>300,000</w:t>
            </w:r>
          </w:p>
        </w:tc>
        <w:tc>
          <w:tcPr>
            <w:tcW w:type="dxa" w:w="3389"/>
            <w:tcMar>
              <w:top w:w="80" w:type="dxa"/>
              <w:start w:w="100" w:type="dxa"/>
              <w:bottom w:w="80" w:type="dxa"/>
              <w:end w:w="100" w:type="dxa"/>
            </w:tcMar>
            <w:vAlign w:val="top"/>
          </w:tcPr>
          <w:p>
            <w:pPr>
              <w:spacing w:after="40"/>
            </w:pPr>
            <w:r>
              <w:rPr>
                <w:rFonts w:ascii="Arial" w:hAnsi="Arial"/>
                <w:sz w:val="17"/>
              </w:rPr>
              <w:t>$25.95/month</w:t>
            </w:r>
          </w:p>
        </w:tc>
        <w:tc>
          <w:tcPr>
            <w:tcW w:type="dxa" w:w="3389"/>
            <w:tcMar>
              <w:top w:w="80" w:type="dxa"/>
              <w:start w:w="100" w:type="dxa"/>
              <w:bottom w:w="80" w:type="dxa"/>
              <w:end w:w="100" w:type="dxa"/>
            </w:tcMar>
            <w:vAlign w:val="top"/>
          </w:tcPr>
          <w:p>
            <w:pPr>
              <w:spacing w:after="40"/>
            </w:pPr>
            <w:r>
              <w:rPr>
                <w:rFonts w:ascii="Arial" w:hAnsi="Arial"/>
                <w:sz w:val="17"/>
              </w:rPr>
              <w:t>Monthly</w:t>
            </w:r>
          </w:p>
        </w:tc>
      </w:tr>
      <w:tr>
        <w:tc>
          <w:tcPr>
            <w:tcW w:type="dxa" w:w="3389"/>
            <w:tcMar>
              <w:top w:w="80" w:type="dxa"/>
              <w:start w:w="100" w:type="dxa"/>
              <w:bottom w:w="80" w:type="dxa"/>
              <w:end w:w="100" w:type="dxa"/>
            </w:tcMar>
            <w:vAlign w:val="top"/>
          </w:tcPr>
          <w:p>
            <w:pPr>
              <w:spacing w:after="40"/>
            </w:pPr>
            <w:r>
              <w:rPr>
                <w:rFonts w:ascii="Arial" w:hAnsi="Arial"/>
                <w:sz w:val="17"/>
              </w:rPr>
              <w:t>500,000</w:t>
            </w:r>
          </w:p>
        </w:tc>
        <w:tc>
          <w:tcPr>
            <w:tcW w:type="dxa" w:w="3389"/>
            <w:tcMar>
              <w:top w:w="80" w:type="dxa"/>
              <w:start w:w="100" w:type="dxa"/>
              <w:bottom w:w="80" w:type="dxa"/>
              <w:end w:w="100" w:type="dxa"/>
            </w:tcMar>
            <w:vAlign w:val="top"/>
          </w:tcPr>
          <w:p>
            <w:pPr>
              <w:spacing w:after="40"/>
            </w:pPr>
            <w:r>
              <w:rPr>
                <w:rFonts w:ascii="Arial" w:hAnsi="Arial"/>
                <w:sz w:val="17"/>
              </w:rPr>
              <w:t>$35.95/month</w:t>
            </w:r>
          </w:p>
        </w:tc>
        <w:tc>
          <w:tcPr>
            <w:tcW w:type="dxa" w:w="3389"/>
            <w:tcMar>
              <w:top w:w="80" w:type="dxa"/>
              <w:start w:w="100" w:type="dxa"/>
              <w:bottom w:w="80" w:type="dxa"/>
              <w:end w:w="100" w:type="dxa"/>
            </w:tcMar>
            <w:vAlign w:val="top"/>
          </w:tcPr>
          <w:p>
            <w:pPr>
              <w:spacing w:after="40"/>
            </w:pPr>
            <w:r>
              <w:rPr>
                <w:rFonts w:ascii="Arial" w:hAnsi="Arial"/>
                <w:sz w:val="17"/>
              </w:rPr>
              <w:t>Monthly</w:t>
            </w:r>
          </w:p>
        </w:tc>
      </w:tr>
      <w:tr>
        <w:tc>
          <w:tcPr>
            <w:tcW w:type="dxa" w:w="3389"/>
            <w:tcMar>
              <w:top w:w="80" w:type="dxa"/>
              <w:start w:w="100" w:type="dxa"/>
              <w:bottom w:w="80" w:type="dxa"/>
              <w:end w:w="100" w:type="dxa"/>
            </w:tcMar>
            <w:vAlign w:val="top"/>
          </w:tcPr>
          <w:p>
            <w:pPr>
              <w:spacing w:after="40"/>
            </w:pPr>
            <w:r>
              <w:rPr>
                <w:rFonts w:ascii="Arial" w:hAnsi="Arial"/>
                <w:sz w:val="17"/>
              </w:rPr>
              <w:t>1,000,000</w:t>
            </w:r>
          </w:p>
        </w:tc>
        <w:tc>
          <w:tcPr>
            <w:tcW w:type="dxa" w:w="3389"/>
            <w:tcMar>
              <w:top w:w="80" w:type="dxa"/>
              <w:start w:w="100" w:type="dxa"/>
              <w:bottom w:w="80" w:type="dxa"/>
              <w:end w:w="100" w:type="dxa"/>
            </w:tcMar>
            <w:vAlign w:val="top"/>
          </w:tcPr>
          <w:p>
            <w:pPr>
              <w:spacing w:after="40"/>
            </w:pPr>
            <w:r>
              <w:rPr>
                <w:rFonts w:ascii="Arial" w:hAnsi="Arial"/>
                <w:sz w:val="17"/>
              </w:rPr>
              <w:t>$55.95/year</w:t>
            </w:r>
          </w:p>
        </w:tc>
        <w:tc>
          <w:tcPr>
            <w:tcW w:type="dxa" w:w="3389"/>
            <w:tcMar>
              <w:top w:w="80" w:type="dxa"/>
              <w:start w:w="100" w:type="dxa"/>
              <w:bottom w:w="80" w:type="dxa"/>
              <w:end w:w="100" w:type="dxa"/>
            </w:tcMar>
            <w:vAlign w:val="top"/>
          </w:tcPr>
          <w:p>
            <w:pPr>
              <w:spacing w:after="40"/>
            </w:pPr>
            <w:r>
              <w:rPr>
                <w:rFonts w:ascii="Arial" w:hAnsi="Arial"/>
                <w:sz w:val="17"/>
              </w:rPr>
              <w:t>Yearly</w:t>
            </w:r>
          </w:p>
        </w:tc>
      </w:tr>
      <w:tr>
        <w:tc>
          <w:tcPr>
            <w:tcW w:type="dxa" w:w="3389"/>
            <w:tcMar>
              <w:top w:w="80" w:type="dxa"/>
              <w:start w:w="100" w:type="dxa"/>
              <w:bottom w:w="80" w:type="dxa"/>
              <w:end w:w="100" w:type="dxa"/>
            </w:tcMar>
            <w:vAlign w:val="top"/>
          </w:tcPr>
          <w:p>
            <w:pPr>
              <w:spacing w:after="40"/>
            </w:pPr>
            <w:r>
              <w:rPr>
                <w:rFonts w:ascii="Arial" w:hAnsi="Arial"/>
                <w:sz w:val="17"/>
              </w:rPr>
              <w:t>3,000,000</w:t>
            </w:r>
          </w:p>
        </w:tc>
        <w:tc>
          <w:tcPr>
            <w:tcW w:type="dxa" w:w="3389"/>
            <w:tcMar>
              <w:top w:w="80" w:type="dxa"/>
              <w:start w:w="100" w:type="dxa"/>
              <w:bottom w:w="80" w:type="dxa"/>
              <w:end w:w="100" w:type="dxa"/>
            </w:tcMar>
            <w:vAlign w:val="top"/>
          </w:tcPr>
          <w:p>
            <w:pPr>
              <w:spacing w:after="40"/>
            </w:pPr>
            <w:r>
              <w:rPr>
                <w:rFonts w:ascii="Arial" w:hAnsi="Arial"/>
                <w:sz w:val="17"/>
              </w:rPr>
              <w:t>$125.95/year</w:t>
            </w:r>
          </w:p>
        </w:tc>
        <w:tc>
          <w:tcPr>
            <w:tcW w:type="dxa" w:w="3389"/>
            <w:tcMar>
              <w:top w:w="80" w:type="dxa"/>
              <w:start w:w="100" w:type="dxa"/>
              <w:bottom w:w="80" w:type="dxa"/>
              <w:end w:w="100" w:type="dxa"/>
            </w:tcMar>
            <w:vAlign w:val="top"/>
          </w:tcPr>
          <w:p>
            <w:pPr>
              <w:spacing w:after="40"/>
            </w:pPr>
            <w:r>
              <w:rPr>
                <w:rFonts w:ascii="Arial" w:hAnsi="Arial"/>
                <w:sz w:val="17"/>
              </w:rPr>
              <w:t>Yearly</w:t>
            </w:r>
          </w:p>
        </w:tc>
      </w:tr>
      <w:tr>
        <w:tc>
          <w:tcPr>
            <w:tcW w:type="dxa" w:w="3389"/>
            <w:tcMar>
              <w:top w:w="80" w:type="dxa"/>
              <w:start w:w="100" w:type="dxa"/>
              <w:bottom w:w="80" w:type="dxa"/>
              <w:end w:w="100" w:type="dxa"/>
            </w:tcMar>
            <w:vAlign w:val="top"/>
          </w:tcPr>
          <w:p>
            <w:pPr>
              <w:spacing w:after="40"/>
            </w:pPr>
            <w:r>
              <w:rPr>
                <w:rFonts w:ascii="Arial" w:hAnsi="Arial"/>
                <w:sz w:val="17"/>
              </w:rPr>
              <w:t>5,000,000</w:t>
            </w:r>
          </w:p>
        </w:tc>
        <w:tc>
          <w:tcPr>
            <w:tcW w:type="dxa" w:w="3389"/>
            <w:tcMar>
              <w:top w:w="80" w:type="dxa"/>
              <w:start w:w="100" w:type="dxa"/>
              <w:bottom w:w="80" w:type="dxa"/>
              <w:end w:w="100" w:type="dxa"/>
            </w:tcMar>
            <w:vAlign w:val="top"/>
          </w:tcPr>
          <w:p>
            <w:pPr>
              <w:spacing w:after="40"/>
            </w:pPr>
            <w:r>
              <w:rPr>
                <w:rFonts w:ascii="Arial" w:hAnsi="Arial"/>
                <w:sz w:val="17"/>
              </w:rPr>
              <w:t>$215.95/year</w:t>
            </w:r>
          </w:p>
        </w:tc>
        <w:tc>
          <w:tcPr>
            <w:tcW w:type="dxa" w:w="3389"/>
            <w:tcMar>
              <w:top w:w="80" w:type="dxa"/>
              <w:start w:w="100" w:type="dxa"/>
              <w:bottom w:w="80" w:type="dxa"/>
              <w:end w:w="100" w:type="dxa"/>
            </w:tcMar>
            <w:vAlign w:val="top"/>
          </w:tcPr>
          <w:p>
            <w:pPr>
              <w:spacing w:after="40"/>
            </w:pPr>
            <w:r>
              <w:rPr>
                <w:rFonts w:ascii="Arial" w:hAnsi="Arial"/>
                <w:sz w:val="17"/>
              </w:rPr>
              <w:t>Yearly</w:t>
            </w:r>
          </w:p>
        </w:tc>
      </w:tr>
    </w:tbl>
    <w:p>
      <w:r>
        <w:rPr>
          <w:b/>
        </w:rPr>
        <w:t xml:space="preserve">Plan CTA: </w:t>
      </w:r>
      <w:r>
        <w:rPr>
          <w:b w:val="0"/>
        </w:rPr>
        <w:t>Choose plan</w:t>
      </w:r>
    </w:p>
    <w:p>
      <w:pPr>
        <w:pStyle w:val="SpecLabel"/>
      </w:pPr>
      <w:r>
        <w:t>Production rule</w:t>
      </w:r>
    </w:p>
    <w:p>
      <w:r>
        <w:t>The values above are the currently approved 2026-08-20 AI prices and may be used in the prototype. Production pricing/billing data must come from the authoritative backend/source. Do not ship stale hardcoded values. Do not label this “plagiarism plans.”</w:t>
      </w:r>
    </w:p>
    <w:p>
      <w:pPr>
        <w:pStyle w:val="Heading1"/>
      </w:pPr>
      <w:r>
        <w:t>SECTION 9 — AI DETECTOR FAQ</w:t>
      </w:r>
    </w:p>
    <w:p>
      <w:pPr>
        <w:pStyle w:val="SpecLabel"/>
      </w:pPr>
      <w:r>
        <w:t>Anchor</w:t>
      </w:r>
    </w:p>
    <w:p>
      <w:r>
        <w:t>#ai-detector-faq</w:t>
      </w:r>
    </w:p>
    <w:p>
      <w:pPr>
        <w:pStyle w:val="SpecLabel"/>
      </w:pPr>
      <w:r>
        <w:t>H2</w:t>
      </w:r>
    </w:p>
    <w:p>
      <w:r>
        <w:t>AI Detector FAQ</w:t>
      </w:r>
    </w:p>
    <w:p>
      <w:pPr>
        <w:pStyle w:val="Heading2"/>
      </w:pPr>
      <w:r>
        <w:t>1. What does AI Probability mean?</w:t>
      </w:r>
    </w:p>
    <w:p>
      <w:r>
        <w:t>AI Probability is the percentage likelihood that the analyzed text, considered as a whole, was AI-generated. It is a document-level detection indicator. It does not represent the percentage of the document that was generated by AI, and it is not proof of authorship.</w:t>
      </w:r>
    </w:p>
    <w:p>
      <w:pPr>
        <w:pStyle w:val="Heading2"/>
      </w:pPr>
      <w:r>
        <w:t>2. What does Total AI Rate mean?</w:t>
      </w:r>
    </w:p>
    <w:p>
      <w:r>
        <w:t>Total AI Rate is the share of the document made up of passages flagged as AI-generated. It complements AI Probability by showing how much of the text is contained in flagged passages rather than the overall likelihood for the document.</w:t>
      </w:r>
    </w:p>
    <w:p>
      <w:pPr>
        <w:pStyle w:val="Heading2"/>
      </w:pPr>
      <w:r>
        <w:t>3. Why can AI Probability and Total AI Rate be different?</w:t>
      </w:r>
    </w:p>
    <w:p>
      <w:r>
        <w:t>They measure different things. AI Probability describes the likelihood that the document as a whole was AI-generated. Total AI Rate describes the amount of text contained in passages flagged as AI-generated. The two percentages therefore should not be expected to match.</w:t>
      </w:r>
    </w:p>
    <w:p>
      <w:pPr>
        <w:pStyle w:val="Heading2"/>
      </w:pPr>
      <w:r>
        <w:t>4. Does a high AI Probability prove that a text was written by AI?</w:t>
      </w:r>
    </w:p>
    <w:p>
      <w:r>
        <w:t>No. AI detection is probabilistic. A high AI Probability means the detector found stronger AI-writing signals in the document, but it does not prove who wrote the text or establish by itself that AI was used. Review Total AI Rate, the highlighted passages, and the context of the document before drawing a conclusion.</w:t>
      </w:r>
    </w:p>
    <w:p>
      <w:pPr>
        <w:pStyle w:val="Heading2"/>
      </w:pPr>
      <w:r>
        <w:t>5. Can I upload a document instead of pasting text?</w:t>
      </w:r>
    </w:p>
    <w:p>
      <w:r>
        <w:t>Yes. You can paste text directly into the AI checker or upload a supported document. PlagiarismSearch uses broad document-format support for uploaded files. If readable text cannot be extracted from a file, paste the text directly into the checker instead.</w:t>
      </w:r>
    </w:p>
    <w:p>
      <w:pPr>
        <w:pStyle w:val="Heading2"/>
      </w:pPr>
      <w:r>
        <w:t>6. How much text should I check?</w:t>
      </w:r>
    </w:p>
    <w:p>
      <w:r>
        <w:t>Pasted text must contain at least 100 characters. For a more reliable AI detection result, we recommend checking at least 150–200 words whenever possible because a longer sample gives the detector more context.</w:t>
      </w:r>
    </w:p>
    <w:p>
      <w:pPr>
        <w:pStyle w:val="Heading2"/>
      </w:pPr>
      <w:r>
        <w:t>7. What languages can the AI detector check?</w:t>
      </w:r>
    </w:p>
    <w:p>
      <w:r>
        <w:t>PlagiarismSearch can process text in any language. Detection accuracy is highest in English, so results for other languages should be interpreted with that limitation in mind.</w:t>
      </w:r>
    </w:p>
    <w:p>
      <w:pPr>
        <w:pStyle w:val="Heading2"/>
      </w:pPr>
      <w:r>
        <w:t>8. Is AI-generated text the same as plagiarism?</w:t>
      </w:r>
    </w:p>
    <w:p>
      <w:r>
        <w:t>No. AI generation and plagiarism are different issues. AI detection looks for patterns associated with AI-generated writing. Plagiarism checking compares text with available sources to identify matching or similar passages. AI-generated text is not automatically plagiarism, and a source match does not prove that AI was used.</w:t>
      </w:r>
    </w:p>
    <w:p>
      <w:pPr>
        <w:pStyle w:val="Heading2"/>
      </w:pPr>
      <w:r>
        <w:t>9. What happens to my text and report after an AI check?</w:t>
      </w:r>
    </w:p>
    <w:p>
      <w:r>
        <w:t>AI checks are processed on PlagiarismSearch infrastructure, and checked content is not sent to an external AI detector provider. Generated reports may remain available in your account for convenience, and you can permanently delete them. For broader information about account data and privacy practices, see the Privacy Policy.</w:t>
      </w:r>
    </w:p>
    <w:p>
      <w:pPr>
        <w:pStyle w:val="Heading2"/>
      </w:pPr>
      <w:r>
        <w:t>10. Is AI checking free?</w:t>
      </w:r>
    </w:p>
    <w:p>
      <w:r>
        <w:t>New accounts receive a one-time 1,000-word credit that can be used for AI or plagiarism checking. This is not a recurring daily AI allowance. Additional AI checks use the AI word balance available with the selected package.</w:t>
      </w:r>
    </w:p>
    <w:p>
      <w:pPr>
        <w:pStyle w:val="SpecLabel"/>
      </w:pPr>
      <w:r>
        <w:t>FAQ footer</w:t>
      </w:r>
    </w:p>
    <w:p>
      <w:r>
        <w:t>Still have a question about your account, reports, or AI checking?</w:t>
      </w:r>
    </w:p>
    <w:p>
      <w:r>
        <w:rPr>
          <w:b/>
        </w:rPr>
        <w:t xml:space="preserve">CTA: </w:t>
      </w:r>
      <w:r>
        <w:rPr>
          <w:b w:val="0"/>
        </w:rPr>
        <w:t>Visit the Help Center</w:t>
      </w:r>
    </w:p>
    <w:p>
      <w:r>
        <w:rPr>
          <w:b/>
        </w:rPr>
        <w:t xml:space="preserve">Destination: </w:t>
      </w:r>
      <w:r>
        <w:rPr>
          <w:b w:val="0"/>
        </w:rPr>
        <w:t>/faq-and-support</w:t>
      </w:r>
    </w:p>
    <w:p>
      <w:pPr>
        <w:pStyle w:val="SpecLabel"/>
      </w:pPr>
      <w:r>
        <w:t>FAQ implementation rule</w:t>
      </w:r>
    </w:p>
    <w:p>
      <w:r>
        <w:t>Accordion answers must be present in rendered HTML and accessible without a separate client-side content fetch after click. Do not expand the FAQ with generic “what is AI” filler, named-model keyword questions, competitor comparisons, unsupported accuracy questions, or audience-swapped variations.</w:t>
      </w:r>
    </w:p>
    <w:p>
      <w:pPr>
        <w:pStyle w:val="Heading1"/>
      </w:pPr>
      <w:r>
        <w:t>SECTION 10 — FINAL CTA</w:t>
      </w:r>
    </w:p>
    <w:p>
      <w:pPr>
        <w:pStyle w:val="SpecLabel"/>
      </w:pPr>
      <w:r>
        <w:t>H2</w:t>
      </w:r>
    </w:p>
    <w:p>
      <w:r>
        <w:t>Check your text for AI-writing signals</w:t>
      </w:r>
    </w:p>
    <w:p>
      <w:pPr>
        <w:pStyle w:val="SpecLabel"/>
      </w:pPr>
      <w:r>
        <w:t>Supporting copy</w:t>
      </w:r>
    </w:p>
    <w:p>
      <w:r>
        <w:t>Paste text or upload a document to review AI Probability, Total AI Rate, and highlighted passages in one report.</w:t>
      </w:r>
    </w:p>
    <w:p>
      <w:r>
        <w:rPr>
          <w:b/>
        </w:rPr>
        <w:t xml:space="preserve">Primary CTA: </w:t>
      </w:r>
      <w:r>
        <w:rPr>
          <w:b w:val="0"/>
        </w:rPr>
        <w:t>Start AI check</w:t>
      </w:r>
    </w:p>
    <w:p>
      <w:r>
        <w:rPr>
          <w:b/>
        </w:rPr>
        <w:t xml:space="preserve">Primary action: </w:t>
      </w:r>
      <w:r>
        <w:rPr>
          <w:b w:val="0"/>
        </w:rPr>
        <w:t>Scroll/focus the real checker at #ai-checker</w:t>
      </w:r>
    </w:p>
    <w:p>
      <w:r>
        <w:rPr>
          <w:b/>
        </w:rPr>
        <w:t xml:space="preserve">Secondary CTA: </w:t>
      </w:r>
      <w:r>
        <w:rPr>
          <w:b w:val="0"/>
        </w:rPr>
        <w:t>View AI pricing</w:t>
      </w:r>
    </w:p>
    <w:p>
      <w:r>
        <w:rPr>
          <w:b/>
        </w:rPr>
        <w:t xml:space="preserve">Secondary action: </w:t>
      </w:r>
      <w:r>
        <w:rPr>
          <w:b w:val="0"/>
        </w:rPr>
        <w:t>#ai-pricing</w:t>
      </w:r>
    </w:p>
    <w:p>
      <w:pPr>
        <w:pStyle w:val="SpecLabel"/>
      </w:pPr>
      <w:r>
        <w:t>Rule</w:t>
      </w:r>
    </w:p>
    <w:p>
      <w:r>
        <w:t>Do not render a second checker form. Do not repeat a fake free-offer badge. The CTA returns the user to the real tool.</w:t>
      </w:r>
    </w:p>
    <w:p>
      <w:pPr>
        <w:pStyle w:val="Heading1"/>
      </w:pPr>
      <w:r>
        <w:t>ADJACENT P0 HOTFIX — HELP CENTER AI FAQ</w:t>
      </w:r>
    </w:p>
    <w:p>
      <w:r>
        <w:t>This is the only support-page content change included in this AI implementation package. Do not redesign the Help Center. Replace the relevant existing AI FAQ content with the exact wording below so the support layer does not contradict the new AI page/report semantics.</w:t>
      </w:r>
    </w:p>
    <w:p>
      <w:pPr>
        <w:pStyle w:val="Heading2"/>
      </w:pPr>
      <w:r>
        <w:t>Question 1 — replace existing “How to use the AI checker?” answer</w:t>
      </w:r>
    </w:p>
    <w:p>
      <w:r>
        <w:t>Paste text or upload a document in the AI Detector, then select Check for AI. Pasted text must contain at least 100 characters. For a more reliable result, we recommend checking 150–200 words or more whenever possible.</w:t>
      </w:r>
    </w:p>
    <w:p>
      <w:r>
        <w:rPr>
          <w:b/>
        </w:rPr>
        <w:t xml:space="preserve">AI Detector link destination: </w:t>
      </w:r>
      <w:r>
        <w:rPr>
          <w:b w:val="0"/>
        </w:rPr>
        <w:t>/ai-content-detector</w:t>
      </w:r>
    </w:p>
    <w:p>
      <w:pPr>
        <w:pStyle w:val="Heading2"/>
      </w:pPr>
      <w:r>
        <w:t>Question 2 — replace the current mixed AI/plagiarism language question</w:t>
      </w:r>
    </w:p>
    <w:p>
      <w:r>
        <w:rPr>
          <w:b/>
        </w:rPr>
        <w:t xml:space="preserve">New question: </w:t>
      </w:r>
      <w:r>
        <w:rPr>
          <w:b w:val="0"/>
        </w:rPr>
        <w:t>Can I check AI-generated text in languages other than English?</w:t>
      </w:r>
    </w:p>
    <w:p>
      <w:r>
        <w:t>Yes. The AI detector can process text in any language. Detection accuracy is highest in English, so results in other languages should be interpreted with that limitation in mind.</w:t>
      </w:r>
    </w:p>
    <w:p>
      <w:pPr>
        <w:pStyle w:val="Heading2"/>
      </w:pPr>
      <w:r>
        <w:t>Question 3 — replace the current &gt;70% interpretation</w:t>
      </w:r>
    </w:p>
    <w:p>
      <w:r>
        <w:rPr>
          <w:b/>
        </w:rPr>
        <w:t xml:space="preserve">New question: </w:t>
      </w:r>
      <w:r>
        <w:rPr>
          <w:b w:val="0"/>
        </w:rPr>
        <w:t>If my report shows a high AI Probability, does that mean most of the text is AI-generated?</w:t>
      </w:r>
    </w:p>
    <w:p>
      <w:r>
        <w:t>Not necessarily. AI Probability describes the likelihood that the document as a whole was AI-generated; it does not measure how much of the document is AI-generated. Use Total AI Rate to see the share of text contained in passages flagged as AI-generated, and review the highlighted passages for additional context.</w:t>
      </w:r>
    </w:p>
    <w:p>
      <w:pPr>
        <w:pStyle w:val="Heading1"/>
      </w:pPr>
      <w:r>
        <w:t>COMPONENT-LIBRARY IMPLICATIONS — RECORD AFTER IMPLEMENTATION</w:t>
      </w:r>
    </w:p>
    <w:p>
      <w:r>
        <w:t>Do not weaken the page to make it fit an existing component. Build the approved AI page first; then record reusable components/variants after the visual implementation is accepted.</w:t>
      </w:r>
    </w:p>
    <w:p>
      <w:pPr>
        <w:pStyle w:val="ListBullet"/>
      </w:pPr>
      <w:r>
        <w:t>CMP-H02 Product Hero — AI Detector becomes the canonical tool-input product-hero variant.</w:t>
      </w:r>
    </w:p>
    <w:p>
      <w:pPr>
        <w:pStyle w:val="ListBullet"/>
      </w:pPr>
      <w:r>
        <w:t>AI-specific checker/input variant — keep AI states separate from plagiarism checker status strings and entitlements. Record as a distinct variant/component after implementation review.</w:t>
      </w:r>
    </w:p>
    <w:p>
      <w:pPr>
        <w:pStyle w:val="ListBullet"/>
      </w:pPr>
      <w:r>
        <w:t>CMP-R03 Metric explanation / legend — AI Detector becomes the canonical implementation for AI Probability / Total AI Rate / highlighted passage semantics.</w:t>
      </w:r>
    </w:p>
    <w:p>
      <w:pPr>
        <w:pStyle w:val="ListBullet"/>
      </w:pPr>
      <w:r>
        <w:t>AI-only report demo — may become a reusable product-evidence pattern if it can remain truthful across future AI pages without fake values.</w:t>
      </w:r>
    </w:p>
    <w:p>
      <w:pPr>
        <w:pStyle w:val="ListBullet"/>
      </w:pPr>
      <w:r>
        <w:t>CMP-S02 Storage/privacy lifecycle — reuse the existing lifecycle family with AI-specific verified infrastructure/report-retention wording.</w:t>
      </w:r>
    </w:p>
    <w:p>
      <w:pPr>
        <w:pStyle w:val="ListBullet"/>
      </w:pPr>
      <w:r>
        <w:t>CMP-FAQ01 — reuse existing FAQ accordion behavior with page-specific rendered HTML answers.</w:t>
      </w:r>
    </w:p>
    <w:p>
      <w:pPr>
        <w:pStyle w:val="ListBullet"/>
      </w:pPr>
      <w:r>
        <w:t>Dark API callout — candidate reusable Product/API callout pattern after this AI version is approved.</w:t>
      </w:r>
    </w:p>
    <w:p>
      <w:pPr>
        <w:pStyle w:val="ListBullet"/>
      </w:pPr>
      <w:r>
        <w:t>Pricing table — reuse styling, but production values remain data-driven.</w:t>
      </w:r>
    </w:p>
    <w:p>
      <w:pPr>
        <w:pStyle w:val="Heading1"/>
      </w:pPr>
      <w:r>
        <w:t>FINAL EXECUTION GUARDRAILS</w:t>
      </w:r>
    </w:p>
    <w:p>
      <w:pPr>
        <w:pStyle w:val="ListBullet"/>
      </w:pPr>
      <w:r>
        <w:t>Claude writes no new marketing copy. If a visual composition appears to need extra text, redesign the composition or request approval; do not fill the gap with generated copy.</w:t>
      </w:r>
    </w:p>
    <w:p>
      <w:pPr>
        <w:pStyle w:val="ListBullet"/>
      </w:pPr>
      <w:r>
        <w:t>Claude creates no new product facts, model claims, accuracy claims, security claims, free-offer mechanics, audience promises or URLs.</w:t>
      </w:r>
    </w:p>
    <w:p>
      <w:pPr>
        <w:pStyle w:val="ListBullet"/>
      </w:pPr>
      <w:r>
        <w:t>Claude does not copy text from the current live page or designer mock when it conflicts with this baseline.</w:t>
      </w:r>
    </w:p>
    <w:p>
      <w:pPr>
        <w:pStyle w:val="ListBullet"/>
      </w:pPr>
      <w:r>
        <w:t>Claude may visually combine compact supporting elements only when their meaning remains distinct and the approved order/story is preserved.</w:t>
      </w:r>
    </w:p>
    <w:p>
      <w:pPr>
        <w:pStyle w:val="ListBullet"/>
      </w:pPr>
      <w:r>
        <w:t>Claude may not reorder the page into the legacy pattern (checker → pricing → advantages → how-to → API).</w:t>
      </w:r>
    </w:p>
    <w:p>
      <w:pPr>
        <w:pStyle w:val="ListBullet"/>
      </w:pPr>
      <w:r>
        <w:t>The page should feel like: try the AI checker → see the AI-only report → understand document/amount/location → check documents → interpret responsibly → separate AI from plagiarism → understand data handling → use API if needed → choose AI plan → resolve questions → return to checker.</w:t>
      </w:r>
    </w:p>
    <w:p>
      <w:pPr>
        <w:pStyle w:val="ListBullet"/>
      </w:pPr>
      <w:r>
        <w:t>Internal positioning: PlagiarismSearch should not be the AI detector that claims more; it should be the AI detector that shows the result more clearly.</w:t>
      </w:r>
    </w:p>
    <w:p>
      <w:pPr>
        <w:pStyle w:val="Heading1"/>
      </w:pPr>
      <w:r>
        <w:t>ASSETS REQUIRED FOR FINAL VISUAL QA</w:t>
      </w:r>
    </w:p>
    <w:p>
      <w:pPr>
        <w:pStyle w:val="ListBullet"/>
      </w:pPr>
      <w:r>
        <w:t>Approved real AI-only report screenshot/state showing the actual AI Probability, Total AI Rate and highlighted passage UI. This is mandatory before final report-demo approval.</w:t>
      </w:r>
    </w:p>
    <w:p>
      <w:pPr>
        <w:pStyle w:val="ListBullet"/>
      </w:pPr>
      <w:r>
        <w:t>Existing approved global header/footer and site design-system implementation from the homepage work.</w:t>
      </w:r>
    </w:p>
    <w:p>
      <w:pPr>
        <w:pStyle w:val="ListBullet"/>
      </w:pPr>
      <w:r>
        <w:t>The current AI designer mock/screenshots as VISUAL REFERENCE ONLY.</w:t>
      </w:r>
    </w:p>
    <w:p>
      <w:pPr>
        <w:pStyle w:val="ListBullet"/>
      </w:pPr>
      <w:r>
        <w:t>Authoritative production pricing/backend connection for final production implementation (prototype may use the approved current prices).</w:t>
      </w:r>
    </w:p>
    <w:p>
      <w:pPr>
        <w:pStyle w:val="ListBullet"/>
      </w:pPr>
      <w:r>
        <w:t>Access to test the unauthenticated, registered-free, insufficient-balance and paid AI checker states during QA.</w:t>
      </w:r>
    </w:p>
    <w:p>
      <w:pPr>
        <w:jc w:val="center"/>
      </w:pPr>
      <w:r>
        <w:rPr>
          <w:b/>
          <w:sz w:val="21"/>
        </w:rPr>
        <w:t>END OF AUTHORITATIVE BRIEF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PlagiarismSearch EN AI Detector — Claude Implementation Brief — 2026-08-22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44A6B"/>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315C7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6324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keepNext/>
      <w:spacing w:before="80" w:after="20"/>
    </w:pPr>
    <w:rPr>
      <w:rFonts w:ascii="Arial" w:hAnsi="Arial"/>
      <w:b/>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