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3662A6"/>
          <w:sz w:val="22"/>
        </w:rPr>
        <w:t>CLAUDE EXECUTION BRIEF</w:t>
      </w:r>
    </w:p>
    <w:p>
      <w:pPr>
        <w:pStyle w:val="Title"/>
      </w:pPr>
      <w:r>
        <w:rPr>
          <w:b/>
        </w:rPr>
        <w:t>EN PLAGIARISM API REDESIGN</w:t>
      </w:r>
    </w:p>
    <w:p>
      <w:pPr>
        <w:pStyle w:val="Small"/>
      </w:pPr>
      <w:r>
        <w:t>PlagiarismSearch SEO Recovery 2026</w:t>
      </w:r>
    </w:p>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Field</w:t>
            </w:r>
          </w:p>
        </w:tc>
        <w:tc>
          <w:tcPr>
            <w:tcW w:type="dxa" w:w="5083"/>
            <w:shd w:fill="DDE8F5"/>
            <w:vAlign w:val="center"/>
          </w:tcPr>
          <w:p>
            <w:r>
              <w:rPr>
                <w:b/>
                <w:sz w:val="17"/>
              </w:rPr>
              <w:t>Approved value</w:t>
            </w:r>
          </w:p>
        </w:tc>
      </w:tr>
      <w:tr>
        <w:tc>
          <w:tcPr>
            <w:tcW w:type="dxa" w:w="5083"/>
            <w:vAlign w:val="top"/>
            <w:tcMar>
              <w:top w:w="70" w:type="dxa"/>
              <w:start w:w="90" w:type="dxa"/>
              <w:bottom w:w="70" w:type="dxa"/>
              <w:end w:w="90" w:type="dxa"/>
            </w:tcMar>
          </w:tcPr>
          <w:p>
            <w:pPr>
              <w:spacing w:after="20" w:line="240" w:lineRule="auto"/>
            </w:pPr>
            <w:r>
              <w:t>URL</w:t>
            </w:r>
          </w:p>
        </w:tc>
        <w:tc>
          <w:tcPr>
            <w:tcW w:type="dxa" w:w="5083"/>
            <w:vAlign w:val="top"/>
            <w:tcMar>
              <w:top w:w="70" w:type="dxa"/>
              <w:start w:w="90" w:type="dxa"/>
              <w:bottom w:w="70" w:type="dxa"/>
              <w:end w:w="90" w:type="dxa"/>
            </w:tcMar>
          </w:tcPr>
          <w:p>
            <w:pPr>
              <w:spacing w:after="20" w:line="240" w:lineRule="auto"/>
            </w:pPr>
            <w:r>
              <w:t>https://plagiarismsearch.com/plagiarism-api</w:t>
            </w:r>
          </w:p>
        </w:tc>
      </w:tr>
      <w:tr>
        <w:tc>
          <w:tcPr>
            <w:tcW w:type="dxa" w:w="5083"/>
            <w:vAlign w:val="top"/>
            <w:tcMar>
              <w:top w:w="70" w:type="dxa"/>
              <w:start w:w="90" w:type="dxa"/>
              <w:bottom w:w="70" w:type="dxa"/>
              <w:end w:w="90" w:type="dxa"/>
            </w:tcMar>
          </w:tcPr>
          <w:p>
            <w:pPr>
              <w:spacing w:after="20" w:line="240" w:lineRule="auto"/>
            </w:pPr>
            <w:r>
              <w:t>Archetype</w:t>
            </w:r>
          </w:p>
        </w:tc>
        <w:tc>
          <w:tcPr>
            <w:tcW w:type="dxa" w:w="5083"/>
            <w:vAlign w:val="top"/>
            <w:tcMar>
              <w:top w:w="70" w:type="dxa"/>
              <w:start w:w="90" w:type="dxa"/>
              <w:bottom w:w="70" w:type="dxa"/>
              <w:end w:w="90" w:type="dxa"/>
            </w:tcMar>
          </w:tcPr>
          <w:p>
            <w:pPr>
              <w:spacing w:after="20" w:line="240" w:lineRule="auto"/>
            </w:pPr>
            <w:r>
              <w:t>AR-05 — Core API / Developer Product — BESPOKE</w:t>
            </w:r>
          </w:p>
        </w:tc>
      </w:tr>
      <w:tr>
        <w:tc>
          <w:tcPr>
            <w:tcW w:type="dxa" w:w="5083"/>
            <w:vAlign w:val="top"/>
            <w:tcMar>
              <w:top w:w="70" w:type="dxa"/>
              <w:start w:w="90" w:type="dxa"/>
              <w:bottom w:w="70" w:type="dxa"/>
              <w:end w:w="90" w:type="dxa"/>
            </w:tcMar>
          </w:tcPr>
          <w:p>
            <w:pPr>
              <w:spacing w:after="20" w:line="240" w:lineRule="auto"/>
            </w:pPr>
            <w:r>
              <w:t>Approved</w:t>
            </w:r>
          </w:p>
        </w:tc>
        <w:tc>
          <w:tcPr>
            <w:tcW w:type="dxa" w:w="5083"/>
            <w:vAlign w:val="top"/>
            <w:tcMar>
              <w:top w:w="70" w:type="dxa"/>
              <w:start w:w="90" w:type="dxa"/>
              <w:bottom w:w="70" w:type="dxa"/>
              <w:end w:w="90" w:type="dxa"/>
            </w:tcMar>
          </w:tcPr>
          <w:p>
            <w:pPr>
              <w:spacing w:after="20" w:line="240" w:lineRule="auto"/>
            </w:pPr>
            <w:r>
              <w:t>2026-08-24</w:t>
            </w:r>
          </w:p>
        </w:tc>
      </w:tr>
      <w:tr>
        <w:tc>
          <w:tcPr>
            <w:tcW w:type="dxa" w:w="5083"/>
            <w:vAlign w:val="top"/>
            <w:tcMar>
              <w:top w:w="70" w:type="dxa"/>
              <w:start w:w="90" w:type="dxa"/>
              <w:bottom w:w="70" w:type="dxa"/>
              <w:end w:w="90" w:type="dxa"/>
            </w:tcMar>
          </w:tcPr>
          <w:p>
            <w:pPr>
              <w:spacing w:after="20" w:line="240" w:lineRule="auto"/>
            </w:pPr>
            <w:r>
              <w:t>Decision</w:t>
            </w:r>
          </w:p>
        </w:tc>
        <w:tc>
          <w:tcPr>
            <w:tcW w:type="dxa" w:w="5083"/>
            <w:vAlign w:val="top"/>
            <w:tcMar>
              <w:top w:w="70" w:type="dxa"/>
              <w:start w:w="90" w:type="dxa"/>
              <w:bottom w:w="70" w:type="dxa"/>
              <w:end w:w="90" w:type="dxa"/>
            </w:tcMar>
          </w:tcPr>
          <w:p>
            <w:pPr>
              <w:spacing w:after="20" w:line="240" w:lineRule="auto"/>
            </w:pPr>
            <w:r>
              <w:t>DEC-0041</w:t>
            </w:r>
          </w:p>
        </w:tc>
      </w:tr>
      <w:tr>
        <w:tc>
          <w:tcPr>
            <w:tcW w:type="dxa" w:w="5083"/>
            <w:vAlign w:val="top"/>
            <w:tcMar>
              <w:top w:w="70" w:type="dxa"/>
              <w:start w:w="90" w:type="dxa"/>
              <w:bottom w:w="70" w:type="dxa"/>
              <w:end w:w="90" w:type="dxa"/>
            </w:tcMar>
          </w:tcPr>
          <w:p>
            <w:pPr>
              <w:spacing w:after="20" w:line="240" w:lineRule="auto"/>
            </w:pPr>
            <w:r>
              <w:t>Implementation principle</w:t>
            </w:r>
          </w:p>
        </w:tc>
        <w:tc>
          <w:tcPr>
            <w:tcW w:type="dxa" w:w="5083"/>
            <w:vAlign w:val="top"/>
            <w:tcMar>
              <w:top w:w="70" w:type="dxa"/>
              <w:start w:w="90" w:type="dxa"/>
              <w:bottom w:w="70" w:type="dxa"/>
              <w:end w:w="90" w:type="dxa"/>
            </w:tcMar>
          </w:tcPr>
          <w:p>
            <w:pPr>
              <w:spacing w:after="20" w:line="240" w:lineRule="auto"/>
            </w:pPr>
            <w:r>
              <w:t>Show the integration, not just promise that it is easy.</w:t>
            </w:r>
          </w:p>
        </w:tc>
      </w:tr>
      <w:tr>
        <w:tc>
          <w:tcPr>
            <w:tcW w:type="dxa" w:w="5083"/>
            <w:vAlign w:val="top"/>
            <w:tcMar>
              <w:top w:w="70" w:type="dxa"/>
              <w:start w:w="90" w:type="dxa"/>
              <w:bottom w:w="70" w:type="dxa"/>
              <w:end w:w="90" w:type="dxa"/>
            </w:tcMar>
          </w:tcPr>
          <w:p>
            <w:pPr>
              <w:spacing w:after="20" w:line="240" w:lineRule="auto"/>
            </w:pPr>
            <w:r>
              <w:t>Content status</w:t>
            </w:r>
          </w:p>
        </w:tc>
        <w:tc>
          <w:tcPr>
            <w:tcW w:type="dxa" w:w="5083"/>
            <w:vAlign w:val="top"/>
            <w:tcMar>
              <w:top w:w="70" w:type="dxa"/>
              <w:start w:w="90" w:type="dxa"/>
              <w:bottom w:w="70" w:type="dxa"/>
              <w:end w:w="90" w:type="dxa"/>
            </w:tcMar>
          </w:tcPr>
          <w:p>
            <w:pPr>
              <w:spacing w:after="20" w:line="240" w:lineRule="auto"/>
            </w:pPr>
            <w:r>
              <w:t>APPROVED BASELINE — Claude may design/implement, not rewrite.</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CF7EF"/>
          </w:tcPr>
          <w:p>
            <w:pPr>
              <w:spacing w:after="40"/>
            </w:pPr>
            <w:r>
              <w:rPr>
                <w:rFonts w:ascii="Liberation Sans" w:hAnsi="Liberation Sans"/>
                <w:b/>
                <w:color w:val="2C7049"/>
                <w:sz w:val="19"/>
              </w:rPr>
              <w:t>CORE DIRECTION</w:t>
            </w:r>
          </w:p>
          <w:p>
            <w:pPr>
              <w:spacing w:after="0"/>
            </w:pPr>
            <w:r>
              <w:t>The page is a developer-first commercial product page. The signature proof is the real API 3.1.0 Request → Response → Webhook flow. The Vercel designer mock is visual reference only; its text, metrics, code and product claims are not authoritative.</w:t>
            </w:r>
          </w:p>
        </w:tc>
      </w:tr>
    </w:tbl>
    <w:p>
      <w:r>
        <w:br w:type="page"/>
      </w:r>
    </w:p>
    <w:p>
      <w:pPr>
        <w:pStyle w:val="Heading1"/>
      </w:pPr>
      <w:r>
        <w:t>OBJECTIVE</w:t>
      </w:r>
    </w:p>
    <w:p>
      <w:pPr/>
      <w:r>
        <w:t>Design and implement the new English Plagiarism API page for https://plagiarismsearch.com/plagiarism-api as the primary English commercial/developer owner for Plagiarism API, Plagiarism Checker API, Plagiarism Detection API and Plagiarism API Integration intent. Preserve the existing URL and its accumulated search, link and business value. The result must feel like a real API product evaluation experience, not a generic B2B brochure and not a duplicate of Swagger documentation.</w:t>
      </w:r>
    </w:p>
    <w:p>
      <w:pPr>
        <w:pStyle w:val="Heading1"/>
      </w:pPr>
      <w:r>
        <w:t>SOURCE-OF-TRUTH RULE</w:t>
      </w:r>
    </w:p>
    <w:p>
      <w:pPr/>
      <w:r>
        <w:t>The approved content baseline begins later in this same file. Treat every visible page heading, paragraph, CTA label, destination, code-tab label, proof label, form label, FAQ question/answer, section order and product statement as exact unless the item is explicitly marked DYNAMIC, GATED, IMPLEMENTATION NOTE, UTILITY LABEL, or VISUAL REFERENCE ONLY.</w:t>
      </w:r>
    </w:p>
    <w:p>
      <w:pPr/>
      <w:r>
        <w:t>Claude is the design/implementation executor, not the writer or product strategist. Do not rewrite, shorten, expand, reorder, reinterpret, SEO-optimize, “improve,” modernize or replace approved copy to fit a layout.</w:t>
      </w:r>
    </w:p>
    <w:p>
      <w:pPr>
        <w:pStyle w:val="Heading1"/>
      </w:pPr>
      <w:r>
        <w:t>AUTHORITY / INPUT PRECEDENCE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DE8F5"/>
            <w:vAlign w:val="center"/>
          </w:tcPr>
          <w:p>
            <w:r>
              <w:rPr>
                <w:b/>
                <w:sz w:val="17"/>
              </w:rPr>
              <w:t>Priority</w:t>
            </w:r>
          </w:p>
        </w:tc>
        <w:tc>
          <w:tcPr>
            <w:tcW w:type="dxa" w:w="3389"/>
            <w:shd w:fill="DDE8F5"/>
            <w:vAlign w:val="center"/>
          </w:tcPr>
          <w:p>
            <w:r>
              <w:rPr>
                <w:b/>
                <w:sz w:val="17"/>
              </w:rPr>
              <w:t>Source</w:t>
            </w:r>
          </w:p>
        </w:tc>
        <w:tc>
          <w:tcPr>
            <w:tcW w:type="dxa" w:w="3389"/>
            <w:shd w:fill="DDE8F5"/>
            <w:vAlign w:val="center"/>
          </w:tcPr>
          <w:p>
            <w:r>
              <w:rPr>
                <w:b/>
                <w:sz w:val="17"/>
              </w:rPr>
              <w:t>Authority</w:t>
            </w:r>
          </w:p>
        </w:tc>
      </w:tr>
      <w:tr>
        <w:tc>
          <w:tcPr>
            <w:tcW w:type="dxa" w:w="3389"/>
            <w:vAlign w:val="top"/>
            <w:tcMar>
              <w:top w:w="70" w:type="dxa"/>
              <w:start w:w="90" w:type="dxa"/>
              <w:bottom w:w="70" w:type="dxa"/>
              <w:end w:w="90" w:type="dxa"/>
            </w:tcMar>
          </w:tcPr>
          <w:p>
            <w:pPr>
              <w:spacing w:after="20" w:line="240" w:lineRule="auto"/>
            </w:pPr>
            <w:r>
              <w:t>1</w:t>
            </w:r>
          </w:p>
        </w:tc>
        <w:tc>
          <w:tcPr>
            <w:tcW w:type="dxa" w:w="3389"/>
            <w:vAlign w:val="top"/>
            <w:tcMar>
              <w:top w:w="70" w:type="dxa"/>
              <w:start w:w="90" w:type="dxa"/>
              <w:bottom w:w="70" w:type="dxa"/>
              <w:end w:w="90" w:type="dxa"/>
            </w:tcMar>
          </w:tcPr>
          <w:p>
            <w:pPr>
              <w:spacing w:after="20" w:line="240" w:lineRule="auto"/>
            </w:pPr>
            <w:r>
              <w:t>This brief / DEC-0041</w:t>
            </w:r>
          </w:p>
        </w:tc>
        <w:tc>
          <w:tcPr>
            <w:tcW w:type="dxa" w:w="3389"/>
            <w:vAlign w:val="top"/>
            <w:tcMar>
              <w:top w:w="70" w:type="dxa"/>
              <w:start w:w="90" w:type="dxa"/>
              <w:bottom w:w="70" w:type="dxa"/>
              <w:end w:w="90" w:type="dxa"/>
            </w:tcMar>
          </w:tcPr>
          <w:p>
            <w:pPr>
              <w:spacing w:after="20" w:line="240" w:lineRule="auto"/>
            </w:pPr>
            <w:r>
              <w:t>Governs this page’s content, section order, page role, links, claims, CTA hierarchy and implementation constraints.</w:t>
            </w:r>
          </w:p>
        </w:tc>
      </w:tr>
      <w:tr>
        <w:tc>
          <w:tcPr>
            <w:tcW w:type="dxa" w:w="3389"/>
            <w:vAlign w:val="top"/>
            <w:tcMar>
              <w:top w:w="70" w:type="dxa"/>
              <w:start w:w="90" w:type="dxa"/>
              <w:bottom w:w="70" w:type="dxa"/>
              <w:end w:w="90" w:type="dxa"/>
            </w:tcMar>
          </w:tcPr>
          <w:p>
            <w:pPr>
              <w:spacing w:after="20" w:line="240" w:lineRule="auto"/>
            </w:pPr>
            <w:r>
              <w:t>2</w:t>
            </w:r>
          </w:p>
        </w:tc>
        <w:tc>
          <w:tcPr>
            <w:tcW w:type="dxa" w:w="3389"/>
            <w:vAlign w:val="top"/>
            <w:tcMar>
              <w:top w:w="70" w:type="dxa"/>
              <w:start w:w="90" w:type="dxa"/>
              <w:bottom w:w="70" w:type="dxa"/>
              <w:end w:w="90" w:type="dxa"/>
            </w:tcMar>
          </w:tcPr>
          <w:p>
            <w:pPr>
              <w:spacing w:after="20" w:line="240" w:lineRule="auto"/>
            </w:pPr>
            <w:r>
              <w:t>Verified production API behavior / direct developer confirmation</w:t>
            </w:r>
          </w:p>
        </w:tc>
        <w:tc>
          <w:tcPr>
            <w:tcW w:type="dxa" w:w="3389"/>
            <w:vAlign w:val="top"/>
            <w:tcMar>
              <w:top w:w="70" w:type="dxa"/>
              <w:start w:w="90" w:type="dxa"/>
              <w:bottom w:w="70" w:type="dxa"/>
              <w:end w:w="90" w:type="dxa"/>
            </w:tcMar>
          </w:tcPr>
          <w:p>
            <w:pPr>
              <w:spacing w:after="20" w:line="240" w:lineRule="auto"/>
            </w:pPr>
            <w:r>
              <w:t>Governs technical contract facts if a production behavior changes after this brief. Any conflict requires an explicit recorded update; do not silently alter the page.</w:t>
            </w:r>
          </w:p>
        </w:tc>
      </w:tr>
      <w:tr>
        <w:tc>
          <w:tcPr>
            <w:tcW w:type="dxa" w:w="3389"/>
            <w:vAlign w:val="top"/>
            <w:tcMar>
              <w:top w:w="70" w:type="dxa"/>
              <w:start w:w="90" w:type="dxa"/>
              <w:bottom w:w="70" w:type="dxa"/>
              <w:end w:w="90" w:type="dxa"/>
            </w:tcMar>
          </w:tcPr>
          <w:p>
            <w:pPr>
              <w:spacing w:after="20" w:line="240" w:lineRule="auto"/>
            </w:pPr>
            <w:r>
              <w:t>3</w:t>
            </w:r>
          </w:p>
        </w:tc>
        <w:tc>
          <w:tcPr>
            <w:tcW w:type="dxa" w:w="3389"/>
            <w:vAlign w:val="top"/>
            <w:tcMar>
              <w:top w:w="70" w:type="dxa"/>
              <w:start w:w="90" w:type="dxa"/>
              <w:bottom w:w="70" w:type="dxa"/>
              <w:end w:w="90" w:type="dxa"/>
            </w:tcMar>
          </w:tcPr>
          <w:p>
            <w:pPr>
              <w:spacing w:after="20" w:line="240" w:lineRule="auto"/>
            </w:pPr>
            <w:r>
              <w:t>Current API 3.1.0 documentation at /docs/</w:t>
            </w:r>
          </w:p>
        </w:tc>
        <w:tc>
          <w:tcPr>
            <w:tcW w:type="dxa" w:w="3389"/>
            <w:vAlign w:val="top"/>
            <w:tcMar>
              <w:top w:w="70" w:type="dxa"/>
              <w:start w:w="90" w:type="dxa"/>
              <w:bottom w:w="70" w:type="dxa"/>
              <w:end w:w="90" w:type="dxa"/>
            </w:tcMar>
          </w:tcPr>
          <w:p>
            <w:pPr>
              <w:spacing w:after="20" w:line="240" w:lineRule="auto"/>
            </w:pPr>
            <w:r>
              <w:t>Primary technical reference. Use it for full schema/reference, not the legacy Q&amp;A when facts conflict.</w:t>
            </w:r>
          </w:p>
        </w:tc>
      </w:tr>
      <w:tr>
        <w:tc>
          <w:tcPr>
            <w:tcW w:type="dxa" w:w="3389"/>
            <w:vAlign w:val="top"/>
            <w:tcMar>
              <w:top w:w="70" w:type="dxa"/>
              <w:start w:w="90" w:type="dxa"/>
              <w:bottom w:w="70" w:type="dxa"/>
              <w:end w:w="90" w:type="dxa"/>
            </w:tcMar>
          </w:tcPr>
          <w:p>
            <w:pPr>
              <w:spacing w:after="20" w:line="240" w:lineRule="auto"/>
            </w:pPr>
            <w:r>
              <w:t>4</w:t>
            </w:r>
          </w:p>
        </w:tc>
        <w:tc>
          <w:tcPr>
            <w:tcW w:type="dxa" w:w="3389"/>
            <w:vAlign w:val="top"/>
            <w:tcMar>
              <w:top w:w="70" w:type="dxa"/>
              <w:start w:w="90" w:type="dxa"/>
              <w:bottom w:w="70" w:type="dxa"/>
              <w:end w:w="90" w:type="dxa"/>
            </w:tcMar>
          </w:tcPr>
          <w:p>
            <w:pPr>
              <w:spacing w:after="20" w:line="240" w:lineRule="auto"/>
            </w:pPr>
            <w:r>
              <w:t>Approved PlagiarismSearch global design system / header-footer decisions</w:t>
            </w:r>
          </w:p>
        </w:tc>
        <w:tc>
          <w:tcPr>
            <w:tcW w:type="dxa" w:w="3389"/>
            <w:vAlign w:val="top"/>
            <w:tcMar>
              <w:top w:w="70" w:type="dxa"/>
              <w:start w:w="90" w:type="dxa"/>
              <w:bottom w:w="70" w:type="dxa"/>
              <w:end w:w="90" w:type="dxa"/>
            </w:tcMar>
          </w:tcPr>
          <w:p>
            <w:pPr>
              <w:spacing w:after="20" w:line="240" w:lineRule="auto"/>
            </w:pPr>
            <w:r>
              <w:t>Governs global navigation, typography system, base controls and cross-site styling.</w:t>
            </w:r>
          </w:p>
        </w:tc>
      </w:tr>
      <w:tr>
        <w:tc>
          <w:tcPr>
            <w:tcW w:type="dxa" w:w="3389"/>
            <w:vAlign w:val="top"/>
            <w:tcMar>
              <w:top w:w="70" w:type="dxa"/>
              <w:start w:w="90" w:type="dxa"/>
              <w:bottom w:w="70" w:type="dxa"/>
              <w:end w:w="90" w:type="dxa"/>
            </w:tcMar>
          </w:tcPr>
          <w:p>
            <w:pPr>
              <w:spacing w:after="20" w:line="240" w:lineRule="auto"/>
            </w:pPr>
            <w:r>
              <w:t>5</w:t>
            </w:r>
          </w:p>
        </w:tc>
        <w:tc>
          <w:tcPr>
            <w:tcW w:type="dxa" w:w="3389"/>
            <w:vAlign w:val="top"/>
            <w:tcMar>
              <w:top w:w="70" w:type="dxa"/>
              <w:start w:w="90" w:type="dxa"/>
              <w:bottom w:w="70" w:type="dxa"/>
              <w:end w:w="90" w:type="dxa"/>
            </w:tcMar>
          </w:tcPr>
          <w:p>
            <w:pPr>
              <w:spacing w:after="20" w:line="240" w:lineRule="auto"/>
            </w:pPr>
            <w:r>
              <w:t>NEW Vercel API mock — first five user screenshots, browser address on Vercel</w:t>
            </w:r>
          </w:p>
        </w:tc>
        <w:tc>
          <w:tcPr>
            <w:tcW w:type="dxa" w:w="3389"/>
            <w:vAlign w:val="top"/>
            <w:tcMar>
              <w:top w:w="70" w:type="dxa"/>
              <w:start w:w="90" w:type="dxa"/>
              <w:bottom w:w="70" w:type="dxa"/>
              <w:end w:w="90" w:type="dxa"/>
            </w:tcMar>
          </w:tcPr>
          <w:p>
            <w:pPr>
              <w:spacing w:after="20" w:line="240" w:lineRule="auto"/>
            </w:pPr>
            <w:r>
              <w:t>VISUAL REFERENCE ONLY. May inform composition/components. Its copy, stats, code, fields and claims have zero product authority.</w:t>
            </w:r>
          </w:p>
        </w:tc>
      </w:tr>
      <w:tr>
        <w:tc>
          <w:tcPr>
            <w:tcW w:type="dxa" w:w="3389"/>
            <w:vAlign w:val="top"/>
            <w:tcMar>
              <w:top w:w="70" w:type="dxa"/>
              <w:start w:w="90" w:type="dxa"/>
              <w:bottom w:w="70" w:type="dxa"/>
              <w:end w:w="90" w:type="dxa"/>
            </w:tcMar>
          </w:tcPr>
          <w:p>
            <w:pPr>
              <w:spacing w:after="20" w:line="240" w:lineRule="auto"/>
            </w:pPr>
            <w:r>
              <w:t>6</w:t>
            </w:r>
          </w:p>
        </w:tc>
        <w:tc>
          <w:tcPr>
            <w:tcW w:type="dxa" w:w="3389"/>
            <w:vAlign w:val="top"/>
            <w:tcMar>
              <w:top w:w="70" w:type="dxa"/>
              <w:start w:w="90" w:type="dxa"/>
              <w:bottom w:w="70" w:type="dxa"/>
              <w:end w:w="90" w:type="dxa"/>
            </w:tcMar>
          </w:tcPr>
          <w:p>
            <w:pPr>
              <w:spacing w:after="20" w:line="240" w:lineRule="auto"/>
            </w:pPr>
            <w:r>
              <w:t>Current/live /plagiarism-api — last four user screenshots + live page</w:t>
            </w:r>
          </w:p>
        </w:tc>
        <w:tc>
          <w:tcPr>
            <w:tcW w:type="dxa" w:w="3389"/>
            <w:vAlign w:val="top"/>
            <w:tcMar>
              <w:top w:w="70" w:type="dxa"/>
              <w:start w:w="90" w:type="dxa"/>
              <w:bottom w:w="70" w:type="dxa"/>
              <w:end w:w="90" w:type="dxa"/>
            </w:tcMar>
          </w:tcPr>
          <w:p>
            <w:pPr>
              <w:spacing w:after="20" w:line="240" w:lineRule="auto"/>
            </w:pPr>
            <w:r>
              <w:t>Legacy reference only. Do not preserve a block or claim merely because it exists.</w:t>
            </w:r>
          </w:p>
        </w:tc>
      </w:tr>
      <w:tr>
        <w:tc>
          <w:tcPr>
            <w:tcW w:type="dxa" w:w="3389"/>
            <w:vAlign w:val="top"/>
            <w:tcMar>
              <w:top w:w="70" w:type="dxa"/>
              <w:start w:w="90" w:type="dxa"/>
              <w:bottom w:w="70" w:type="dxa"/>
              <w:end w:w="90" w:type="dxa"/>
            </w:tcMar>
          </w:tcPr>
          <w:p>
            <w:pPr>
              <w:spacing w:after="20" w:line="240" w:lineRule="auto"/>
            </w:pPr>
            <w:r>
              <w:t>7</w:t>
            </w:r>
          </w:p>
        </w:tc>
        <w:tc>
          <w:tcPr>
            <w:tcW w:type="dxa" w:w="3389"/>
            <w:vAlign w:val="top"/>
            <w:tcMar>
              <w:top w:w="70" w:type="dxa"/>
              <w:start w:w="90" w:type="dxa"/>
              <w:bottom w:w="70" w:type="dxa"/>
              <w:end w:w="90" w:type="dxa"/>
            </w:tcMar>
          </w:tcPr>
          <w:p>
            <w:pPr>
              <w:spacing w:after="20" w:line="240" w:lineRule="auto"/>
            </w:pPr>
            <w:r>
              <w:t>/plagiarismsearch-api-questions-and-answers</w:t>
            </w:r>
          </w:p>
        </w:tc>
        <w:tc>
          <w:tcPr>
            <w:tcW w:type="dxa" w:w="3389"/>
            <w:vAlign w:val="top"/>
            <w:tcMar>
              <w:top w:w="70" w:type="dxa"/>
              <w:start w:w="90" w:type="dxa"/>
              <w:bottom w:w="70" w:type="dxa"/>
              <w:end w:w="90" w:type="dxa"/>
            </w:tcMar>
          </w:tcPr>
          <w:p>
            <w:pPr>
              <w:spacing w:after="20" w:line="240" w:lineRule="auto"/>
            </w:pPr>
            <w:r>
              <w:t>Supporting legacy resource only until factual synchronization is completed. It must not override API 3.1.0 facts.</w:t>
            </w:r>
          </w:p>
        </w:tc>
      </w:tr>
    </w:tbl>
    <w:p>
      <w:pPr>
        <w:spacing w:after="20"/>
      </w:pPr>
    </w:p>
    <w:p>
      <w:pPr>
        <w:pStyle w:val="Heading1"/>
      </w:pPr>
      <w:r>
        <w:t>PAGE ROLE / SEARCH OWNERSHIP</w:t>
      </w:r>
    </w:p>
    <w:p>
      <w:pPr/>
      <w:r>
        <w:t>This page owns the English Plagiarism Checker API product/commercial intent. It demonstrates the API sufficiently for a developer or buyer to qualify the product, then routes technical implementation detail to /docs/. It does not become a full API reference, an AI API landing, a Moodle landing, an Education solution page, a generic integrations directory or a giant troubleshooting manual.</w:t>
      </w:r>
    </w:p>
    <w:p>
      <w:pPr>
        <w:pStyle w:val="ListBullet"/>
        <w:spacing w:after="40"/>
      </w:pPr>
      <w:r>
        <w:t>Primary category language: Plagiarism Checker API / Plagiarism API.</w:t>
      </w:r>
    </w:p>
    <w:p>
      <w:pPr>
        <w:pStyle w:val="ListBullet"/>
        <w:spacing w:after="40"/>
      </w:pPr>
      <w:r>
        <w:t>Primary user job: understand what can be submitted → understand what can be searched/configured → understand async processing → understand how completion/result data returns → inspect docs or request access.</w:t>
      </w:r>
    </w:p>
    <w:p>
      <w:pPr>
        <w:pStyle w:val="ListBullet"/>
        <w:spacing w:after="40"/>
      </w:pPr>
      <w:r>
        <w:t>Secondary commercial job: support trial/access/custom-pricing qualification without blocking developer evaluation behind sales contact.</w:t>
      </w:r>
    </w:p>
    <w:p>
      <w:pPr>
        <w:pStyle w:val="Heading1"/>
      </w:pPr>
      <w:r>
        <w:t>ASSETS REQUIRED</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Asset / source</w:t>
            </w:r>
          </w:p>
        </w:tc>
        <w:tc>
          <w:tcPr>
            <w:tcW w:type="dxa" w:w="5083"/>
            <w:shd w:fill="DDE8F5"/>
            <w:vAlign w:val="center"/>
          </w:tcPr>
          <w:p>
            <w:r>
              <w:rPr>
                <w:b/>
                <w:sz w:val="17"/>
              </w:rPr>
              <w:t>Rule</w:t>
            </w:r>
          </w:p>
        </w:tc>
      </w:tr>
      <w:tr>
        <w:tc>
          <w:tcPr>
            <w:tcW w:type="dxa" w:w="5083"/>
            <w:vAlign w:val="top"/>
            <w:tcMar>
              <w:top w:w="70" w:type="dxa"/>
              <w:start w:w="90" w:type="dxa"/>
              <w:bottom w:w="70" w:type="dxa"/>
              <w:end w:w="90" w:type="dxa"/>
            </w:tcMar>
          </w:tcPr>
          <w:p>
            <w:pPr>
              <w:spacing w:after="20" w:line="240" w:lineRule="auto"/>
            </w:pPr>
            <w:r>
              <w:t>Approved Vercel API mock screenshots</w:t>
            </w:r>
          </w:p>
        </w:tc>
        <w:tc>
          <w:tcPr>
            <w:tcW w:type="dxa" w:w="5083"/>
            <w:vAlign w:val="top"/>
            <w:tcMar>
              <w:top w:w="70" w:type="dxa"/>
              <w:start w:w="90" w:type="dxa"/>
              <w:bottom w:w="70" w:type="dxa"/>
              <w:end w:w="90" w:type="dxa"/>
            </w:tcMar>
          </w:tcPr>
          <w:p>
            <w:pPr>
              <w:spacing w:after="20" w:line="240" w:lineRule="auto"/>
            </w:pPr>
            <w:r>
              <w:t>Use only as visual/composition reference for split hero, code panel, bento/capability treatment, dark access block and quote-form composition. Ignore all mock text/code/metrics.</w:t>
            </w:r>
          </w:p>
        </w:tc>
      </w:tr>
      <w:tr>
        <w:tc>
          <w:tcPr>
            <w:tcW w:type="dxa" w:w="5083"/>
            <w:vAlign w:val="top"/>
            <w:tcMar>
              <w:top w:w="70" w:type="dxa"/>
              <w:start w:w="90" w:type="dxa"/>
              <w:bottom w:w="70" w:type="dxa"/>
              <w:end w:w="90" w:type="dxa"/>
            </w:tcMar>
          </w:tcPr>
          <w:p>
            <w:pPr>
              <w:spacing w:after="20" w:line="240" w:lineRule="auto"/>
            </w:pPr>
            <w:r>
              <w:t>Production API 3.1.0 code examples</w:t>
            </w:r>
          </w:p>
        </w:tc>
        <w:tc>
          <w:tcPr>
            <w:tcW w:type="dxa" w:w="5083"/>
            <w:vAlign w:val="top"/>
            <w:tcMar>
              <w:top w:w="70" w:type="dxa"/>
              <w:start w:w="90" w:type="dxa"/>
              <w:bottom w:w="70" w:type="dxa"/>
              <w:end w:w="90" w:type="dxa"/>
            </w:tcMar>
          </w:tcPr>
          <w:p>
            <w:pPr>
              <w:spacing w:after="20" w:line="240" w:lineRule="auto"/>
            </w:pPr>
            <w:r>
              <w:t>Included verbatim/faithfully shortened in this brief. No additional code asset is required for the initial implementation.</w:t>
            </w:r>
          </w:p>
        </w:tc>
      </w:tr>
      <w:tr>
        <w:tc>
          <w:tcPr>
            <w:tcW w:type="dxa" w:w="5083"/>
            <w:vAlign w:val="top"/>
            <w:tcMar>
              <w:top w:w="70" w:type="dxa"/>
              <w:start w:w="90" w:type="dxa"/>
              <w:bottom w:w="70" w:type="dxa"/>
              <w:end w:w="90" w:type="dxa"/>
            </w:tcMar>
          </w:tcPr>
          <w:p>
            <w:pPr>
              <w:spacing w:after="20" w:line="240" w:lineRule="auto"/>
            </w:pPr>
            <w:r>
              <w:t>Actual product/result evidence</w:t>
            </w:r>
          </w:p>
        </w:tc>
        <w:tc>
          <w:tcPr>
            <w:tcW w:type="dxa" w:w="5083"/>
            <w:vAlign w:val="top"/>
            <w:tcMar>
              <w:top w:w="70" w:type="dxa"/>
              <w:start w:w="90" w:type="dxa"/>
              <w:bottom w:w="70" w:type="dxa"/>
              <w:end w:w="90" w:type="dxa"/>
            </w:tcMar>
          </w:tcPr>
          <w:p>
            <w:pPr>
              <w:spacing w:after="20" w:line="240" w:lineRule="auto"/>
            </w:pPr>
            <w:r>
              <w:t>Section 5 should use approved real response/webhook/report-lifecycle fields from this brief. Do not use stock photography. A future real product screenshot may replace the field-based visual only after approval.</w:t>
            </w:r>
          </w:p>
        </w:tc>
      </w:tr>
      <w:tr>
        <w:tc>
          <w:tcPr>
            <w:tcW w:type="dxa" w:w="5083"/>
            <w:vAlign w:val="top"/>
            <w:tcMar>
              <w:top w:w="70" w:type="dxa"/>
              <w:start w:w="90" w:type="dxa"/>
              <w:bottom w:w="70" w:type="dxa"/>
              <w:end w:w="90" w:type="dxa"/>
            </w:tcMar>
          </w:tcPr>
          <w:p>
            <w:pPr>
              <w:spacing w:after="20" w:line="240" w:lineRule="auto"/>
            </w:pPr>
            <w:r>
              <w:t>Global header/footer and design tokens</w:t>
            </w:r>
          </w:p>
        </w:tc>
        <w:tc>
          <w:tcPr>
            <w:tcW w:type="dxa" w:w="5083"/>
            <w:vAlign w:val="top"/>
            <w:tcMar>
              <w:top w:w="70" w:type="dxa"/>
              <w:start w:w="90" w:type="dxa"/>
              <w:bottom w:w="70" w:type="dxa"/>
              <w:end w:w="90" w:type="dxa"/>
            </w:tcMar>
          </w:tcPr>
          <w:p>
            <w:pPr>
              <w:spacing w:after="20" w:line="240" w:lineRule="auto"/>
            </w:pPr>
            <w:r>
              <w:t>Reuse the already approved PlagiarismSearch redesign system. Do not redesign global navigation in this task.</w:t>
            </w:r>
          </w:p>
        </w:tc>
      </w:tr>
      <w:tr>
        <w:tc>
          <w:tcPr>
            <w:tcW w:type="dxa" w:w="5083"/>
            <w:vAlign w:val="top"/>
            <w:tcMar>
              <w:top w:w="70" w:type="dxa"/>
              <w:start w:w="90" w:type="dxa"/>
              <w:bottom w:w="70" w:type="dxa"/>
              <w:end w:w="90" w:type="dxa"/>
            </w:tcMar>
          </w:tcPr>
          <w:p>
            <w:pPr>
              <w:spacing w:after="20" w:line="240" w:lineRule="auto"/>
            </w:pPr>
            <w:r>
              <w:t>No stock developer photography required</w:t>
            </w:r>
          </w:p>
        </w:tc>
        <w:tc>
          <w:tcPr>
            <w:tcW w:type="dxa" w:w="5083"/>
            <w:vAlign w:val="top"/>
            <w:tcMar>
              <w:top w:w="70" w:type="dxa"/>
              <w:start w:w="90" w:type="dxa"/>
              <w:bottom w:w="70" w:type="dxa"/>
              <w:end w:w="90" w:type="dxa"/>
            </w:tcMar>
          </w:tcPr>
          <w:p>
            <w:pPr>
              <w:spacing w:after="20" w:line="240" w:lineRule="auto"/>
            </w:pPr>
            <w:r>
              <w:t>The approved direction is actual product evidence. Do not fill an empty layout slot with a generic developer/person image.</w:t>
            </w:r>
          </w:p>
        </w:tc>
      </w:tr>
    </w:tbl>
    <w:p>
      <w:pPr>
        <w:spacing w:after="20"/>
      </w:pPr>
    </w:p>
    <w:p>
      <w:pPr>
        <w:pStyle w:val="Heading1"/>
      </w:pPr>
      <w:r>
        <w:t>REUSE — CANONICAL VISUAL SOURCES</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Block</w:t>
            </w:r>
          </w:p>
        </w:tc>
        <w:tc>
          <w:tcPr>
            <w:tcW w:type="dxa" w:w="5083"/>
            <w:shd w:fill="DDE8F5"/>
            <w:vAlign w:val="center"/>
          </w:tcPr>
          <w:p>
            <w:r>
              <w:rPr>
                <w:b/>
                <w:sz w:val="17"/>
              </w:rPr>
              <w:t>Canonical reuse rule</w:t>
            </w:r>
          </w:p>
        </w:tc>
      </w:tr>
      <w:tr>
        <w:tc>
          <w:tcPr>
            <w:tcW w:type="dxa" w:w="5083"/>
            <w:vAlign w:val="top"/>
            <w:tcMar>
              <w:top w:w="70" w:type="dxa"/>
              <w:start w:w="90" w:type="dxa"/>
              <w:bottom w:w="70" w:type="dxa"/>
              <w:end w:w="90" w:type="dxa"/>
            </w:tcMar>
          </w:tcPr>
          <w:p>
            <w:pPr>
              <w:spacing w:after="20" w:line="240" w:lineRule="auto"/>
            </w:pPr>
            <w:r>
              <w:t>Hero</w:t>
            </w:r>
          </w:p>
        </w:tc>
        <w:tc>
          <w:tcPr>
            <w:tcW w:type="dxa" w:w="5083"/>
            <w:vAlign w:val="top"/>
            <w:tcMar>
              <w:top w:w="70" w:type="dxa"/>
              <w:start w:w="90" w:type="dxa"/>
              <w:bottom w:w="70" w:type="dxa"/>
              <w:end w:w="90" w:type="dxa"/>
            </w:tcMar>
          </w:tcPr>
          <w:p>
            <w:pPr>
              <w:spacing w:after="20" w:line="240" w:lineRule="auto"/>
            </w:pPr>
            <w:r>
              <w:t>NEW Vercel API mock split hero / code-right composition. Keep the composition idea; replace all visible content with this brief.</w:t>
            </w:r>
          </w:p>
        </w:tc>
      </w:tr>
      <w:tr>
        <w:tc>
          <w:tcPr>
            <w:tcW w:type="dxa" w:w="5083"/>
            <w:vAlign w:val="top"/>
            <w:tcMar>
              <w:top w:w="70" w:type="dxa"/>
              <w:start w:w="90" w:type="dxa"/>
              <w:bottom w:w="70" w:type="dxa"/>
              <w:end w:w="90" w:type="dxa"/>
            </w:tcMar>
          </w:tcPr>
          <w:p>
            <w:pPr>
              <w:spacing w:after="20" w:line="240" w:lineRule="auto"/>
            </w:pPr>
            <w:r>
              <w:t>Code panel</w:t>
            </w:r>
          </w:p>
        </w:tc>
        <w:tc>
          <w:tcPr>
            <w:tcW w:type="dxa" w:w="5083"/>
            <w:vAlign w:val="top"/>
            <w:tcMar>
              <w:top w:w="70" w:type="dxa"/>
              <w:start w:w="90" w:type="dxa"/>
              <w:bottom w:w="70" w:type="dxa"/>
              <w:end w:w="90" w:type="dxa"/>
            </w:tcMar>
          </w:tcPr>
          <w:p>
            <w:pPr>
              <w:spacing w:after="20" w:line="240" w:lineRule="auto"/>
            </w:pPr>
            <w:r>
              <w:t>NEW Vercel mock visual treatment may be reused. Tabs/content must be Request / Response / Webhook using approved production examples.</w:t>
            </w:r>
          </w:p>
        </w:tc>
      </w:tr>
      <w:tr>
        <w:tc>
          <w:tcPr>
            <w:tcW w:type="dxa" w:w="5083"/>
            <w:vAlign w:val="top"/>
            <w:tcMar>
              <w:top w:w="70" w:type="dxa"/>
              <w:start w:w="90" w:type="dxa"/>
              <w:bottom w:w="70" w:type="dxa"/>
              <w:end w:w="90" w:type="dxa"/>
            </w:tcMar>
          </w:tcPr>
          <w:p>
            <w:pPr>
              <w:spacing w:after="20" w:line="240" w:lineRule="auto"/>
            </w:pPr>
            <w:r>
              <w:t>Capability section</w:t>
            </w:r>
          </w:p>
        </w:tc>
        <w:tc>
          <w:tcPr>
            <w:tcW w:type="dxa" w:w="5083"/>
            <w:vAlign w:val="top"/>
            <w:tcMar>
              <w:top w:w="70" w:type="dxa"/>
              <w:start w:w="90" w:type="dxa"/>
              <w:bottom w:w="70" w:type="dxa"/>
              <w:end w:w="90" w:type="dxa"/>
            </w:tcMar>
          </w:tcPr>
          <w:p>
            <w:pPr>
              <w:spacing w:after="20" w:line="240" w:lineRule="auto"/>
            </w:pPr>
            <w:r>
              <w:t>NEW Vercel bento layout may be reused. Replace generic cards with the approved factual capabilities.</w:t>
            </w:r>
          </w:p>
        </w:tc>
      </w:tr>
      <w:tr>
        <w:tc>
          <w:tcPr>
            <w:tcW w:type="dxa" w:w="5083"/>
            <w:vAlign w:val="top"/>
            <w:tcMar>
              <w:top w:w="70" w:type="dxa"/>
              <w:start w:w="90" w:type="dxa"/>
              <w:bottom w:w="70" w:type="dxa"/>
              <w:end w:w="90" w:type="dxa"/>
            </w:tcMar>
          </w:tcPr>
          <w:p>
            <w:pPr>
              <w:spacing w:after="20" w:line="240" w:lineRule="auto"/>
            </w:pPr>
            <w:r>
              <w:t>Access / commercial callout</w:t>
            </w:r>
          </w:p>
        </w:tc>
        <w:tc>
          <w:tcPr>
            <w:tcW w:type="dxa" w:w="5083"/>
            <w:vAlign w:val="top"/>
            <w:tcMar>
              <w:top w:w="70" w:type="dxa"/>
              <w:start w:w="90" w:type="dxa"/>
              <w:bottom w:w="70" w:type="dxa"/>
              <w:end w:w="90" w:type="dxa"/>
            </w:tcMar>
          </w:tcPr>
          <w:p>
            <w:pPr>
              <w:spacing w:after="20" w:line="240" w:lineRule="auto"/>
            </w:pPr>
            <w:r>
              <w:t>NEW Vercel dark callout style may be reused, but do not use a universal “Free Trial” claim.</w:t>
            </w:r>
          </w:p>
        </w:tc>
      </w:tr>
      <w:tr>
        <w:tc>
          <w:tcPr>
            <w:tcW w:type="dxa" w:w="5083"/>
            <w:vAlign w:val="top"/>
            <w:tcMar>
              <w:top w:w="70" w:type="dxa"/>
              <w:start w:w="90" w:type="dxa"/>
              <w:bottom w:w="70" w:type="dxa"/>
              <w:end w:w="90" w:type="dxa"/>
            </w:tcMar>
          </w:tcPr>
          <w:p>
            <w:pPr>
              <w:spacing w:after="20" w:line="240" w:lineRule="auto"/>
            </w:pPr>
            <w:r>
              <w:t>Quote form</w:t>
            </w:r>
          </w:p>
        </w:tc>
        <w:tc>
          <w:tcPr>
            <w:tcW w:type="dxa" w:w="5083"/>
            <w:vAlign w:val="top"/>
            <w:tcMar>
              <w:top w:w="70" w:type="dxa"/>
              <w:start w:w="90" w:type="dxa"/>
              <w:bottom w:w="70" w:type="dxa"/>
              <w:end w:w="90" w:type="dxa"/>
            </w:tcMar>
          </w:tcPr>
          <w:p>
            <w:pPr>
              <w:spacing w:after="20" w:line="240" w:lineRule="auto"/>
            </w:pPr>
            <w:r>
              <w:t>NEW Vercel quote-form composition may be reused with the exact simplified fields/copy below.</w:t>
            </w:r>
          </w:p>
        </w:tc>
      </w:tr>
      <w:tr>
        <w:tc>
          <w:tcPr>
            <w:tcW w:type="dxa" w:w="5083"/>
            <w:vAlign w:val="top"/>
            <w:tcMar>
              <w:top w:w="70" w:type="dxa"/>
              <w:start w:w="90" w:type="dxa"/>
              <w:bottom w:w="70" w:type="dxa"/>
              <w:end w:w="90" w:type="dxa"/>
            </w:tcMar>
          </w:tcPr>
          <w:p>
            <w:pPr>
              <w:spacing w:after="20" w:line="240" w:lineRule="auto"/>
            </w:pPr>
            <w:r>
              <w:t>FAQ</w:t>
            </w:r>
          </w:p>
        </w:tc>
        <w:tc>
          <w:tcPr>
            <w:tcW w:type="dxa" w:w="5083"/>
            <w:vAlign w:val="top"/>
            <w:tcMar>
              <w:top w:w="70" w:type="dxa"/>
              <w:start w:w="90" w:type="dxa"/>
              <w:bottom w:w="70" w:type="dxa"/>
              <w:end w:w="90" w:type="dxa"/>
            </w:tcMar>
          </w:tcPr>
          <w:p>
            <w:pPr>
              <w:spacing w:after="20" w:line="240" w:lineRule="auto"/>
            </w:pPr>
            <w:r>
              <w:t>Reuse the established shared FAQ/accordion component from the redesign system; page-specific questions/answers are fixed below.</w:t>
            </w:r>
          </w:p>
        </w:tc>
      </w:tr>
      <w:tr>
        <w:tc>
          <w:tcPr>
            <w:tcW w:type="dxa" w:w="5083"/>
            <w:vAlign w:val="top"/>
            <w:tcMar>
              <w:top w:w="70" w:type="dxa"/>
              <w:start w:w="90" w:type="dxa"/>
              <w:bottom w:w="70" w:type="dxa"/>
              <w:end w:w="90" w:type="dxa"/>
            </w:tcMar>
          </w:tcPr>
          <w:p>
            <w:pPr>
              <w:spacing w:after="20" w:line="240" w:lineRule="auto"/>
            </w:pPr>
            <w:r>
              <w:t>Buttons, typography, header/footer</w:t>
            </w:r>
          </w:p>
        </w:tc>
        <w:tc>
          <w:tcPr>
            <w:tcW w:type="dxa" w:w="5083"/>
            <w:vAlign w:val="top"/>
            <w:tcMar>
              <w:top w:w="70" w:type="dxa"/>
              <w:start w:w="90" w:type="dxa"/>
              <w:bottom w:w="70" w:type="dxa"/>
              <w:end w:w="90" w:type="dxa"/>
            </w:tcMar>
          </w:tcPr>
          <w:p>
            <w:pPr>
              <w:spacing w:after="20" w:line="240" w:lineRule="auto"/>
            </w:pPr>
            <w:r>
              <w:t>Reuse the approved global design system. Do not invent a separate developer microsite visual language.</w:t>
            </w:r>
          </w:p>
        </w:tc>
      </w:tr>
    </w:tbl>
    <w:p>
      <w:pPr>
        <w:spacing w:after="20"/>
      </w:pPr>
    </w:p>
    <w:p>
      <w:pPr>
        <w:pStyle w:val="Heading1"/>
      </w:pPr>
      <w:r>
        <w:t>LABELS / COPY REPETITION</w:t>
      </w:r>
    </w:p>
    <w:p>
      <w:pPr/>
      <w:r>
        <w:t>Visible structural labels are controlled. Claude may not create new visible eyebrows, badges, metric labels, card subtitles, CTA labels, proof chips, product claims, empty states or sales phrases unless this brief explicitly permits them.</w:t>
      </w:r>
    </w:p>
    <w:p>
      <w:pPr>
        <w:pStyle w:val="ListBullet"/>
        <w:spacing w:after="40"/>
      </w:pPr>
      <w:r>
        <w:t>UTILITY LABEL EXCEPTION: a standard code-copy control may use exactly “Copy” and success state “Copied”. Accessibility-only aria-labels may be written as needed.</w:t>
      </w:r>
    </w:p>
    <w:p>
      <w:pPr>
        <w:pStyle w:val="ListBullet"/>
        <w:spacing w:after="40"/>
      </w:pPr>
      <w:r>
        <w:t>The code tabs are fixed: Request · Response · Webhook.</w:t>
      </w:r>
    </w:p>
    <w:p>
      <w:pPr>
        <w:pStyle w:val="ListBullet"/>
        <w:spacing w:after="40"/>
      </w:pPr>
      <w:r>
        <w:t>Approved marketing/body copy appears only where specified. Do not repeat helper/body copy elsewhere to fill space.</w:t>
      </w:r>
    </w:p>
    <w:p>
      <w:pPr>
        <w:pStyle w:val="ListBullet"/>
        <w:spacing w:after="40"/>
      </w:pPr>
      <w:r>
        <w:t>CTA labels may repeat only where this baseline explicitly repeats them (for example “View API documentation” and “Request API access”).</w:t>
      </w:r>
    </w:p>
    <w:p>
      <w:pPr>
        <w:pStyle w:val="ListBullet"/>
        <w:spacing w:after="40"/>
      </w:pPr>
      <w:r>
        <w:t>Do not reserve empty visual slots for gated content. If a gated item is not ready, collapse the slot and keep the remaining layout intentional.</w:t>
      </w:r>
    </w:p>
    <w:p>
      <w:pPr>
        <w:pStyle w:val="Heading1"/>
      </w:pPr>
      <w:r>
        <w:t>YOUR DESIGN FREEDOM</w:t>
      </w:r>
    </w:p>
    <w:p>
      <w:pPr/>
      <w:r>
        <w:t>Use the established PlagiarismSearch design system. You own visual composition inside each approved section, grid, spacing, typography within the system, cards, icons, animation, transitions, syntax highlighting, interaction polish, responsive behavior and component styling. You may combine closely related visual sub-elements inside the same semantic section. You may not change the approved section order, category ownership, fixed copy, code contract, destinations, CTA hierarchy or product semantics to fit a visual idea.</w:t>
      </w:r>
    </w:p>
    <w:p>
      <w:pPr>
        <w:pStyle w:val="Heading1"/>
      </w:pPr>
      <w:r>
        <w:t>DESIGNER MOCK — REUSE / REJECT</w:t>
      </w:r>
    </w:p>
    <w:p>
      <w:pPr>
        <w:pStyle w:val="Kicker"/>
      </w:pPr>
      <w:r>
        <w:t>ENCOURAGED VISUAL REUSE</w:t>
      </w:r>
    </w:p>
    <w:p>
      <w:pPr>
        <w:pStyle w:val="ListBullet"/>
        <w:spacing w:after="40"/>
      </w:pPr>
      <w:r>
        <w:t>Split hero with left-side proposition/CTAs and right-side technical code evidence.</w:t>
      </w:r>
    </w:p>
    <w:p>
      <w:pPr>
        <w:pStyle w:val="ListBullet"/>
        <w:spacing w:after="40"/>
      </w:pPr>
      <w:r>
        <w:t>Tabbed code terminal visual treatment.</w:t>
      </w:r>
    </w:p>
    <w:p>
      <w:pPr>
        <w:pStyle w:val="ListBullet"/>
        <w:spacing w:after="40"/>
      </w:pPr>
      <w:r>
        <w:t>Bento-style capability grid.</w:t>
      </w:r>
    </w:p>
    <w:p>
      <w:pPr>
        <w:pStyle w:val="ListBullet"/>
        <w:spacing w:after="40"/>
      </w:pPr>
      <w:r>
        <w:t>Clean multi-step workflow treatment.</w:t>
      </w:r>
    </w:p>
    <w:p>
      <w:pPr>
        <w:pStyle w:val="ListBullet"/>
        <w:spacing w:after="40"/>
      </w:pPr>
      <w:r>
        <w:t>Dark commercial/access callout treatment.</w:t>
      </w:r>
    </w:p>
    <w:p>
      <w:pPr>
        <w:pStyle w:val="ListBullet"/>
        <w:spacing w:after="40"/>
      </w:pPr>
      <w:r>
        <w:t>Quote-form composition and spacing system.</w:t>
      </w:r>
    </w:p>
    <w:p>
      <w:pPr>
        <w:pStyle w:val="Kicker"/>
      </w:pPr>
      <w:r>
        <w:t>REJECT FROM MOCK / LEGACY</w:t>
      </w:r>
    </w:p>
    <w:p>
      <w:pPr>
        <w:pStyle w:val="ListBullet"/>
        <w:spacing w:after="40"/>
      </w:pPr>
      <w:r>
        <w:t>Any mock code using /api/v1, invented report_url fields, fabricated auth syntax or invented request/response objects.</w:t>
      </w:r>
    </w:p>
    <w:p>
      <w:pPr>
        <w:pStyle w:val="ListBullet"/>
        <w:spacing w:after="40"/>
      </w:pPr>
      <w:r>
        <w:t>Hero stats: &lt;24h integration/setup, 14B pages indexed, 17 languages.</w:t>
      </w:r>
    </w:p>
    <w:p>
      <w:pPr>
        <w:pStyle w:val="ListBullet"/>
        <w:spacing w:after="40"/>
      </w:pPr>
      <w:r>
        <w:t>Batch submission.</w:t>
      </w:r>
    </w:p>
    <w:p>
      <w:pPr>
        <w:pStyle w:val="ListBullet"/>
        <w:spacing w:after="40"/>
      </w:pPr>
      <w:r>
        <w:t>Generic “Built for heavy demand” as the core positioning.</w:t>
      </w:r>
    </w:p>
    <w:p>
      <w:pPr>
        <w:pStyle w:val="ListBullet"/>
        <w:spacing w:after="40"/>
      </w:pPr>
      <w:r>
        <w:t>Schools / Universities / Colleges as three near-duplicate audience cards.</w:t>
      </w:r>
    </w:p>
    <w:p>
      <w:pPr>
        <w:pStyle w:val="ListBullet"/>
        <w:spacing w:after="40"/>
      </w:pPr>
      <w:r>
        <w:t>Generic “Various integration methods”, “Extended functionality” or similar filler.</w:t>
      </w:r>
    </w:p>
    <w:p>
      <w:pPr>
        <w:pStyle w:val="ListBullet"/>
        <w:spacing w:after="40"/>
      </w:pPr>
      <w:r>
        <w:t>Moodle plugin presented as an API protocol/mechanic.</w:t>
      </w:r>
    </w:p>
    <w:p>
      <w:pPr>
        <w:pStyle w:val="ListBullet"/>
        <w:spacing w:after="40"/>
      </w:pPr>
      <w:r>
        <w:t>Stock developer photography as the main product proof.</w:t>
      </w:r>
    </w:p>
    <w:p>
      <w:pPr>
        <w:pStyle w:val="ListBullet"/>
        <w:spacing w:after="40"/>
      </w:pPr>
      <w:r>
        <w:t>Universal Free Trial / every-user API-access messaging.</w:t>
      </w:r>
    </w:p>
    <w:p>
      <w:pPr>
        <w:pStyle w:val="ListBullet"/>
        <w:spacing w:after="40"/>
      </w:pPr>
      <w:r>
        <w:t>Legacy sales workflow presented as “How it works”: Contact us → Describe requirements → Receive API → Stay in touch.</w:t>
      </w:r>
    </w:p>
    <w:p>
      <w:pPr>
        <w:pStyle w:val="Heading1"/>
      </w:pPr>
      <w:r>
        <w:t>NON-NEGOTIABLE PAGE STORY</w:t>
      </w:r>
    </w:p>
    <w:p>
      <w:pPr>
        <w:pStyle w:val="ListNumber"/>
        <w:spacing w:after="40"/>
      </w:pPr>
      <w:r>
        <w:t>Real product proof first: category + Request / Response / Webhook evidence.</w:t>
      </w:r>
    </w:p>
    <w:p>
      <w:pPr>
        <w:pStyle w:val="ListNumber"/>
        <w:spacing w:after="40"/>
      </w:pPr>
      <w:r>
        <w:t>Show supported input modes: text, documents, public URLs.</w:t>
      </w:r>
    </w:p>
    <w:p>
      <w:pPr>
        <w:pStyle w:val="ListNumber"/>
        <w:spacing w:after="40"/>
      </w:pPr>
      <w:r>
        <w:t>Show configurable search scope and controls: web, academic database, storage, exclusions, optional AI.</w:t>
      </w:r>
    </w:p>
    <w:p>
      <w:pPr>
        <w:pStyle w:val="ListNumber"/>
        <w:spacing w:after="40"/>
      </w:pPr>
      <w:r>
        <w:t>Explain the real asynchronous API workflow.</w:t>
      </w:r>
    </w:p>
    <w:p>
      <w:pPr>
        <w:pStyle w:val="ListNumber"/>
        <w:spacing w:after="40"/>
      </w:pPr>
      <w:r>
        <w:t>Explain how report status/completion data can be used inside the customer’s product.</w:t>
      </w:r>
    </w:p>
    <w:p>
      <w:pPr>
        <w:pStyle w:val="ListNumber"/>
        <w:spacing w:after="40"/>
      </w:pPr>
      <w:r>
        <w:t>Show only genuinely distinct integration/workflow use cases.</w:t>
      </w:r>
    </w:p>
    <w:p>
      <w:pPr>
        <w:pStyle w:val="ListNumber"/>
        <w:spacing w:after="40"/>
      </w:pPr>
      <w:r>
        <w:t>Route developers into /docs/ as the primary technical reference.</w:t>
      </w:r>
    </w:p>
    <w:p>
      <w:pPr>
        <w:pStyle w:val="ListNumber"/>
        <w:spacing w:after="40"/>
      </w:pPr>
      <w:r>
        <w:t>Explain access/trial/pricing without pretending every user gets a free API key.</w:t>
      </w:r>
    </w:p>
    <w:p>
      <w:pPr>
        <w:pStyle w:val="ListNumber"/>
        <w:spacing w:after="40"/>
      </w:pPr>
      <w:r>
        <w:t>Provide a concise custom-access/quote form for commercial buyers.</w:t>
      </w:r>
    </w:p>
    <w:p>
      <w:pPr>
        <w:pStyle w:val="ListNumber"/>
        <w:spacing w:after="40"/>
      </w:pPr>
      <w:r>
        <w:t>Resolve qualification questions in a compact page-specific FAQ.</w:t>
      </w:r>
    </w:p>
    <w:p>
      <w:pPr>
        <w:pStyle w:val="ListNumber"/>
        <w:spacing w:after="40"/>
      </w:pPr>
      <w:r>
        <w:t>Finish with dual next steps: documentation or API access request.</w:t>
      </w:r>
    </w:p>
    <w:p>
      <w:pPr>
        <w:pStyle w:val="Heading1"/>
      </w:pPr>
      <w:r>
        <w:t>SIGNATURE PRODUCT EVIDENCE</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CF7EF"/>
          </w:tcPr>
          <w:p>
            <w:pPr>
              <w:spacing w:after="40"/>
            </w:pPr>
            <w:r>
              <w:rPr>
                <w:rFonts w:ascii="Liberation Sans" w:hAnsi="Liberation Sans"/>
                <w:b/>
                <w:color w:val="2C7049"/>
                <w:sz w:val="19"/>
              </w:rPr>
              <w:t>SHOW THE INTEGRATION, NOT JUST THE CLAIM</w:t>
            </w:r>
          </w:p>
          <w:p>
            <w:pPr>
              <w:spacing w:after="0"/>
            </w:pPr>
            <w:r>
              <w:t>The signature evidence is the real asynchronous contract: Request → accepted Response → completion Webhook. Code is product content, not decorative developer styling. The page should make the integration understandable before asking the visitor to contact sales.</w:t>
            </w:r>
          </w:p>
        </w:tc>
      </w:tr>
    </w:tbl>
    <w:p>
      <w:pPr/>
      <w:r>
        <w:t>The approved capability story is: what goes in → what gets searched → what can be controlled → how processing works → what comes back.</w:t>
      </w:r>
    </w:p>
    <w:p>
      <w:pPr>
        <w:pStyle w:val="Heading1"/>
      </w:pPr>
      <w:r>
        <w:t>VERIFIED PRODUCT FACTS — DO NOT CHANGE</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Fact</w:t>
            </w:r>
          </w:p>
        </w:tc>
        <w:tc>
          <w:tcPr>
            <w:tcW w:type="dxa" w:w="5083"/>
            <w:shd w:fill="DDE8F5"/>
            <w:vAlign w:val="center"/>
          </w:tcPr>
          <w:p>
            <w:r>
              <w:rPr>
                <w:b/>
                <w:sz w:val="17"/>
              </w:rPr>
              <w:t>Approved truth</w:t>
            </w:r>
          </w:p>
        </w:tc>
      </w:tr>
      <w:tr>
        <w:tc>
          <w:tcPr>
            <w:tcW w:type="dxa" w:w="5083"/>
            <w:vAlign w:val="top"/>
            <w:tcMar>
              <w:top w:w="70" w:type="dxa"/>
              <w:start w:w="90" w:type="dxa"/>
              <w:bottom w:w="70" w:type="dxa"/>
              <w:end w:w="90" w:type="dxa"/>
            </w:tcMar>
          </w:tcPr>
          <w:p>
            <w:pPr>
              <w:spacing w:after="20" w:line="240" w:lineRule="auto"/>
            </w:pPr>
            <w:r>
              <w:t>Production API version</w:t>
            </w:r>
          </w:p>
        </w:tc>
        <w:tc>
          <w:tcPr>
            <w:tcW w:type="dxa" w:w="5083"/>
            <w:vAlign w:val="top"/>
            <w:tcMar>
              <w:top w:w="70" w:type="dxa"/>
              <w:start w:w="90" w:type="dxa"/>
              <w:bottom w:w="70" w:type="dxa"/>
              <w:end w:w="90" w:type="dxa"/>
            </w:tcMar>
          </w:tcPr>
          <w:p>
            <w:pPr>
              <w:spacing w:after="20" w:line="240" w:lineRule="auto"/>
            </w:pPr>
            <w:r>
              <w:t>3.1.0</w:t>
            </w:r>
          </w:p>
        </w:tc>
      </w:tr>
      <w:tr>
        <w:tc>
          <w:tcPr>
            <w:tcW w:type="dxa" w:w="5083"/>
            <w:vAlign w:val="top"/>
            <w:tcMar>
              <w:top w:w="70" w:type="dxa"/>
              <w:start w:w="90" w:type="dxa"/>
              <w:bottom w:w="70" w:type="dxa"/>
              <w:end w:w="90" w:type="dxa"/>
            </w:tcMar>
          </w:tcPr>
          <w:p>
            <w:pPr>
              <w:spacing w:after="20" w:line="240" w:lineRule="auto"/>
            </w:pPr>
            <w:r>
              <w:t>Create-report endpoint</w:t>
            </w:r>
          </w:p>
        </w:tc>
        <w:tc>
          <w:tcPr>
            <w:tcW w:type="dxa" w:w="5083"/>
            <w:vAlign w:val="top"/>
            <w:tcMar>
              <w:top w:w="70" w:type="dxa"/>
              <w:start w:w="90" w:type="dxa"/>
              <w:bottom w:w="70" w:type="dxa"/>
              <w:end w:w="90" w:type="dxa"/>
            </w:tcMar>
          </w:tcPr>
          <w:p>
            <w:pPr>
              <w:spacing w:after="20" w:line="240" w:lineRule="auto"/>
            </w:pPr>
            <w:r>
              <w:t>POST https://plagiarismsearch.com/api/v3/reports/create</w:t>
            </w:r>
          </w:p>
        </w:tc>
      </w:tr>
      <w:tr>
        <w:tc>
          <w:tcPr>
            <w:tcW w:type="dxa" w:w="5083"/>
            <w:vAlign w:val="top"/>
            <w:tcMar>
              <w:top w:w="70" w:type="dxa"/>
              <w:start w:w="90" w:type="dxa"/>
              <w:bottom w:w="70" w:type="dxa"/>
              <w:end w:w="90" w:type="dxa"/>
            </w:tcMar>
          </w:tcPr>
          <w:p>
            <w:pPr>
              <w:spacing w:after="20" w:line="240" w:lineRule="auto"/>
            </w:pPr>
            <w:r>
              <w:t>Architecture</w:t>
            </w:r>
          </w:p>
        </w:tc>
        <w:tc>
          <w:tcPr>
            <w:tcW w:type="dxa" w:w="5083"/>
            <w:vAlign w:val="top"/>
            <w:tcMar>
              <w:top w:w="70" w:type="dxa"/>
              <w:start w:w="90" w:type="dxa"/>
              <w:bottom w:w="70" w:type="dxa"/>
              <w:end w:w="90" w:type="dxa"/>
            </w:tcMar>
          </w:tcPr>
          <w:p>
            <w:pPr>
              <w:spacing w:after="20" w:line="240" w:lineRule="auto"/>
            </w:pPr>
            <w:r>
              <w:t>REST; asynchronous report processing; completion can be delivered to callback_url as a webhook.</w:t>
            </w:r>
          </w:p>
        </w:tc>
      </w:tr>
      <w:tr>
        <w:tc>
          <w:tcPr>
            <w:tcW w:type="dxa" w:w="5083"/>
            <w:vAlign w:val="top"/>
            <w:tcMar>
              <w:top w:w="70" w:type="dxa"/>
              <w:start w:w="90" w:type="dxa"/>
              <w:bottom w:w="70" w:type="dxa"/>
              <w:end w:w="90" w:type="dxa"/>
            </w:tcMar>
          </w:tcPr>
          <w:p>
            <w:pPr>
              <w:spacing w:after="20" w:line="240" w:lineRule="auto"/>
            </w:pPr>
            <w:r>
              <w:t>Request encoding</w:t>
            </w:r>
          </w:p>
        </w:tc>
        <w:tc>
          <w:tcPr>
            <w:tcW w:type="dxa" w:w="5083"/>
            <w:vAlign w:val="top"/>
            <w:tcMar>
              <w:top w:w="70" w:type="dxa"/>
              <w:start w:w="90" w:type="dxa"/>
              <w:bottom w:w="70" w:type="dxa"/>
              <w:end w:w="90" w:type="dxa"/>
            </w:tcMar>
          </w:tcPr>
          <w:p>
            <w:pPr>
              <w:spacing w:after="20" w:line="240" w:lineRule="auto"/>
            </w:pPr>
            <w:r>
              <w:t>JSON preferred for normal text/URL requests; multipart form data for document uploads.</w:t>
            </w:r>
          </w:p>
        </w:tc>
      </w:tr>
      <w:tr>
        <w:tc>
          <w:tcPr>
            <w:tcW w:type="dxa" w:w="5083"/>
            <w:vAlign w:val="top"/>
            <w:tcMar>
              <w:top w:w="70" w:type="dxa"/>
              <w:start w:w="90" w:type="dxa"/>
              <w:bottom w:w="70" w:type="dxa"/>
              <w:end w:w="90" w:type="dxa"/>
            </w:tcMar>
          </w:tcPr>
          <w:p>
            <w:pPr>
              <w:spacing w:after="20" w:line="240" w:lineRule="auto"/>
            </w:pPr>
            <w:r>
              <w:t>Inputs</w:t>
            </w:r>
          </w:p>
        </w:tc>
        <w:tc>
          <w:tcPr>
            <w:tcW w:type="dxa" w:w="5083"/>
            <w:vAlign w:val="top"/>
            <w:tcMar>
              <w:top w:w="70" w:type="dxa"/>
              <w:start w:w="90" w:type="dxa"/>
              <w:bottom w:w="70" w:type="dxa"/>
              <w:end w:w="90" w:type="dxa"/>
            </w:tcMar>
          </w:tcPr>
          <w:p>
            <w:pPr>
              <w:spacing w:after="20" w:line="240" w:lineRule="auto"/>
            </w:pPr>
            <w:r>
              <w:t>Text, supported documents/files, public URL.</w:t>
            </w:r>
          </w:p>
        </w:tc>
      </w:tr>
      <w:tr>
        <w:tc>
          <w:tcPr>
            <w:tcW w:type="dxa" w:w="5083"/>
            <w:vAlign w:val="top"/>
            <w:tcMar>
              <w:top w:w="70" w:type="dxa"/>
              <w:start w:w="90" w:type="dxa"/>
              <w:bottom w:w="70" w:type="dxa"/>
              <w:end w:w="90" w:type="dxa"/>
            </w:tcMar>
          </w:tcPr>
          <w:p>
            <w:pPr>
              <w:spacing w:after="20" w:line="240" w:lineRule="auto"/>
            </w:pPr>
            <w:r>
              <w:t>Authentication</w:t>
            </w:r>
          </w:p>
        </w:tc>
        <w:tc>
          <w:tcPr>
            <w:tcW w:type="dxa" w:w="5083"/>
            <w:vAlign w:val="top"/>
            <w:tcMar>
              <w:top w:w="70" w:type="dxa"/>
              <w:start w:w="90" w:type="dxa"/>
              <w:bottom w:w="70" w:type="dxa"/>
              <w:end w:w="90" w:type="dxa"/>
            </w:tcMar>
          </w:tcPr>
          <w:p>
            <w:pPr>
              <w:spacing w:after="20" w:line="240" w:lineRule="auto"/>
            </w:pPr>
            <w:r>
              <w:t>Basic and Bearer are supported; Bearer is preferred. Exact preferred public Bearer header literal remains a P0 production gate.</w:t>
            </w:r>
          </w:p>
        </w:tc>
      </w:tr>
      <w:tr>
        <w:tc>
          <w:tcPr>
            <w:tcW w:type="dxa" w:w="5083"/>
            <w:vAlign w:val="top"/>
            <w:tcMar>
              <w:top w:w="70" w:type="dxa"/>
              <w:start w:w="90" w:type="dxa"/>
              <w:bottom w:w="70" w:type="dxa"/>
              <w:end w:w="90" w:type="dxa"/>
            </w:tcMar>
          </w:tcPr>
          <w:p>
            <w:pPr>
              <w:spacing w:after="20" w:line="240" w:lineRule="auto"/>
            </w:pPr>
            <w:r>
              <w:t>Initial response</w:t>
            </w:r>
          </w:p>
        </w:tc>
        <w:tc>
          <w:tcPr>
            <w:tcW w:type="dxa" w:w="5083"/>
            <w:vAlign w:val="top"/>
            <w:tcMar>
              <w:top w:w="70" w:type="dxa"/>
              <w:start w:w="90" w:type="dxa"/>
              <w:bottom w:w="70" w:type="dxa"/>
              <w:end w:w="90" w:type="dxa"/>
            </w:tcMar>
          </w:tcPr>
          <w:p>
            <w:pPr>
              <w:spacing w:after="20" w:line="240" w:lineRule="auto"/>
            </w:pPr>
            <w:r>
              <w:t>API returns code 202 with report ID/state while processing continues.</w:t>
            </w:r>
          </w:p>
        </w:tc>
      </w:tr>
      <w:tr>
        <w:tc>
          <w:tcPr>
            <w:tcW w:type="dxa" w:w="5083"/>
            <w:vAlign w:val="top"/>
            <w:tcMar>
              <w:top w:w="70" w:type="dxa"/>
              <w:start w:w="90" w:type="dxa"/>
              <w:bottom w:w="70" w:type="dxa"/>
              <w:end w:w="90" w:type="dxa"/>
            </w:tcMar>
          </w:tcPr>
          <w:p>
            <w:pPr>
              <w:spacing w:after="20" w:line="240" w:lineRule="auto"/>
            </w:pPr>
            <w:r>
              <w:t>Completion event</w:t>
            </w:r>
          </w:p>
        </w:tc>
        <w:tc>
          <w:tcPr>
            <w:tcW w:type="dxa" w:w="5083"/>
            <w:vAlign w:val="top"/>
            <w:tcMar>
              <w:top w:w="70" w:type="dxa"/>
              <w:start w:w="90" w:type="dxa"/>
              <w:bottom w:w="70" w:type="dxa"/>
              <w:end w:w="90" w:type="dxa"/>
            </w:tcMar>
          </w:tcPr>
          <w:p>
            <w:pPr>
              <w:spacing w:after="20" w:line="240" w:lineRule="auto"/>
            </w:pPr>
            <w:r>
              <w:t>report.checked webhook to the supplied callback_url.</w:t>
            </w:r>
          </w:p>
        </w:tc>
      </w:tr>
      <w:tr>
        <w:tc>
          <w:tcPr>
            <w:tcW w:type="dxa" w:w="5083"/>
            <w:vAlign w:val="top"/>
            <w:tcMar>
              <w:top w:w="70" w:type="dxa"/>
              <w:start w:w="90" w:type="dxa"/>
              <w:bottom w:w="70" w:type="dxa"/>
              <w:end w:w="90" w:type="dxa"/>
            </w:tcMar>
          </w:tcPr>
          <w:p>
            <w:pPr>
              <w:spacing w:after="20" w:line="240" w:lineRule="auto"/>
            </w:pPr>
            <w:r>
              <w:t>Batch submission</w:t>
            </w:r>
          </w:p>
        </w:tc>
        <w:tc>
          <w:tcPr>
            <w:tcW w:type="dxa" w:w="5083"/>
            <w:vAlign w:val="top"/>
            <w:tcMar>
              <w:top w:w="70" w:type="dxa"/>
              <w:start w:w="90" w:type="dxa"/>
              <w:bottom w:w="70" w:type="dxa"/>
              <w:end w:w="90" w:type="dxa"/>
            </w:tcMar>
          </w:tcPr>
          <w:p>
            <w:pPr>
              <w:spacing w:after="20" w:line="240" w:lineRule="auto"/>
            </w:pPr>
            <w:r>
              <w:t>NOT supported.</w:t>
            </w:r>
          </w:p>
        </w:tc>
      </w:tr>
      <w:tr>
        <w:tc>
          <w:tcPr>
            <w:tcW w:type="dxa" w:w="5083"/>
            <w:vAlign w:val="top"/>
            <w:tcMar>
              <w:top w:w="70" w:type="dxa"/>
              <w:start w:w="90" w:type="dxa"/>
              <w:bottom w:w="70" w:type="dxa"/>
              <w:end w:w="90" w:type="dxa"/>
            </w:tcMar>
          </w:tcPr>
          <w:p>
            <w:pPr>
              <w:spacing w:after="20" w:line="240" w:lineRule="auto"/>
            </w:pPr>
            <w:r>
              <w:t>Web search</w:t>
            </w:r>
          </w:p>
        </w:tc>
        <w:tc>
          <w:tcPr>
            <w:tcW w:type="dxa" w:w="5083"/>
            <w:vAlign w:val="top"/>
            <w:tcMar>
              <w:top w:w="70" w:type="dxa"/>
              <w:start w:w="90" w:type="dxa"/>
              <w:bottom w:w="70" w:type="dxa"/>
              <w:end w:w="90" w:type="dxa"/>
            </w:tcMar>
          </w:tcPr>
          <w:p>
            <w:pPr>
              <w:spacing w:after="20" w:line="240" w:lineRule="auto"/>
            </w:pPr>
            <w:r>
              <w:t>Supported as a configurable plagiarism-search source.</w:t>
            </w:r>
          </w:p>
        </w:tc>
      </w:tr>
      <w:tr>
        <w:tc>
          <w:tcPr>
            <w:tcW w:type="dxa" w:w="5083"/>
            <w:vAlign w:val="top"/>
            <w:tcMar>
              <w:top w:w="70" w:type="dxa"/>
              <w:start w:w="90" w:type="dxa"/>
              <w:bottom w:w="70" w:type="dxa"/>
              <w:end w:w="90" w:type="dxa"/>
            </w:tcMar>
          </w:tcPr>
          <w:p>
            <w:pPr>
              <w:spacing w:after="20" w:line="240" w:lineRule="auto"/>
            </w:pPr>
            <w:r>
              <w:t>Academic database</w:t>
            </w:r>
          </w:p>
        </w:tc>
        <w:tc>
          <w:tcPr>
            <w:tcW w:type="dxa" w:w="5083"/>
            <w:vAlign w:val="top"/>
            <w:tcMar>
              <w:top w:w="70" w:type="dxa"/>
              <w:start w:w="90" w:type="dxa"/>
              <w:bottom w:w="70" w:type="dxa"/>
              <w:end w:w="90" w:type="dxa"/>
            </w:tcMar>
          </w:tcPr>
          <w:p>
            <w:pPr>
              <w:spacing w:after="20" w:line="240" w:lineRule="auto"/>
            </w:pPr>
            <w:r>
              <w:t>Can be included in API plagiarism checks; approved corpus claim: over 500 million indexed academic texts.</w:t>
            </w:r>
          </w:p>
        </w:tc>
      </w:tr>
      <w:tr>
        <w:tc>
          <w:tcPr>
            <w:tcW w:type="dxa" w:w="5083"/>
            <w:vAlign w:val="top"/>
            <w:tcMar>
              <w:top w:w="70" w:type="dxa"/>
              <w:start w:w="90" w:type="dxa"/>
              <w:bottom w:w="70" w:type="dxa"/>
              <w:end w:w="90" w:type="dxa"/>
            </w:tcMar>
          </w:tcPr>
          <w:p>
            <w:pPr>
              <w:spacing w:after="20" w:line="240" w:lineRule="auto"/>
            </w:pPr>
            <w:r>
              <w:t>Storage</w:t>
            </w:r>
          </w:p>
        </w:tc>
        <w:tc>
          <w:tcPr>
            <w:tcW w:type="dxa" w:w="5083"/>
            <w:vAlign w:val="top"/>
            <w:tcMar>
              <w:top w:w="70" w:type="dxa"/>
              <w:start w:w="90" w:type="dxa"/>
              <w:bottom w:w="70" w:type="dxa"/>
              <w:end w:w="90" w:type="dxa"/>
            </w:tcMar>
          </w:tcPr>
          <w:p>
            <w:pPr>
              <w:spacing w:after="20" w:line="240" w:lineRule="auto"/>
            </w:pPr>
            <w:r>
              <w:t>Personal/organization storage search can be used where account access/permissions allow; request controls also support storage scope/filtering and add-to-storage behavior.</w:t>
            </w:r>
          </w:p>
        </w:tc>
      </w:tr>
      <w:tr>
        <w:tc>
          <w:tcPr>
            <w:tcW w:type="dxa" w:w="5083"/>
            <w:vAlign w:val="top"/>
            <w:tcMar>
              <w:top w:w="70" w:type="dxa"/>
              <w:start w:w="90" w:type="dxa"/>
              <w:bottom w:w="70" w:type="dxa"/>
              <w:end w:w="90" w:type="dxa"/>
            </w:tcMar>
          </w:tcPr>
          <w:p>
            <w:pPr>
              <w:spacing w:after="20" w:line="240" w:lineRule="auto"/>
            </w:pPr>
            <w:r>
              <w:t>Exclusions/controls</w:t>
            </w:r>
          </w:p>
        </w:tc>
        <w:tc>
          <w:tcPr>
            <w:tcW w:type="dxa" w:w="5083"/>
            <w:vAlign w:val="top"/>
            <w:tcMar>
              <w:top w:w="70" w:type="dxa"/>
              <w:start w:w="90" w:type="dxa"/>
              <w:bottom w:w="70" w:type="dxa"/>
              <w:end w:w="90" w:type="dxa"/>
            </w:tcMar>
          </w:tcPr>
          <w:p>
            <w:pPr>
              <w:spacing w:after="20" w:line="240" w:lineRule="auto"/>
            </w:pPr>
            <w:r>
              <w:t>Reference exclusion, quoted/cited-text controls, URL controls and storage filtering are supported through the API request family.</w:t>
            </w:r>
          </w:p>
        </w:tc>
      </w:tr>
      <w:tr>
        <w:tc>
          <w:tcPr>
            <w:tcW w:type="dxa" w:w="5083"/>
            <w:vAlign w:val="top"/>
            <w:tcMar>
              <w:top w:w="70" w:type="dxa"/>
              <w:start w:w="90" w:type="dxa"/>
              <w:bottom w:w="70" w:type="dxa"/>
              <w:end w:w="90" w:type="dxa"/>
            </w:tcMar>
          </w:tcPr>
          <w:p>
            <w:pPr>
              <w:spacing w:after="20" w:line="240" w:lineRule="auto"/>
            </w:pPr>
            <w:r>
              <w:t>AI</w:t>
            </w:r>
          </w:p>
        </w:tc>
        <w:tc>
          <w:tcPr>
            <w:tcW w:type="dxa" w:w="5083"/>
            <w:vAlign w:val="top"/>
            <w:tcMar>
              <w:top w:w="70" w:type="dxa"/>
              <w:start w:w="90" w:type="dxa"/>
              <w:bottom w:w="70" w:type="dxa"/>
              <w:end w:w="90" w:type="dxa"/>
            </w:tcMar>
          </w:tcPr>
          <w:p>
            <w:pPr>
              <w:spacing w:after="20" w:line="240" w:lineRule="auto"/>
            </w:pPr>
            <w:r>
              <w:t>AI analysis can run through the same PlagiarismSearch API infrastructure; it requires available AI word balance. There is no separate standalone AI API product page.</w:t>
            </w:r>
          </w:p>
        </w:tc>
      </w:tr>
      <w:tr>
        <w:tc>
          <w:tcPr>
            <w:tcW w:type="dxa" w:w="5083"/>
            <w:vAlign w:val="top"/>
            <w:tcMar>
              <w:top w:w="70" w:type="dxa"/>
              <w:start w:w="90" w:type="dxa"/>
              <w:bottom w:w="70" w:type="dxa"/>
              <w:end w:w="90" w:type="dxa"/>
            </w:tcMar>
          </w:tcPr>
          <w:p>
            <w:pPr>
              <w:spacing w:after="20" w:line="240" w:lineRule="auto"/>
            </w:pPr>
            <w:r>
              <w:t>Trial/access</w:t>
            </w:r>
          </w:p>
        </w:tc>
        <w:tc>
          <w:tcPr>
            <w:tcW w:type="dxa" w:w="5083"/>
            <w:vAlign w:val="top"/>
            <w:tcMar>
              <w:top w:w="70" w:type="dxa"/>
              <w:start w:w="90" w:type="dxa"/>
              <w:bottom w:w="70" w:type="dxa"/>
              <w:end w:w="90" w:type="dxa"/>
            </w:tcMar>
          </w:tcPr>
          <w:p>
            <w:pPr>
              <w:spacing w:after="20" w:line="240" w:lineRule="auto"/>
            </w:pPr>
            <w:r>
              <w:t>Trial access may be available through supported trial/contact flows; it is not a universal automatic entitlement.</w:t>
            </w:r>
          </w:p>
        </w:tc>
      </w:tr>
      <w:tr>
        <w:tc>
          <w:tcPr>
            <w:tcW w:type="dxa" w:w="5083"/>
            <w:vAlign w:val="top"/>
            <w:tcMar>
              <w:top w:w="70" w:type="dxa"/>
              <w:start w:w="90" w:type="dxa"/>
              <w:bottom w:w="70" w:type="dxa"/>
              <w:end w:w="90" w:type="dxa"/>
            </w:tcMar>
          </w:tcPr>
          <w:p>
            <w:pPr>
              <w:spacing w:after="20" w:line="240" w:lineRule="auto"/>
            </w:pPr>
            <w:r>
              <w:t>Languages</w:t>
            </w:r>
          </w:p>
        </w:tc>
        <w:tc>
          <w:tcPr>
            <w:tcW w:type="dxa" w:w="5083"/>
            <w:vAlign w:val="top"/>
            <w:tcMar>
              <w:top w:w="70" w:type="dxa"/>
              <w:start w:w="90" w:type="dxa"/>
              <w:bottom w:w="70" w:type="dxa"/>
              <w:end w:w="90" w:type="dxa"/>
            </w:tcMar>
          </w:tcPr>
          <w:p>
            <w:pPr>
              <w:spacing w:after="20" w:line="240" w:lineRule="auto"/>
            </w:pPr>
            <w:r>
              <w:t>Multilingual checking is supported; product performance is strongest in English. Do not publish a numeric API language count until separately confirmed.</w:t>
            </w:r>
          </w:p>
        </w:tc>
      </w:tr>
    </w:tbl>
    <w:p>
      <w:pPr>
        <w:spacing w:after="20"/>
      </w:pPr>
    </w:p>
    <w:p>
      <w:pPr>
        <w:pStyle w:val="Heading1"/>
      </w:pPr>
      <w:r>
        <w:t>DYNAMIC / GATED ITEMS</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Item</w:t>
            </w:r>
          </w:p>
        </w:tc>
        <w:tc>
          <w:tcPr>
            <w:tcW w:type="dxa" w:w="5083"/>
            <w:shd w:fill="DDE8F5"/>
            <w:vAlign w:val="center"/>
          </w:tcPr>
          <w:p>
            <w:r>
              <w:rPr>
                <w:b/>
                <w:sz w:val="17"/>
              </w:rPr>
              <w:t>Implementation rule</w:t>
            </w:r>
          </w:p>
        </w:tc>
      </w:tr>
      <w:tr>
        <w:tc>
          <w:tcPr>
            <w:tcW w:type="dxa" w:w="5083"/>
            <w:vAlign w:val="top"/>
            <w:tcMar>
              <w:top w:w="70" w:type="dxa"/>
              <w:start w:w="90" w:type="dxa"/>
              <w:bottom w:w="70" w:type="dxa"/>
              <w:end w:w="90" w:type="dxa"/>
            </w:tcMar>
          </w:tcPr>
          <w:p>
            <w:pPr>
              <w:spacing w:after="20" w:line="240" w:lineRule="auto"/>
            </w:pPr>
            <w:r>
              <w:t>Preferred Bearer header literal</w:t>
            </w:r>
          </w:p>
        </w:tc>
        <w:tc>
          <w:tcPr>
            <w:tcW w:type="dxa" w:w="5083"/>
            <w:vAlign w:val="top"/>
            <w:tcMar>
              <w:top w:w="70" w:type="dxa"/>
              <w:start w:w="90" w:type="dxa"/>
              <w:bottom w:w="70" w:type="dxa"/>
              <w:end w:w="90" w:type="dxa"/>
            </w:tcMar>
          </w:tcPr>
          <w:p>
            <w:pPr>
              <w:spacing w:after="20" w:line="240" w:lineRule="auto"/>
            </w:pPr>
            <w:r>
              <w:t>P0 gate. For the prototype use the developer-supplied Authorization line below. Before production, replace only that line if the developer supplies the exact preferred Bearer syntax. Claude must not infer it.</w:t>
            </w:r>
          </w:p>
        </w:tc>
      </w:tr>
      <w:tr>
        <w:tc>
          <w:tcPr>
            <w:tcW w:type="dxa" w:w="5083"/>
            <w:vAlign w:val="top"/>
            <w:tcMar>
              <w:top w:w="70" w:type="dxa"/>
              <w:start w:w="90" w:type="dxa"/>
              <w:bottom w:w="70" w:type="dxa"/>
              <w:end w:w="90" w:type="dxa"/>
            </w:tcMar>
          </w:tcPr>
          <w:p>
            <w:pPr>
              <w:spacing w:after="20" w:line="240" w:lineRule="auto"/>
            </w:pPr>
            <w:r>
              <w:t>API Q&amp;A resource card/link</w:t>
            </w:r>
          </w:p>
        </w:tc>
        <w:tc>
          <w:tcPr>
            <w:tcW w:type="dxa" w:w="5083"/>
            <w:vAlign w:val="top"/>
            <w:tcMar>
              <w:top w:w="70" w:type="dxa"/>
              <w:start w:w="90" w:type="dxa"/>
              <w:bottom w:w="70" w:type="dxa"/>
              <w:end w:w="90" w:type="dxa"/>
            </w:tcMar>
          </w:tcPr>
          <w:p>
            <w:pPr>
              <w:spacing w:after="20" w:line="240" w:lineRule="auto"/>
            </w:pPr>
            <w:r>
              <w:t>Do NOT render prominently in the initial implementation. Enable only after the API FAQ/Q&amp;A page is factually synchronized with API 3.1.0. Do not reserve an empty slot.</w:t>
            </w:r>
          </w:p>
        </w:tc>
      </w:tr>
      <w:tr>
        <w:tc>
          <w:tcPr>
            <w:tcW w:type="dxa" w:w="5083"/>
            <w:vAlign w:val="top"/>
            <w:tcMar>
              <w:top w:w="70" w:type="dxa"/>
              <w:start w:w="90" w:type="dxa"/>
              <w:bottom w:w="70" w:type="dxa"/>
              <w:end w:w="90" w:type="dxa"/>
            </w:tcMar>
          </w:tcPr>
          <w:p>
            <w:pPr>
              <w:spacing w:after="20" w:line="240" w:lineRule="auto"/>
            </w:pPr>
            <w:r>
              <w:t>API pricing / plan entitlements</w:t>
            </w:r>
          </w:p>
        </w:tc>
        <w:tc>
          <w:tcPr>
            <w:tcW w:type="dxa" w:w="5083"/>
            <w:vAlign w:val="top"/>
            <w:tcMar>
              <w:top w:w="70" w:type="dxa"/>
              <w:start w:w="90" w:type="dxa"/>
              <w:bottom w:w="70" w:type="dxa"/>
              <w:end w:w="90" w:type="dxa"/>
            </w:tcMar>
          </w:tcPr>
          <w:p>
            <w:pPr>
              <w:spacing w:after="20" w:line="240" w:lineRule="auto"/>
            </w:pPr>
            <w:r>
              <w:t>Do not hardcode legacy three-card API pricing. /prices and backend/commercial configuration are the source of truth.</w:t>
            </w:r>
          </w:p>
        </w:tc>
      </w:tr>
      <w:tr>
        <w:tc>
          <w:tcPr>
            <w:tcW w:type="dxa" w:w="5083"/>
            <w:vAlign w:val="top"/>
            <w:tcMar>
              <w:top w:w="70" w:type="dxa"/>
              <w:start w:w="90" w:type="dxa"/>
              <w:bottom w:w="70" w:type="dxa"/>
              <w:end w:w="90" w:type="dxa"/>
            </w:tcMar>
          </w:tcPr>
          <w:p>
            <w:pPr>
              <w:spacing w:after="20" w:line="240" w:lineRule="auto"/>
            </w:pPr>
            <w:r>
              <w:t>Trial entitlement</w:t>
            </w:r>
          </w:p>
        </w:tc>
        <w:tc>
          <w:tcPr>
            <w:tcW w:type="dxa" w:w="5083"/>
            <w:vAlign w:val="top"/>
            <w:tcMar>
              <w:top w:w="70" w:type="dxa"/>
              <w:start w:w="90" w:type="dxa"/>
              <w:bottom w:w="70" w:type="dxa"/>
              <w:end w:w="90" w:type="dxa"/>
            </w:tcMar>
          </w:tcPr>
          <w:p>
            <w:pPr>
              <w:spacing w:after="20" w:line="240" w:lineRule="auto"/>
            </w:pPr>
            <w:r>
              <w:t>Use conditional wording only. Do not promise a universal trial duration/submission count.</w:t>
            </w:r>
          </w:p>
        </w:tc>
      </w:tr>
      <w:tr>
        <w:tc>
          <w:tcPr>
            <w:tcW w:type="dxa" w:w="5083"/>
            <w:vAlign w:val="top"/>
            <w:tcMar>
              <w:top w:w="70" w:type="dxa"/>
              <w:start w:w="90" w:type="dxa"/>
              <w:bottom w:w="70" w:type="dxa"/>
              <w:end w:w="90" w:type="dxa"/>
            </w:tcMar>
          </w:tcPr>
          <w:p>
            <w:pPr>
              <w:spacing w:after="20" w:line="240" w:lineRule="auto"/>
            </w:pPr>
            <w:r>
              <w:t>File allow-list / size limits</w:t>
            </w:r>
          </w:p>
        </w:tc>
        <w:tc>
          <w:tcPr>
            <w:tcW w:type="dxa" w:w="5083"/>
            <w:vAlign w:val="top"/>
            <w:tcMar>
              <w:top w:w="70" w:type="dxa"/>
              <w:start w:w="90" w:type="dxa"/>
              <w:bottom w:w="70" w:type="dxa"/>
              <w:end w:w="90" w:type="dxa"/>
            </w:tcMar>
          </w:tcPr>
          <w:p>
            <w:pPr>
              <w:spacing w:after="20" w:line="240" w:lineRule="auto"/>
            </w:pPr>
            <w:r>
              <w:t>Do not publish an exhaustive list until current API-specific limits are confirmed.</w:t>
            </w:r>
          </w:p>
        </w:tc>
      </w:tr>
      <w:tr>
        <w:tc>
          <w:tcPr>
            <w:tcW w:type="dxa" w:w="5083"/>
            <w:vAlign w:val="top"/>
            <w:tcMar>
              <w:top w:w="70" w:type="dxa"/>
              <w:start w:w="90" w:type="dxa"/>
              <w:bottom w:w="70" w:type="dxa"/>
              <w:end w:w="90" w:type="dxa"/>
            </w:tcMar>
          </w:tcPr>
          <w:p>
            <w:pPr>
              <w:spacing w:after="20" w:line="240" w:lineRule="auto"/>
            </w:pPr>
            <w:r>
              <w:t>Detailed result formats</w:t>
            </w:r>
          </w:p>
        </w:tc>
        <w:tc>
          <w:tcPr>
            <w:tcW w:type="dxa" w:w="5083"/>
            <w:vAlign w:val="top"/>
            <w:tcMar>
              <w:top w:w="70" w:type="dxa"/>
              <w:start w:w="90" w:type="dxa"/>
              <w:bottom w:w="70" w:type="dxa"/>
              <w:end w:w="90" w:type="dxa"/>
            </w:tcMar>
          </w:tcPr>
          <w:p>
            <w:pPr>
              <w:spacing w:after="20" w:line="240" w:lineRule="auto"/>
            </w:pPr>
            <w:r>
              <w:t>Do not promise PDF/HTML/source-relations/other legacy output features until current 3.1.0 behavior is reconfirmed.</w:t>
            </w:r>
          </w:p>
        </w:tc>
      </w:tr>
      <w:tr>
        <w:tc>
          <w:tcPr>
            <w:tcW w:type="dxa" w:w="5083"/>
            <w:vAlign w:val="top"/>
            <w:tcMar>
              <w:top w:w="70" w:type="dxa"/>
              <w:start w:w="90" w:type="dxa"/>
              <w:bottom w:w="70" w:type="dxa"/>
              <w:end w:w="90" w:type="dxa"/>
            </w:tcMar>
          </w:tcPr>
          <w:p>
            <w:pPr>
              <w:spacing w:after="20" w:line="240" w:lineRule="auto"/>
            </w:pPr>
            <w:r>
              <w:t>Rate limits / retry policy / SLA / security mechanics</w:t>
            </w:r>
          </w:p>
        </w:tc>
        <w:tc>
          <w:tcPr>
            <w:tcW w:type="dxa" w:w="5083"/>
            <w:vAlign w:val="top"/>
            <w:tcMar>
              <w:top w:w="70" w:type="dxa"/>
              <w:start w:w="90" w:type="dxa"/>
              <w:bottom w:w="70" w:type="dxa"/>
              <w:end w:w="90" w:type="dxa"/>
            </w:tcMar>
          </w:tcPr>
          <w:p>
            <w:pPr>
              <w:spacing w:after="20" w:line="240" w:lineRule="auto"/>
            </w:pPr>
            <w:r>
              <w:t>Do not invent or publish until documented.</w:t>
            </w:r>
          </w:p>
        </w:tc>
      </w:tr>
    </w:tbl>
    <w:p>
      <w:pPr>
        <w:spacing w:after="20"/>
      </w:pPr>
    </w:p>
    <w:p>
      <w:pPr>
        <w:pStyle w:val="Heading1"/>
      </w:pPr>
      <w:r>
        <w:t>GLOBAL FORBIDDEN CLAIMS / ARTIFACTS</w:t>
      </w:r>
    </w:p>
    <w:p>
      <w:pPr>
        <w:pStyle w:val="ListBullet"/>
        <w:spacing w:after="40"/>
      </w:pPr>
      <w:r>
        <w:t>Integrated in less than 24 hours / &lt;24h setup / &lt;24h integration.</w:t>
      </w:r>
    </w:p>
    <w:p>
      <w:pPr>
        <w:pStyle w:val="ListBullet"/>
        <w:spacing w:after="40"/>
      </w:pPr>
      <w:r>
        <w:t>14B pages indexed or any unsupported web-corpus number.</w:t>
      </w:r>
    </w:p>
    <w:p>
      <w:pPr>
        <w:pStyle w:val="ListBullet"/>
        <w:spacing w:after="40"/>
      </w:pPr>
      <w:r>
        <w:t>17 languages or any unconfirmed numeric API language count.</w:t>
      </w:r>
    </w:p>
    <w:p>
      <w:pPr>
        <w:pStyle w:val="ListBullet"/>
        <w:spacing w:after="40"/>
      </w:pPr>
      <w:r>
        <w:t>Batch submission.</w:t>
      </w:r>
    </w:p>
    <w:p>
      <w:pPr>
        <w:pStyle w:val="ListBullet"/>
        <w:spacing w:after="40"/>
      </w:pPr>
      <w:r>
        <w:t>Instant help / instant support / response in a few minutes / unverified support SLA.</w:t>
      </w:r>
    </w:p>
    <w:p>
      <w:pPr>
        <w:pStyle w:val="ListBullet"/>
        <w:spacing w:after="40"/>
      </w:pPr>
      <w:r>
        <w:t>Every user has API access / every account has an API key.</w:t>
      </w:r>
    </w:p>
    <w:p>
      <w:pPr>
        <w:pStyle w:val="ListBullet"/>
        <w:spacing w:after="40"/>
      </w:pPr>
      <w:r>
        <w:t>30-day / 100-submission free trial for everyone or any universal free-trial promise.</w:t>
      </w:r>
    </w:p>
    <w:p>
      <w:pPr>
        <w:pStyle w:val="ListBullet"/>
        <w:spacing w:after="40"/>
      </w:pPr>
      <w:r>
        <w:t>Separate “AI Detector API” product or landing.</w:t>
      </w:r>
    </w:p>
    <w:p>
      <w:pPr>
        <w:pStyle w:val="ListBullet"/>
        <w:spacing w:after="40"/>
      </w:pPr>
      <w:r>
        <w:t>All API users automatically have AI balance/access.</w:t>
      </w:r>
    </w:p>
    <w:p>
      <w:pPr>
        <w:pStyle w:val="ListBullet"/>
        <w:spacing w:after="40"/>
      </w:pPr>
      <w:r>
        <w:t>SDKs, Postman collection, sandbox, public rate limits, retry guarantees, uptime/SLA or webhook-security features that are not documented.</w:t>
      </w:r>
    </w:p>
    <w:p>
      <w:pPr>
        <w:pStyle w:val="ListBullet"/>
        <w:spacing w:after="40"/>
      </w:pPr>
      <w:r>
        <w:t>Fake endpoint /api/v1/... or invented report_url response.</w:t>
      </w:r>
    </w:p>
    <w:p>
      <w:pPr>
        <w:pStyle w:val="ListBullet"/>
        <w:spacing w:after="40"/>
      </w:pPr>
      <w:r>
        <w:t>Invented Bearer syntax or changed status/field names.</w:t>
      </w:r>
    </w:p>
    <w:p>
      <w:pPr>
        <w:pStyle w:val="ListBullet"/>
        <w:spacing w:after="40"/>
      </w:pPr>
      <w:r>
        <w:t>Various integration methods / Extended functionality / Perfect for any organization / similar generic filler used instead of exact product capability.</w:t>
      </w:r>
    </w:p>
    <w:p>
      <w:pPr>
        <w:pStyle w:val="ListBullet"/>
        <w:spacing w:after="40"/>
      </w:pPr>
      <w:r>
        <w:t>Generic stock developer imagery used as primary proof when actual product/code evidence can be shown.</w:t>
      </w:r>
    </w:p>
    <w:p>
      <w:pPr>
        <w:pStyle w:val="Heading1"/>
      </w:pPr>
      <w:r>
        <w:t>CODE / PRODUCT-EVIDENCE RULE</w:t>
      </w:r>
    </w:p>
    <w:p>
      <w:pPr/>
      <w:r>
        <w:t>Code on this page has the same source-of-truth status as a real product screenshot. Claude may syntax-highlight, truncate a real payload, mask credentials, animate tabs, add a standard Copy/Copied utility, and visually emphasize approved lines. Claude may not invent or rename endpoint paths, request properties, response properties, status values, auth methods, API versions, callback behavior or SDK examples.</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FFF4E7"/>
          </w:tcPr>
          <w:p>
            <w:pPr>
              <w:spacing w:after="40"/>
            </w:pPr>
            <w:r>
              <w:rPr>
                <w:rFonts w:ascii="Liberation Sans" w:hAnsi="Liberation Sans"/>
                <w:b/>
                <w:color w:val="182B4D"/>
                <w:sz w:val="19"/>
              </w:rPr>
              <w:t>AUTH GATE</w:t>
            </w:r>
          </w:p>
          <w:p>
            <w:pPr>
              <w:spacing w:after="0"/>
            </w:pPr>
            <w:r>
              <w:t>The developer confirmed that Basic and Bearer authentication are supported and Bearer is preferred, but the exact preferred public Bearer header literal has not yet been supplied. Prototype: use the approved developer-supplied Authorization line. Production: replace only after literal confirmation. Do not “correct” it to Bearer &lt;token&gt; on your own.</w:t>
            </w:r>
          </w:p>
        </w:tc>
      </w:tr>
    </w:tbl>
    <w:p>
      <w:pPr>
        <w:pStyle w:val="Heading1"/>
      </w:pPr>
      <w:r>
        <w:t>RESPONSIVE RULES</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Breakpoint / element</w:t>
            </w:r>
          </w:p>
        </w:tc>
        <w:tc>
          <w:tcPr>
            <w:tcW w:type="dxa" w:w="5083"/>
            <w:shd w:fill="DDE8F5"/>
            <w:vAlign w:val="center"/>
          </w:tcPr>
          <w:p>
            <w:r>
              <w:rPr>
                <w:b/>
                <w:sz w:val="17"/>
              </w:rPr>
              <w:t>Requirement</w:t>
            </w:r>
          </w:p>
        </w:tc>
      </w:tr>
      <w:tr>
        <w:tc>
          <w:tcPr>
            <w:tcW w:type="dxa" w:w="5083"/>
            <w:vAlign w:val="top"/>
            <w:tcMar>
              <w:top w:w="70" w:type="dxa"/>
              <w:start w:w="90" w:type="dxa"/>
              <w:bottom w:w="70" w:type="dxa"/>
              <w:end w:w="90" w:type="dxa"/>
            </w:tcMar>
          </w:tcPr>
          <w:p>
            <w:pPr>
              <w:spacing w:after="20" w:line="240" w:lineRule="auto"/>
            </w:pPr>
            <w:r>
              <w:t>DOM / reading order</w:t>
            </w:r>
          </w:p>
        </w:tc>
        <w:tc>
          <w:tcPr>
            <w:tcW w:type="dxa" w:w="5083"/>
            <w:vAlign w:val="top"/>
            <w:tcMar>
              <w:top w:w="70" w:type="dxa"/>
              <w:start w:w="90" w:type="dxa"/>
              <w:bottom w:w="70" w:type="dxa"/>
              <w:end w:w="90" w:type="dxa"/>
            </w:tcMar>
          </w:tcPr>
          <w:p>
            <w:pPr>
              <w:spacing w:after="20" w:line="240" w:lineRule="auto"/>
            </w:pPr>
            <w:r>
              <w:t>The 11 semantic sections must remain in the approved order in the DOM. Side-by-side visual composition may change within a section, but do not reorder whole sections.</w:t>
            </w:r>
          </w:p>
        </w:tc>
      </w:tr>
      <w:tr>
        <w:tc>
          <w:tcPr>
            <w:tcW w:type="dxa" w:w="5083"/>
            <w:vAlign w:val="top"/>
            <w:tcMar>
              <w:top w:w="70" w:type="dxa"/>
              <w:start w:w="90" w:type="dxa"/>
              <w:bottom w:w="70" w:type="dxa"/>
              <w:end w:w="90" w:type="dxa"/>
            </w:tcMar>
          </w:tcPr>
          <w:p>
            <w:pPr>
              <w:spacing w:after="20" w:line="240" w:lineRule="auto"/>
            </w:pPr>
            <w:r>
              <w:t>Hero ≥1024px</w:t>
            </w:r>
          </w:p>
        </w:tc>
        <w:tc>
          <w:tcPr>
            <w:tcW w:type="dxa" w:w="5083"/>
            <w:vAlign w:val="top"/>
            <w:tcMar>
              <w:top w:w="70" w:type="dxa"/>
              <w:start w:w="90" w:type="dxa"/>
              <w:bottom w:w="70" w:type="dxa"/>
              <w:end w:w="90" w:type="dxa"/>
            </w:tcMar>
          </w:tcPr>
          <w:p>
            <w:pPr>
              <w:spacing w:after="20" w:line="240" w:lineRule="auto"/>
            </w:pPr>
            <w:r>
              <w:t>Split hero is encouraged: content/CTAs and code panel may sit side by side. Documentation remains the primary CTA.</w:t>
            </w:r>
          </w:p>
        </w:tc>
      </w:tr>
      <w:tr>
        <w:tc>
          <w:tcPr>
            <w:tcW w:type="dxa" w:w="5083"/>
            <w:vAlign w:val="top"/>
            <w:tcMar>
              <w:top w:w="70" w:type="dxa"/>
              <w:start w:w="90" w:type="dxa"/>
              <w:bottom w:w="70" w:type="dxa"/>
              <w:end w:w="90" w:type="dxa"/>
            </w:tcMar>
          </w:tcPr>
          <w:p>
            <w:pPr>
              <w:spacing w:after="20" w:line="240" w:lineRule="auto"/>
            </w:pPr>
            <w:r>
              <w:t>Hero &lt;1024px</w:t>
            </w:r>
          </w:p>
        </w:tc>
        <w:tc>
          <w:tcPr>
            <w:tcW w:type="dxa" w:w="5083"/>
            <w:vAlign w:val="top"/>
            <w:tcMar>
              <w:top w:w="70" w:type="dxa"/>
              <w:start w:w="90" w:type="dxa"/>
              <w:bottom w:w="70" w:type="dxa"/>
              <w:end w:w="90" w:type="dxa"/>
            </w:tcMar>
          </w:tcPr>
          <w:p>
            <w:pPr>
              <w:spacing w:after="20" w:line="240" w:lineRule="auto"/>
            </w:pPr>
            <w:r>
              <w:t>Stack in this order: category/H1/supporting copy → primary/secondary CTAs → technical proof rail → code panel. Do not place code before the H1/copy in DOM/reading order.</w:t>
            </w:r>
          </w:p>
        </w:tc>
      </w:tr>
      <w:tr>
        <w:tc>
          <w:tcPr>
            <w:tcW w:type="dxa" w:w="5083"/>
            <w:vAlign w:val="top"/>
            <w:tcMar>
              <w:top w:w="70" w:type="dxa"/>
              <w:start w:w="90" w:type="dxa"/>
              <w:bottom w:w="70" w:type="dxa"/>
              <w:end w:w="90" w:type="dxa"/>
            </w:tcMar>
          </w:tcPr>
          <w:p>
            <w:pPr>
              <w:spacing w:after="20" w:line="240" w:lineRule="auto"/>
            </w:pPr>
            <w:r>
              <w:t>Code &lt;640px</w:t>
            </w:r>
          </w:p>
        </w:tc>
        <w:tc>
          <w:tcPr>
            <w:tcW w:type="dxa" w:w="5083"/>
            <w:vAlign w:val="top"/>
            <w:tcMar>
              <w:top w:w="70" w:type="dxa"/>
              <w:start w:w="90" w:type="dxa"/>
              <w:bottom w:w="70" w:type="dxa"/>
              <w:end w:w="90" w:type="dxa"/>
            </w:tcMar>
          </w:tcPr>
          <w:p>
            <w:pPr>
              <w:spacing w:after="20" w:line="240" w:lineRule="auto"/>
            </w:pPr>
            <w:r>
              <w:t>Keep all three tabs. Code text must remain readable; horizontal scrolling inside the code container is preferred to shrinking text or changing code semantics. Do not create page-level horizontal overflow.</w:t>
            </w:r>
          </w:p>
        </w:tc>
      </w:tr>
      <w:tr>
        <w:tc>
          <w:tcPr>
            <w:tcW w:type="dxa" w:w="5083"/>
            <w:vAlign w:val="top"/>
            <w:tcMar>
              <w:top w:w="70" w:type="dxa"/>
              <w:start w:w="90" w:type="dxa"/>
              <w:bottom w:w="70" w:type="dxa"/>
              <w:end w:w="90" w:type="dxa"/>
            </w:tcMar>
          </w:tcPr>
          <w:p>
            <w:pPr>
              <w:spacing w:after="20" w:line="240" w:lineRule="auto"/>
            </w:pPr>
            <w:r>
              <w:t>Capability bento</w:t>
            </w:r>
          </w:p>
        </w:tc>
        <w:tc>
          <w:tcPr>
            <w:tcW w:type="dxa" w:w="5083"/>
            <w:vAlign w:val="top"/>
            <w:tcMar>
              <w:top w:w="70" w:type="dxa"/>
              <w:start w:w="90" w:type="dxa"/>
              <w:bottom w:w="70" w:type="dxa"/>
              <w:end w:w="90" w:type="dxa"/>
            </w:tcMar>
          </w:tcPr>
          <w:p>
            <w:pPr>
              <w:spacing w:after="20" w:line="240" w:lineRule="auto"/>
            </w:pPr>
            <w:r>
              <w:t>May collapse to one column on mobile, preserving semantic card order. Do not hide capability text behind hover-only interactions.</w:t>
            </w:r>
          </w:p>
        </w:tc>
      </w:tr>
      <w:tr>
        <w:tc>
          <w:tcPr>
            <w:tcW w:type="dxa" w:w="5083"/>
            <w:vAlign w:val="top"/>
            <w:tcMar>
              <w:top w:w="70" w:type="dxa"/>
              <w:start w:w="90" w:type="dxa"/>
              <w:bottom w:w="70" w:type="dxa"/>
              <w:end w:w="90" w:type="dxa"/>
            </w:tcMar>
          </w:tcPr>
          <w:p>
            <w:pPr>
              <w:spacing w:after="20" w:line="240" w:lineRule="auto"/>
            </w:pPr>
            <w:r>
              <w:t>Workflow</w:t>
            </w:r>
          </w:p>
        </w:tc>
        <w:tc>
          <w:tcPr>
            <w:tcW w:type="dxa" w:w="5083"/>
            <w:vAlign w:val="top"/>
            <w:tcMar>
              <w:top w:w="70" w:type="dxa"/>
              <w:start w:w="90" w:type="dxa"/>
              <w:bottom w:w="70" w:type="dxa"/>
              <w:end w:w="90" w:type="dxa"/>
            </w:tcMar>
          </w:tcPr>
          <w:p>
            <w:pPr>
              <w:spacing w:after="20" w:line="240" w:lineRule="auto"/>
            </w:pPr>
            <w:r>
              <w:t>Four steps stay in order Submit → Configure → Process → Receive. A carousel is not required; if used, all steps must remain accessible and indexable.</w:t>
            </w:r>
          </w:p>
        </w:tc>
      </w:tr>
      <w:tr>
        <w:tc>
          <w:tcPr>
            <w:tcW w:type="dxa" w:w="5083"/>
            <w:vAlign w:val="top"/>
            <w:tcMar>
              <w:top w:w="70" w:type="dxa"/>
              <w:start w:w="90" w:type="dxa"/>
              <w:bottom w:w="70" w:type="dxa"/>
              <w:end w:w="90" w:type="dxa"/>
            </w:tcMar>
          </w:tcPr>
          <w:p>
            <w:pPr>
              <w:spacing w:after="20" w:line="240" w:lineRule="auto"/>
            </w:pPr>
            <w:r>
              <w:t>Quote form</w:t>
            </w:r>
          </w:p>
        </w:tc>
        <w:tc>
          <w:tcPr>
            <w:tcW w:type="dxa" w:w="5083"/>
            <w:vAlign w:val="top"/>
            <w:tcMar>
              <w:top w:w="70" w:type="dxa"/>
              <w:start w:w="90" w:type="dxa"/>
              <w:bottom w:w="70" w:type="dxa"/>
              <w:end w:w="90" w:type="dxa"/>
            </w:tcMar>
          </w:tcPr>
          <w:p>
            <w:pPr>
              <w:spacing w:after="20" w:line="240" w:lineRule="auto"/>
            </w:pPr>
            <w:r>
              <w:t>One column below 640px. Required/optional state and field labels must remain visible. No field may disappear on mobile.</w:t>
            </w:r>
          </w:p>
        </w:tc>
      </w:tr>
      <w:tr>
        <w:tc>
          <w:tcPr>
            <w:tcW w:type="dxa" w:w="5083"/>
            <w:vAlign w:val="top"/>
            <w:tcMar>
              <w:top w:w="70" w:type="dxa"/>
              <w:start w:w="90" w:type="dxa"/>
              <w:bottom w:w="70" w:type="dxa"/>
              <w:end w:w="90" w:type="dxa"/>
            </w:tcMar>
          </w:tcPr>
          <w:p>
            <w:pPr>
              <w:spacing w:after="20" w:line="240" w:lineRule="auto"/>
            </w:pPr>
            <w:r>
              <w:t>FAQ</w:t>
            </w:r>
          </w:p>
        </w:tc>
        <w:tc>
          <w:tcPr>
            <w:tcW w:type="dxa" w:w="5083"/>
            <w:vAlign w:val="top"/>
            <w:tcMar>
              <w:top w:w="70" w:type="dxa"/>
              <w:start w:w="90" w:type="dxa"/>
              <w:bottom w:w="70" w:type="dxa"/>
              <w:end w:w="90" w:type="dxa"/>
            </w:tcMar>
          </w:tcPr>
          <w:p>
            <w:pPr>
              <w:spacing w:after="20" w:line="240" w:lineRule="auto"/>
            </w:pPr>
            <w:r>
              <w:t>Answers remain accessible and rendered; interaction must be keyboard/touch usable.</w:t>
            </w:r>
          </w:p>
        </w:tc>
      </w:tr>
      <w:tr>
        <w:tc>
          <w:tcPr>
            <w:tcW w:type="dxa" w:w="5083"/>
            <w:vAlign w:val="top"/>
            <w:tcMar>
              <w:top w:w="70" w:type="dxa"/>
              <w:start w:w="90" w:type="dxa"/>
              <w:bottom w:w="70" w:type="dxa"/>
              <w:end w:w="90" w:type="dxa"/>
            </w:tcMar>
          </w:tcPr>
          <w:p>
            <w:pPr>
              <w:spacing w:after="20" w:line="240" w:lineRule="auto"/>
            </w:pPr>
            <w:r>
              <w:t>Copy</w:t>
            </w:r>
          </w:p>
        </w:tc>
        <w:tc>
          <w:tcPr>
            <w:tcW w:type="dxa" w:w="5083"/>
            <w:vAlign w:val="top"/>
            <w:tcMar>
              <w:top w:w="70" w:type="dxa"/>
              <w:start w:w="90" w:type="dxa"/>
              <w:bottom w:w="70" w:type="dxa"/>
              <w:end w:w="90" w:type="dxa"/>
            </w:tcMar>
          </w:tcPr>
          <w:p>
            <w:pPr>
              <w:spacing w:after="20" w:line="240" w:lineRule="auto"/>
            </w:pPr>
            <w:r>
              <w:t>Do not shorten or paraphrase approved copy on mobile. Visual truncation with ellipsis is not allowed for body/CTA/FAQ content.</w:t>
            </w:r>
          </w:p>
        </w:tc>
      </w:tr>
    </w:tbl>
    <w:p>
      <w:pPr>
        <w:spacing w:after="20"/>
      </w:pPr>
    </w:p>
    <w:p>
      <w:pPr>
        <w:pStyle w:val="Heading1"/>
      </w:pPr>
      <w:r>
        <w:t>SEO / HTML REQUIREMENTS</w:t>
      </w:r>
    </w:p>
    <w:p>
      <w:pPr>
        <w:pStyle w:val="ListBullet"/>
        <w:spacing w:after="40"/>
      </w:pPr>
      <w:r>
        <w:t>Exactly one visible page H1: Plagiarism Checker API.</w:t>
      </w:r>
    </w:p>
    <w:p>
      <w:pPr>
        <w:pStyle w:val="ListBullet"/>
        <w:spacing w:after="40"/>
      </w:pPr>
      <w:r>
        <w:t>Keep important product/qualification copy in rendered HTML. Do not make the page depend on client-side fetches for essential copy.</w:t>
      </w:r>
    </w:p>
    <w:p>
      <w:pPr>
        <w:pStyle w:val="ListBullet"/>
        <w:spacing w:after="40"/>
      </w:pPr>
      <w:r>
        <w:t>FAQ answers must exist in rendered HTML even when visually collapsed.</w:t>
      </w:r>
    </w:p>
    <w:p>
      <w:pPr>
        <w:pStyle w:val="ListBullet"/>
        <w:spacing w:after="40"/>
      </w:pPr>
      <w:r>
        <w:t>Approved internal destinations must use real crawlable &lt;a href&gt; links; do not use click handlers as the only navigation mechanism.</w:t>
      </w:r>
    </w:p>
    <w:p>
      <w:pPr>
        <w:pStyle w:val="ListBullet"/>
        <w:spacing w:after="40"/>
      </w:pPr>
      <w:r>
        <w:t>Use clean canonical routes in production. Do not ship .html prototype routes.</w:t>
      </w:r>
    </w:p>
    <w:p>
      <w:pPr>
        <w:pStyle w:val="ListBullet"/>
        <w:spacing w:after="40"/>
      </w:pPr>
      <w:r>
        <w:t>Do not change /plagiarism-api URL, self-canonical intent or established language architecture from this task.</w:t>
      </w:r>
    </w:p>
    <w:p>
      <w:pPr>
        <w:pStyle w:val="ListBullet"/>
        <w:spacing w:after="40"/>
      </w:pPr>
      <w:r>
        <w:t>Code panels should use semantic pre/code treatment where practical. Hidden tab panels may be controlled accessibly, but code is not a substitute for rendered explanatory copy.</w:t>
      </w:r>
    </w:p>
    <w:p>
      <w:pPr>
        <w:pStyle w:val="ListBullet"/>
        <w:spacing w:after="40"/>
      </w:pPr>
      <w:r>
        <w:t>Do not create new SEO landing URLs or a new /integrations hub from this page.</w:t>
      </w:r>
    </w:p>
    <w:p>
      <w:pPr>
        <w:pStyle w:val="ListBullet"/>
        <w:spacing w:after="40"/>
      </w:pPr>
      <w:r>
        <w:t>Do not add new structured-data types solely because this is an API page. Follow the site-wide structured-data strategy; any FAQ schema must exactly match visible FAQ content if used.</w:t>
      </w:r>
    </w:p>
    <w:p>
      <w:pPr>
        <w:pStyle w:val="Heading1"/>
      </w:pPr>
      <w:r>
        <w:t>HEADER / FOOTER</w:t>
      </w:r>
    </w:p>
    <w:p>
      <w:pPr/>
      <w:r>
        <w:t>Out of scope. Reuse the separately approved global navigation/header/footer system. Do not redesign or expand global navigation from this API task. Body links in this brief are the approved page-specific destinations.</w:t>
      </w:r>
    </w:p>
    <w:p>
      <w:pPr>
        <w:pStyle w:val="Heading1"/>
      </w:pPr>
      <w:r>
        <w:t>OUT OF SCOPE / ADJACENT QA</w:t>
      </w:r>
    </w:p>
    <w:p>
      <w:pPr>
        <w:pStyle w:val="ListBullet"/>
        <w:spacing w:after="40"/>
      </w:pPr>
      <w:r>
        <w:t>Do not redesign /docs/ from this task.</w:t>
      </w:r>
    </w:p>
    <w:p>
      <w:pPr>
        <w:pStyle w:val="ListBullet"/>
        <w:spacing w:after="40"/>
      </w:pPr>
      <w:r>
        <w:t>Do not redesign /plagiarismsearch-api-questions-and-answers from this task. It has a separate factual synchronization requirement before prominent linking.</w:t>
      </w:r>
    </w:p>
    <w:p>
      <w:pPr>
        <w:pStyle w:val="ListBullet"/>
        <w:spacing w:after="40"/>
      </w:pPr>
      <w:r>
        <w:t>Do not redesign pricing/account entitlements from this task.</w:t>
      </w:r>
    </w:p>
    <w:p>
      <w:pPr>
        <w:pStyle w:val="ListBullet"/>
        <w:spacing w:after="40"/>
      </w:pPr>
      <w:r>
        <w:t>Do not create a separate AI API page.</w:t>
      </w:r>
    </w:p>
    <w:p>
      <w:pPr>
        <w:pStyle w:val="ListBullet"/>
        <w:spacing w:after="40"/>
      </w:pPr>
      <w:r>
        <w:t>Historical /plagiarism-api.html backlink/status reclamation is migration/SEO QA, not a Claude page-layout action. Do not add a redirect without a separately approved migration decision.</w:t>
      </w:r>
    </w:p>
    <w:p>
      <w:pPr>
        <w:pStyle w:val="Heading1"/>
      </w:pPr>
      <w:r>
        <w:t>DEVIATIONS PROTOCOL</w:t>
      </w:r>
    </w:p>
    <w:p>
      <w:pPr/>
      <w:r>
        <w:t>Only the user/product owner may approve a deviation from fixed copy, section order, code contract, claim rules, destination URLs or product semantics. Claude may make normal visual/layout decisions without approval. If implementation requires a factual or contract-level deviation, flag it rather than inventing a solution.</w:t>
      </w:r>
    </w:p>
    <w:p>
      <w:pPr/>
      <w:r>
        <w:t>Any approved deviation must be recorded in implementation notes as: WAIVED — [brief clause / exact item] — [date] — approved by user/product owner — [replacement decision]. Do not silently reverse or override DEC-0041.</w:t>
      </w:r>
    </w:p>
    <w:p>
      <w:pPr>
        <w:pStyle w:val="Heading1"/>
      </w:pPr>
      <w:r>
        <w:t>PAGE-LEVEL DEFINITION OF DONE</w:t>
      </w:r>
    </w:p>
    <w:p>
      <w:pPr>
        <w:pStyle w:val="ListBullet"/>
        <w:spacing w:after="40"/>
      </w:pPr>
      <w:r>
        <w:t>The page is unmistakably a Plagiarism Checker API product/developer page.</w:t>
      </w:r>
    </w:p>
    <w:p>
      <w:pPr>
        <w:pStyle w:val="ListBullet"/>
        <w:spacing w:after="40"/>
      </w:pPr>
      <w:r>
        <w:t>The real Request / Response / Webhook evidence is visually dominant in the hero and uses approved API 3.1.0 content.</w:t>
      </w:r>
    </w:p>
    <w:p>
      <w:pPr>
        <w:pStyle w:val="ListBullet"/>
        <w:spacing w:after="40"/>
      </w:pPr>
      <w:r>
        <w:t>The primary hero CTA is View API documentation; Request API access is secondary.</w:t>
      </w:r>
    </w:p>
    <w:p>
      <w:pPr>
        <w:pStyle w:val="ListBullet"/>
        <w:spacing w:after="40"/>
      </w:pPr>
      <w:r>
        <w:t>All 11 approved semantic sections appear in the approved DOM/reading order.</w:t>
      </w:r>
    </w:p>
    <w:p>
      <w:pPr>
        <w:pStyle w:val="ListBullet"/>
        <w:spacing w:after="40"/>
      </w:pPr>
      <w:r>
        <w:t>All fixed copy, code-tab labels, CTA labels and destinations match the baseline.</w:t>
      </w:r>
    </w:p>
    <w:p>
      <w:pPr>
        <w:pStyle w:val="ListBullet"/>
        <w:spacing w:after="40"/>
      </w:pPr>
      <w:r>
        <w:t>No invented API endpoint, auth syntax, field, status, version, SDK, sandbox or batch capability appears.</w:t>
      </w:r>
    </w:p>
    <w:p>
      <w:pPr>
        <w:pStyle w:val="ListBullet"/>
        <w:spacing w:after="40"/>
      </w:pPr>
      <w:r>
        <w:t>Text, document and public-URL input modes are explained.</w:t>
      </w:r>
    </w:p>
    <w:p>
      <w:pPr>
        <w:pStyle w:val="ListBullet"/>
        <w:spacing w:after="40"/>
      </w:pPr>
      <w:r>
        <w:t>Web, academic database and storage search scope plus key exclusions/controls are explained using verified product facts.</w:t>
      </w:r>
    </w:p>
    <w:p>
      <w:pPr>
        <w:pStyle w:val="ListBullet"/>
        <w:spacing w:after="40"/>
      </w:pPr>
      <w:r>
        <w:t>The page clearly explains asynchronous processing and report.checked webhook completion.</w:t>
      </w:r>
    </w:p>
    <w:p>
      <w:pPr>
        <w:pStyle w:val="ListBullet"/>
        <w:spacing w:after="40"/>
      </w:pPr>
      <w:r>
        <w:t>AI appears only as an optional same-infrastructure capability and does not take over plagiarism-API ownership.</w:t>
      </w:r>
    </w:p>
    <w:p>
      <w:pPr>
        <w:pStyle w:val="ListBullet"/>
        <w:spacing w:after="40"/>
      </w:pPr>
      <w:r>
        <w:t>Documentation is directly reachable above the fold and again later on the page.</w:t>
      </w:r>
    </w:p>
    <w:p>
      <w:pPr>
        <w:pStyle w:val="ListBullet"/>
        <w:spacing w:after="40"/>
      </w:pPr>
      <w:r>
        <w:t>The stale API Q&amp;A is not promoted before synchronization.</w:t>
      </w:r>
    </w:p>
    <w:p>
      <w:pPr>
        <w:pStyle w:val="ListBullet"/>
        <w:spacing w:after="40"/>
      </w:pPr>
      <w:r>
        <w:t>No &lt;24h, 14B, 17 languages, batch submission, instant-support or universal free-trial claim survives.</w:t>
      </w:r>
    </w:p>
    <w:p>
      <w:pPr>
        <w:pStyle w:val="ListBullet"/>
        <w:spacing w:after="40"/>
      </w:pPr>
      <w:r>
        <w:t>No stock developer photo is used as the primary evidence in the workflow/result area.</w:t>
      </w:r>
    </w:p>
    <w:p>
      <w:pPr>
        <w:pStyle w:val="ListBullet"/>
        <w:spacing w:after="40"/>
      </w:pPr>
      <w:r>
        <w:t>API pricing/entitlements are not hardcoded from legacy page cards.</w:t>
      </w:r>
    </w:p>
    <w:p>
      <w:pPr>
        <w:pStyle w:val="ListBullet"/>
        <w:spacing w:after="40"/>
      </w:pPr>
      <w:r>
        <w:t>Quote form uses the approved simplified data model and makes no response-time promise.</w:t>
      </w:r>
    </w:p>
    <w:p>
      <w:pPr>
        <w:pStyle w:val="ListBullet"/>
        <w:spacing w:after="40"/>
      </w:pPr>
      <w:r>
        <w:t>FAQ content is rendered and links are crawlable.</w:t>
      </w:r>
    </w:p>
    <w:p>
      <w:pPr>
        <w:pStyle w:val="ListBullet"/>
        <w:spacing w:after="40"/>
      </w:pPr>
      <w:r>
        <w:t>Mobile preserves CTA hierarchy, code readability, section order and all essential copy.</w:t>
      </w:r>
    </w:p>
    <w:p>
      <w:pPr>
        <w:pStyle w:val="ListBullet"/>
        <w:spacing w:after="40"/>
      </w:pPr>
      <w:r>
        <w:t>No new SEO URL is invented.</w:t>
      </w:r>
    </w:p>
    <w:p>
      <w:pPr>
        <w:pStyle w:val="ListBullet"/>
        <w:spacing w:after="40"/>
      </w:pPr>
      <w:r>
        <w:t>Candidate reusable components are recorded only after implementation QA, not assumed approved because they appear in this brief.</w:t>
      </w:r>
    </w:p>
    <w:p>
      <w:r>
        <w:br w:type="page"/>
      </w:r>
    </w:p>
    <w:p>
      <w:pPr>
        <w:pStyle w:val="Title"/>
        <w:jc w:val="left"/>
      </w:pPr>
      <w:r>
        <w:rPr>
          <w:b/>
        </w:rPr>
        <w:t>APPROVED CONTENT BASELINE</w:t>
      </w:r>
    </w:p>
    <w:p>
      <w:pPr>
        <w:pStyle w:val="Small"/>
      </w:pPr>
      <w:r>
        <w:t>PLAGIARISMSEARCH EN PLAGIARISM API — FINAL CONTENT SOURCE OF TRUTH</w:t>
      </w:r>
    </w:p>
    <w:p>
      <w:pPr>
        <w:pStyle w:val="Small"/>
      </w:pPr>
      <w:r>
        <w:t>Approved: 2026-08-24 · Status: APPROVED BASELINE — DEC-0041</w:t>
      </w:r>
    </w:p>
    <w:p>
      <w:pPr/>
      <w:r>
        <w:t>This section is the final approved visible English content baseline for the redesigned Plagiarism API page. Visual execution may change composition, spacing, responsive behavior, animation and component styling, but must not change the approved semantic hierarchy, section order, product facts, claims, destinations, CTA hierarchy, visible code content or copy without explicit approval.</w:t>
      </w:r>
    </w:p>
    <w:p>
      <w:pPr>
        <w:pStyle w:val="Heading1"/>
      </w:pPr>
      <w:r>
        <w:t>PAGE-LEVEL SEO</w:t>
      </w:r>
    </w:p>
    <w:p>
      <w:pPr>
        <w:pStyle w:val="Kicker"/>
      </w:pPr>
      <w:r>
        <w:t>TITLE</w:t>
      </w:r>
    </w:p>
    <w:p>
      <w:pPr>
        <w:pStyle w:val="FixedCopy"/>
      </w:pPr>
      <w:r>
        <w:t>Plagiarism Checker API &amp; Integration | PlagiarismSearch</w:t>
      </w:r>
    </w:p>
    <w:p>
      <w:pPr>
        <w:pStyle w:val="Kicker"/>
      </w:pPr>
      <w:r>
        <w:t>META DESCRIPTION</w:t>
      </w:r>
    </w:p>
    <w:p>
      <w:pPr>
        <w:pStyle w:val="FixedCopy"/>
      </w:pPr>
      <w:r>
        <w:t>Integrate plagiarism checking into your product with the PlagiarismSearch API. Send text, files, or URLs, configure search sources, and receive a webhook when the report is ready.</w:t>
      </w:r>
    </w:p>
    <w:p>
      <w:pPr>
        <w:pStyle w:val="Kicker"/>
      </w:pPr>
      <w:r>
        <w:t>CANONICAL</w:t>
      </w:r>
    </w:p>
    <w:p>
      <w:pPr>
        <w:pStyle w:val="FixedCopy"/>
      </w:pPr>
      <w:r>
        <w:t>Self-canonical: https://plagiarismsearch.com/plagiarism-api</w:t>
      </w:r>
    </w:p>
    <w:p>
      <w:pPr>
        <w:pStyle w:val="Kicker"/>
      </w:pPr>
      <w:r>
        <w:t>H1 RULE</w:t>
      </w:r>
    </w:p>
    <w:p>
      <w:pPr>
        <w:pStyle w:val="FixedCopy"/>
      </w:pPr>
      <w:r>
        <w:t>Exactly one visible H1 on the page: Plagiarism Checker API</w:t>
      </w:r>
    </w:p>
    <w:p>
      <w:pPr/>
      <w:r>
        <w:t>Do not lead the title/H1 with Free, Best, Most Accurate, AI Detector API, Content Integrity API, Heavy Demand, 24h Integration, 14B, or unsupported language/corpus/speed claims.</w:t>
      </w:r>
    </w:p>
    <w:p>
      <w:pPr>
        <w:pStyle w:val="Heading1"/>
      </w:pPr>
      <w:r>
        <w:t>SECTION 1 — PRODUCT HERO / REAL API EVIDENCE</w:t>
      </w:r>
    </w:p>
    <w:p>
      <w:pPr>
        <w:pStyle w:val="Kicker"/>
      </w:pPr>
      <w:r>
        <w:t>ANCHOR</w:t>
      </w:r>
    </w:p>
    <w:p>
      <w:pPr/>
      <w:r>
        <w:t>#plagiarism-api</w:t>
      </w:r>
    </w:p>
    <w:p>
      <w:pPr>
        <w:pStyle w:val="Kicker"/>
      </w:pPr>
      <w:r>
        <w:t>EYEBROW</w:t>
      </w:r>
    </w:p>
    <w:p>
      <w:pPr>
        <w:pStyle w:val="FixedCopy"/>
      </w:pPr>
      <w:r>
        <w:t>REST API</w:t>
      </w:r>
    </w:p>
    <w:p>
      <w:pPr>
        <w:pStyle w:val="Kicker"/>
      </w:pPr>
      <w:r>
        <w:t>H1</w:t>
      </w:r>
    </w:p>
    <w:p>
      <w:pPr>
        <w:pStyle w:val="FixedCopy"/>
      </w:pPr>
      <w:r>
        <w:t>Plagiarism Checker API</w:t>
      </w:r>
    </w:p>
    <w:p>
      <w:pPr>
        <w:pStyle w:val="Kicker"/>
      </w:pPr>
      <w:r>
        <w:t>SUPPORTING COPY</w:t>
      </w:r>
    </w:p>
    <w:p>
      <w:pPr>
        <w:pStyle w:val="FixedCopy"/>
      </w:pPr>
      <w:r>
        <w:t>Embed plagiarism checking into your product or workflow. Send text, documents, or public URLs, choose the search sources and scan settings you need, and receive a webhook when the report is ready.</w:t>
      </w:r>
    </w:p>
    <w:p>
      <w:pPr>
        <w:pStyle w:val="Kicker"/>
      </w:pPr>
      <w:r>
        <w:t>PRIMARY CTA</w:t>
      </w:r>
    </w:p>
    <w:p>
      <w:pPr>
        <w:pStyle w:val="FixedCopy"/>
      </w:pPr>
      <w:r>
        <w:t>View API documentation</w:t>
      </w:r>
    </w:p>
    <w:p>
      <w:pPr>
        <w:pStyle w:val="Small"/>
      </w:pPr>
      <w:r>
        <w:t>Destination: /docs/</w:t>
      </w:r>
    </w:p>
    <w:p>
      <w:pPr>
        <w:pStyle w:val="Kicker"/>
      </w:pPr>
      <w:r>
        <w:t>SECONDARY CTA</w:t>
      </w:r>
    </w:p>
    <w:p>
      <w:pPr>
        <w:pStyle w:val="FixedCopy"/>
      </w:pPr>
      <w:r>
        <w:t>Request API access</w:t>
      </w:r>
    </w:p>
    <w:p>
      <w:pPr>
        <w:pStyle w:val="Small"/>
      </w:pPr>
      <w:r>
        <w:t>Destination: #api-access</w:t>
      </w:r>
    </w:p>
    <w:p>
      <w:pPr>
        <w:pStyle w:val="Heading2"/>
      </w:pPr>
      <w:r>
        <w:t>Hero technical proof rail</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Heading</w:t>
            </w:r>
          </w:p>
        </w:tc>
        <w:tc>
          <w:tcPr>
            <w:tcW w:type="dxa" w:w="5083"/>
            <w:shd w:fill="DDE8F5"/>
            <w:vAlign w:val="center"/>
          </w:tcPr>
          <w:p>
            <w:r>
              <w:rPr>
                <w:b/>
                <w:sz w:val="17"/>
              </w:rPr>
              <w:t>Support copy</w:t>
            </w:r>
          </w:p>
        </w:tc>
      </w:tr>
      <w:tr>
        <w:tc>
          <w:tcPr>
            <w:tcW w:type="dxa" w:w="5083"/>
            <w:vAlign w:val="top"/>
            <w:tcMar>
              <w:top w:w="70" w:type="dxa"/>
              <w:start w:w="90" w:type="dxa"/>
              <w:bottom w:w="70" w:type="dxa"/>
              <w:end w:w="90" w:type="dxa"/>
            </w:tcMar>
          </w:tcPr>
          <w:p>
            <w:pPr>
              <w:spacing w:after="20" w:line="240" w:lineRule="auto"/>
            </w:pPr>
            <w:r>
              <w:t>REST API</w:t>
            </w:r>
          </w:p>
        </w:tc>
        <w:tc>
          <w:tcPr>
            <w:tcW w:type="dxa" w:w="5083"/>
            <w:vAlign w:val="top"/>
            <w:tcMar>
              <w:top w:w="70" w:type="dxa"/>
              <w:start w:w="90" w:type="dxa"/>
              <w:bottom w:w="70" w:type="dxa"/>
              <w:end w:w="90" w:type="dxa"/>
            </w:tcMar>
          </w:tcPr>
          <w:p>
            <w:pPr>
              <w:spacing w:after="20" w:line="240" w:lineRule="auto"/>
            </w:pPr>
            <w:r>
              <w:t>Build plagiarism checking into your own application.</w:t>
            </w:r>
          </w:p>
        </w:tc>
      </w:tr>
      <w:tr>
        <w:tc>
          <w:tcPr>
            <w:tcW w:type="dxa" w:w="5083"/>
            <w:vAlign w:val="top"/>
            <w:tcMar>
              <w:top w:w="70" w:type="dxa"/>
              <w:start w:w="90" w:type="dxa"/>
              <w:bottom w:w="70" w:type="dxa"/>
              <w:end w:w="90" w:type="dxa"/>
            </w:tcMar>
          </w:tcPr>
          <w:p>
            <w:pPr>
              <w:spacing w:after="20" w:line="240" w:lineRule="auto"/>
            </w:pPr>
            <w:r>
              <w:t>Text, files &amp; URLs</w:t>
            </w:r>
          </w:p>
        </w:tc>
        <w:tc>
          <w:tcPr>
            <w:tcW w:type="dxa" w:w="5083"/>
            <w:vAlign w:val="top"/>
            <w:tcMar>
              <w:top w:w="70" w:type="dxa"/>
              <w:start w:w="90" w:type="dxa"/>
              <w:bottom w:w="70" w:type="dxa"/>
              <w:end w:w="90" w:type="dxa"/>
            </w:tcMar>
          </w:tcPr>
          <w:p>
            <w:pPr>
              <w:spacing w:after="20" w:line="240" w:lineRule="auto"/>
            </w:pPr>
            <w:r>
              <w:t>Submit the content format your workflow already uses.</w:t>
            </w:r>
          </w:p>
        </w:tc>
      </w:tr>
      <w:tr>
        <w:tc>
          <w:tcPr>
            <w:tcW w:type="dxa" w:w="5083"/>
            <w:vAlign w:val="top"/>
            <w:tcMar>
              <w:top w:w="70" w:type="dxa"/>
              <w:start w:w="90" w:type="dxa"/>
              <w:bottom w:w="70" w:type="dxa"/>
              <w:end w:w="90" w:type="dxa"/>
            </w:tcMar>
          </w:tcPr>
          <w:p>
            <w:pPr>
              <w:spacing w:after="20" w:line="240" w:lineRule="auto"/>
            </w:pPr>
            <w:r>
              <w:t>Asynchronous webhooks</w:t>
            </w:r>
          </w:p>
        </w:tc>
        <w:tc>
          <w:tcPr>
            <w:tcW w:type="dxa" w:w="5083"/>
            <w:vAlign w:val="top"/>
            <w:tcMar>
              <w:top w:w="70" w:type="dxa"/>
              <w:start w:w="90" w:type="dxa"/>
              <w:bottom w:w="70" w:type="dxa"/>
              <w:end w:w="90" w:type="dxa"/>
            </w:tcMar>
          </w:tcPr>
          <w:p>
            <w:pPr>
              <w:spacing w:after="20" w:line="240" w:lineRule="auto"/>
            </w:pPr>
            <w:r>
              <w:t>Receive a callback when the report has finished processing.</w:t>
            </w:r>
          </w:p>
        </w:tc>
      </w:tr>
    </w:tbl>
    <w:p>
      <w:pPr>
        <w:spacing w:after="20"/>
      </w:pPr>
    </w:p>
    <w:p>
      <w:pPr>
        <w:pStyle w:val="Heading2"/>
      </w:pPr>
      <w:r>
        <w:t>Hero code tabs</w:t>
      </w:r>
    </w:p>
    <w:p>
      <w:pPr/>
      <w:r>
        <w:t>Tabs, in this exact order: Request · Response · Webhook. Initial active tab: Request.</w:t>
      </w:r>
    </w:p>
    <w:p>
      <w:pPr>
        <w:pStyle w:val="Heading3"/>
      </w:pPr>
      <w:r>
        <w:t>Request</w:t>
      </w:r>
    </w:p>
    <w:tbl>
      <w:tblPr>
        <w:tblW w:type="auto" w:w="0"/>
        <w:jc w:val="center"/>
        <w:tblLook w:firstColumn="1" w:firstRow="1" w:lastColumn="0" w:lastRow="0" w:noHBand="0" w:noVBand="1" w:val="04A0"/>
      </w:tblPr>
      <w:tblGrid>
        <w:gridCol w:w="10166"/>
      </w:tblGrid>
      <w:tr>
        <w:tc>
          <w:tcPr>
            <w:tcW w:type="dxa" w:w="10166"/>
            <w:shd w:fill="F2F4F7"/>
            <w:tcMar>
              <w:top w:w="100" w:type="dxa"/>
              <w:start w:w="120" w:type="dxa"/>
              <w:bottom w:w="100" w:type="dxa"/>
              <w:end w:w="120" w:type="dxa"/>
            </w:tcMar>
          </w:tcPr>
          <w:p>
            <w:pPr>
              <w:pStyle w:val="Code"/>
              <w:keepLines/>
            </w:pPr>
            <w:r>
              <w:t>curl -X POST \</w:t>
            </w:r>
            <w:r>
              <w:br/>
            </w:r>
            <w:r>
              <w:t xml:space="preserve">  'https://plagiarismsearch.com/api/v3/reports/create' \</w:t>
            </w:r>
            <w:r>
              <w:br/>
            </w:r>
            <w:r>
              <w:t xml:space="preserve">  -H 'Content-Type: application/json' \</w:t>
            </w:r>
            <w:r>
              <w:br/>
            </w:r>
            <w:r>
              <w:t xml:space="preserve">  -H 'Authorization: your:authorization_token_123' \</w:t>
            </w:r>
            <w:r>
              <w:br/>
            </w:r>
            <w:r>
              <w:t xml:space="preserve">  -d '{</w:t>
            </w:r>
            <w:r>
              <w:br/>
            </w:r>
            <w:r>
              <w:t xml:space="preserve">    "callback_url": "https://your.app/plagiarismsearch/web-hook?id=100500",</w:t>
            </w:r>
            <w:r>
              <w:br/>
            </w:r>
            <w:r>
              <w:t xml:space="preserve">    "text": "Text to check for plagiarism."</w:t>
            </w:r>
            <w:r>
              <w:br/>
            </w:r>
            <w:r>
              <w:t xml:space="preserve">  }'</w:t>
            </w:r>
          </w:p>
        </w:tc>
      </w:tr>
    </w:tbl>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FFF4E7"/>
          </w:tcPr>
          <w:p>
            <w:pPr>
              <w:spacing w:after="40"/>
            </w:pPr>
            <w:r>
              <w:rPr>
                <w:rFonts w:ascii="Liberation Sans" w:hAnsi="Liberation Sans"/>
                <w:b/>
                <w:color w:val="182B4D"/>
                <w:sz w:val="19"/>
              </w:rPr>
              <w:t>P0 AUTHORIZATION NOTE</w:t>
            </w:r>
          </w:p>
          <w:p>
            <w:pPr>
              <w:spacing w:after="0"/>
            </w:pPr>
            <w:r>
              <w:t>The line above is the developer-supplied current example approved for prototype use. Basic and Bearer are both supported and Bearer is preferred, but Claude must not change this to “Bearer &lt;token&gt;” until the exact preferred literal is supplied. If confirmed before production, replace only the Authorization line.</w:t>
            </w:r>
          </w:p>
        </w:tc>
      </w:tr>
    </w:tbl>
    <w:p>
      <w:pPr>
        <w:pStyle w:val="Heading3"/>
      </w:pPr>
      <w:r>
        <w:t>Response</w:t>
      </w:r>
    </w:p>
    <w:tbl>
      <w:tblPr>
        <w:tblW w:type="auto" w:w="0"/>
        <w:jc w:val="center"/>
        <w:tblLook w:firstColumn="1" w:firstRow="1" w:lastColumn="0" w:lastRow="0" w:noHBand="0" w:noVBand="1" w:val="04A0"/>
      </w:tblPr>
      <w:tblGrid>
        <w:gridCol w:w="10166"/>
      </w:tblGrid>
      <w:tr>
        <w:tc>
          <w:tcPr>
            <w:tcW w:type="dxa" w:w="10166"/>
            <w:shd w:fill="F2F4F7"/>
            <w:tcMar>
              <w:top w:w="100" w:type="dxa"/>
              <w:start w:w="120" w:type="dxa"/>
              <w:bottom w:w="100" w:type="dxa"/>
              <w:end w:w="120" w:type="dxa"/>
            </w:tcMar>
          </w:tcPr>
          <w:p>
            <w:pPr>
              <w:pStyle w:val="Code"/>
              <w:keepLines/>
            </w:pPr>
            <w:r>
              <w:t>{</w:t>
            </w:r>
            <w:r>
              <w:br/>
            </w:r>
            <w:r>
              <w:t xml:space="preserve">  "status": true,</w:t>
            </w:r>
            <w:r>
              <w:br/>
            </w:r>
            <w:r>
              <w:t xml:space="preserve">  "version": "3.1.0",</w:t>
            </w:r>
            <w:r>
              <w:br/>
            </w:r>
            <w:r>
              <w:t xml:space="preserve">  "code": 202,</w:t>
            </w:r>
            <w:r>
              <w:br/>
            </w:r>
            <w:r>
              <w:t xml:space="preserve">  "data": {</w:t>
            </w:r>
            <w:r>
              <w:br/>
            </w:r>
            <w:r>
              <w:t xml:space="preserve">    "id": 100500,</w:t>
            </w:r>
            <w:r>
              <w:br/>
            </w:r>
            <w:r>
              <w:t xml:space="preserve">    "progress": 0.58,</w:t>
            </w:r>
            <w:r>
              <w:br/>
            </w:r>
            <w:r>
              <w:t xml:space="preserve">    "status": 1,</w:t>
            </w:r>
            <w:r>
              <w:br/>
            </w:r>
            <w:r>
              <w:t xml:space="preserve">    "status_label": "processing"</w:t>
            </w:r>
            <w:r>
              <w:br/>
            </w:r>
            <w:r>
              <w:t xml:space="preserve">  }</w:t>
            </w:r>
            <w:r>
              <w:br/>
            </w:r>
            <w:r>
              <w:t>}</w:t>
            </w:r>
          </w:p>
        </w:tc>
      </w:tr>
    </w:tbl>
    <w:p>
      <w:pPr>
        <w:pStyle w:val="Kicker"/>
      </w:pPr>
      <w:r>
        <w:t>RESPONSE CAPTION</w:t>
      </w:r>
    </w:p>
    <w:p>
      <w:pPr>
        <w:pStyle w:val="FixedCopy"/>
      </w:pPr>
      <w:r>
        <w:t>The API accepts the report and returns its ID while processing continues asynchronously.</w:t>
      </w:r>
    </w:p>
    <w:p>
      <w:pPr>
        <w:pStyle w:val="Heading3"/>
      </w:pPr>
      <w:r>
        <w:t>Webhook</w:t>
      </w:r>
    </w:p>
    <w:tbl>
      <w:tblPr>
        <w:tblW w:type="auto" w:w="0"/>
        <w:jc w:val="center"/>
        <w:tblLook w:firstColumn="1" w:firstRow="1" w:lastColumn="0" w:lastRow="0" w:noHBand="0" w:noVBand="1" w:val="04A0"/>
      </w:tblPr>
      <w:tblGrid>
        <w:gridCol w:w="10166"/>
      </w:tblGrid>
      <w:tr>
        <w:tc>
          <w:tcPr>
            <w:tcW w:type="dxa" w:w="10166"/>
            <w:shd w:fill="F2F4F7"/>
            <w:tcMar>
              <w:top w:w="100" w:type="dxa"/>
              <w:start w:w="120" w:type="dxa"/>
              <w:bottom w:w="100" w:type="dxa"/>
              <w:end w:w="120" w:type="dxa"/>
            </w:tcMar>
          </w:tcPr>
          <w:p>
            <w:pPr>
              <w:pStyle w:val="Code"/>
              <w:keepLines/>
            </w:pPr>
            <w:r>
              <w:t>curl -X POST \</w:t>
            </w:r>
            <w:r>
              <w:br/>
            </w:r>
            <w:r>
              <w:t xml:space="preserve">  'https://your.app/plagiarismsearch/web-hook?id=100500' \</w:t>
            </w:r>
            <w:r>
              <w:br/>
            </w:r>
            <w:r>
              <w:t xml:space="preserve">  -H 'Content-Type: application/json' \</w:t>
            </w:r>
            <w:r>
              <w:br/>
            </w:r>
            <w:r>
              <w:t xml:space="preserve">  -d '{</w:t>
            </w:r>
            <w:r>
              <w:br/>
            </w:r>
            <w:r>
              <w:t xml:space="preserve">    "event": "report.checked",</w:t>
            </w:r>
            <w:r>
              <w:br/>
            </w:r>
            <w:r>
              <w:t xml:space="preserve">    "id": 100500,</w:t>
            </w:r>
            <w:r>
              <w:br/>
            </w:r>
            <w:r>
              <w:t xml:space="preserve">    "plagiarism": 20.20,</w:t>
            </w:r>
            <w:r>
              <w:br/>
            </w:r>
            <w:r>
              <w:t xml:space="preserve">    "status": 2,</w:t>
            </w:r>
            <w:r>
              <w:br/>
            </w:r>
            <w:r>
              <w:t xml:space="preserve">    "status_label": "checked",</w:t>
            </w:r>
            <w:r>
              <w:br/>
            </w:r>
            <w:r>
              <w:t xml:space="preserve">    "checked_words": 540,</w:t>
            </w:r>
            <w:r>
              <w:br/>
            </w:r>
            <w:r>
              <w:t xml:space="preserve">    "words": 628,</w:t>
            </w:r>
            <w:r>
              <w:br/>
            </w:r>
            <w:r>
              <w:t xml:space="preserve">    "links": {</w:t>
            </w:r>
            <w:r>
              <w:br/>
            </w:r>
            <w:r>
              <w:t xml:space="preserve">      "self": "https://plagiarismsearch.com/api/v3/reports/100500"</w:t>
            </w:r>
            <w:r>
              <w:br/>
            </w:r>
            <w:r>
              <w:t xml:space="preserve">    }</w:t>
            </w:r>
            <w:r>
              <w:br/>
            </w:r>
            <w:r>
              <w:t xml:space="preserve">  }'</w:t>
            </w:r>
          </w:p>
        </w:tc>
      </w:tr>
    </w:tbl>
    <w:p>
      <w:pPr>
        <w:pStyle w:val="Kicker"/>
      </w:pPr>
      <w:r>
        <w:t>WEBHOOK CAPTION</w:t>
      </w:r>
    </w:p>
    <w:p>
      <w:pPr>
        <w:pStyle w:val="FixedCopy"/>
      </w:pPr>
      <w:r>
        <w:t>When the check is complete, PlagiarismSearch sends a report.checked event to the callback URL supplied with the request.</w:t>
      </w:r>
    </w:p>
    <w:p>
      <w:pPr>
        <w:pStyle w:val="Kicker"/>
      </w:pPr>
      <w:r>
        <w:t>CODE-PANEL LINK</w:t>
      </w:r>
    </w:p>
    <w:p>
      <w:pPr>
        <w:pStyle w:val="FixedCopy"/>
      </w:pPr>
      <w:r>
        <w:t>View the full API reference</w:t>
      </w:r>
    </w:p>
    <w:p>
      <w:pPr>
        <w:pStyle w:val="Small"/>
      </w:pPr>
      <w:r>
        <w:t>Destination: /docs/</w:t>
      </w:r>
    </w:p>
    <w:p>
      <w:pPr>
        <w:pStyle w:val="Kicker"/>
      </w:pPr>
      <w:r>
        <w:t>PER-BLOCK ACCEPTANCE</w:t>
      </w:r>
    </w:p>
    <w:p>
      <w:pPr>
        <w:pStyle w:val="ListBullet"/>
        <w:spacing w:after="40"/>
      </w:pPr>
      <w:r>
        <w:t>Exactly one page H1: “Plagiarism Checker API”.</w:t>
      </w:r>
    </w:p>
    <w:p>
      <w:pPr>
        <w:pStyle w:val="ListBullet"/>
        <w:spacing w:after="40"/>
      </w:pPr>
      <w:r>
        <w:t>Hero visibly contains the three tabs Request / Response / Webhook in that order and uses only the approved production examples/subsets above.</w:t>
      </w:r>
    </w:p>
    <w:p>
      <w:pPr>
        <w:pStyle w:val="ListBullet"/>
        <w:spacing w:after="40"/>
      </w:pPr>
      <w:r>
        <w:t>Primary CTA is “View API documentation” → /docs/; secondary is “Request API access” → #api-access.</w:t>
      </w:r>
    </w:p>
    <w:p>
      <w:pPr>
        <w:pStyle w:val="ListBullet"/>
        <w:spacing w:after="40"/>
      </w:pPr>
      <w:r>
        <w:t>No &lt;24h, 14B, 17 languages, Batch submission, fake /api/v1 endpoint or fabricated report_url appears anywhere in the hero.</w:t>
      </w:r>
    </w:p>
    <w:p>
      <w:pPr>
        <w:pStyle w:val="Heading1"/>
      </w:pPr>
      <w:r>
        <w:t>SECTION 2 — INPUTS</w:t>
      </w:r>
    </w:p>
    <w:p>
      <w:pPr>
        <w:pStyle w:val="Kicker"/>
      </w:pPr>
      <w:r>
        <w:t>ANCHOR</w:t>
      </w:r>
    </w:p>
    <w:p>
      <w:pPr/>
      <w:r>
        <w:t>#api-inputs</w:t>
      </w:r>
    </w:p>
    <w:p>
      <w:pPr>
        <w:pStyle w:val="Kicker"/>
      </w:pPr>
      <w:r>
        <w:t>H2</w:t>
      </w:r>
    </w:p>
    <w:p>
      <w:pPr>
        <w:pStyle w:val="FixedCopy"/>
      </w:pPr>
      <w:r>
        <w:t>Send text, documents, or public URLs</w:t>
      </w:r>
    </w:p>
    <w:p>
      <w:pPr>
        <w:pStyle w:val="Kicker"/>
      </w:pPr>
      <w:r>
        <w:t>INTRO</w:t>
      </w:r>
    </w:p>
    <w:p>
      <w:pPr>
        <w:pStyle w:val="FixedCopy"/>
      </w:pPr>
      <w:r>
        <w:t>Use the input method that fits the content already available in your system. Standard text and URL requests can use JSON, while document uploads use multipart form data.</w:t>
      </w:r>
    </w:p>
    <w:p>
      <w:pPr>
        <w:pStyle w:val="Heading3"/>
      </w:pPr>
      <w:r>
        <w:t>Text</w:t>
      </w:r>
    </w:p>
    <w:p>
      <w:pPr>
        <w:pStyle w:val="FixedCopy"/>
      </w:pPr>
      <w:r>
        <w:t>Send text directly in a JSON request when the content already exists inside your product or workflow.</w:t>
      </w:r>
    </w:p>
    <w:p>
      <w:pPr>
        <w:pStyle w:val="Kicker"/>
      </w:pPr>
      <w:r>
        <w:t>SUPPORTING LABEL</w:t>
      </w:r>
    </w:p>
    <w:p>
      <w:pPr>
        <w:pStyle w:val="FixedCopy"/>
      </w:pPr>
      <w:r>
        <w:t>JSON</w:t>
      </w:r>
    </w:p>
    <w:p>
      <w:pPr>
        <w:pStyle w:val="Heading3"/>
      </w:pPr>
      <w:r>
        <w:t>Documents</w:t>
      </w:r>
    </w:p>
    <w:p>
      <w:pPr>
        <w:pStyle w:val="FixedCopy"/>
      </w:pPr>
      <w:r>
        <w:t>Upload a supported document with multipart form data when the content you need to check is stored as a file.</w:t>
      </w:r>
    </w:p>
    <w:p>
      <w:pPr>
        <w:pStyle w:val="Kicker"/>
      </w:pPr>
      <w:r>
        <w:t>SUPPORTING LABEL</w:t>
      </w:r>
    </w:p>
    <w:p>
      <w:pPr>
        <w:pStyle w:val="FixedCopy"/>
      </w:pPr>
      <w:r>
        <w:t>Multipart upload</w:t>
      </w:r>
    </w:p>
    <w:p>
      <w:pPr>
        <w:pStyle w:val="Heading3"/>
      </w:pPr>
      <w:r>
        <w:t>Public URLs</w:t>
      </w:r>
    </w:p>
    <w:p>
      <w:pPr>
        <w:pStyle w:val="FixedCopy"/>
      </w:pPr>
      <w:r>
        <w:t>Submit a public URL when the content you want to analyze is already available online.</w:t>
      </w:r>
    </w:p>
    <w:p>
      <w:pPr>
        <w:pStyle w:val="Kicker"/>
      </w:pPr>
      <w:r>
        <w:t>SUPPORTING LABEL</w:t>
      </w:r>
    </w:p>
    <w:p>
      <w:pPr>
        <w:pStyle w:val="FixedCopy"/>
      </w:pPr>
      <w:r>
        <w:t>URL input</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EF4FC"/>
          </w:tcPr>
          <w:p>
            <w:pPr>
              <w:spacing w:after="40"/>
            </w:pPr>
            <w:r>
              <w:rPr>
                <w:rFonts w:ascii="Liberation Sans" w:hAnsi="Liberation Sans"/>
                <w:b/>
                <w:color w:val="182B4D"/>
                <w:sz w:val="19"/>
              </w:rPr>
              <w:t>FILE-LIST RULE</w:t>
            </w:r>
          </w:p>
          <w:p>
            <w:pPr>
              <w:spacing w:after="0"/>
            </w:pPr>
            <w:r>
              <w:t>Do not publish an exhaustive file-extension/size list in this section until the current API-specific allow-list and limits are confirmed. Do not reuse a legacy “all formats” claim.</w:t>
            </w:r>
          </w:p>
        </w:tc>
      </w:tr>
    </w:tbl>
    <w:p>
      <w:pPr>
        <w:pStyle w:val="Kicker"/>
      </w:pPr>
      <w:r>
        <w:t>PER-BLOCK ACCEPTANCE</w:t>
      </w:r>
    </w:p>
    <w:p>
      <w:pPr>
        <w:pStyle w:val="ListBullet"/>
        <w:spacing w:after="40"/>
      </w:pPr>
      <w:r>
        <w:t>Exactly three input concepts are presented: Text, Documents, Public URLs.</w:t>
      </w:r>
    </w:p>
    <w:p>
      <w:pPr>
        <w:pStyle w:val="ListBullet"/>
        <w:spacing w:after="40"/>
      </w:pPr>
      <w:r>
        <w:t>JSON is associated with standard text/URL requests; multipart form data is associated with file upload. No batch-upload/batch-submission claim is added.</w:t>
      </w:r>
    </w:p>
    <w:p>
      <w:pPr>
        <w:pStyle w:val="Heading1"/>
      </w:pPr>
      <w:r>
        <w:t>SECTION 3 — SEARCH SCOPE &amp; SCAN CONFIGURATION</w:t>
      </w:r>
    </w:p>
    <w:p>
      <w:pPr>
        <w:pStyle w:val="Kicker"/>
      </w:pPr>
      <w:r>
        <w:t>ANCHOR</w:t>
      </w:r>
    </w:p>
    <w:p>
      <w:pPr/>
      <w:r>
        <w:t>#api-configuration</w:t>
      </w:r>
    </w:p>
    <w:p>
      <w:pPr>
        <w:pStyle w:val="Kicker"/>
      </w:pPr>
      <w:r>
        <w:t>H2</w:t>
      </w:r>
    </w:p>
    <w:p>
      <w:pPr>
        <w:pStyle w:val="FixedCopy"/>
      </w:pPr>
      <w:r>
        <w:t>Configure each plagiarism check around your workflow</w:t>
      </w:r>
    </w:p>
    <w:p>
      <w:pPr>
        <w:pStyle w:val="Kicker"/>
      </w:pPr>
      <w:r>
        <w:t>INTRO</w:t>
      </w:r>
    </w:p>
    <w:p>
      <w:pPr>
        <w:pStyle w:val="FixedCopy"/>
      </w:pPr>
      <w:r>
        <w:t>Choose where the API searches and adjust the options that matter for each check instead of using the same scan configuration for every document.</w:t>
      </w:r>
    </w:p>
    <w:p>
      <w:pPr>
        <w:pStyle w:val="Heading3"/>
      </w:pPr>
      <w:r>
        <w:t>Search the web</w:t>
      </w:r>
    </w:p>
    <w:p>
      <w:pPr>
        <w:pStyle w:val="FixedCopy"/>
      </w:pPr>
      <w:r>
        <w:t>Enable web plagiarism search when the submitted content should be compared with sources available on the web.</w:t>
      </w:r>
    </w:p>
    <w:p>
      <w:pPr>
        <w:pStyle w:val="Heading3"/>
      </w:pPr>
      <w:r>
        <w:t>Include the academic database</w:t>
      </w:r>
    </w:p>
    <w:p>
      <w:pPr>
        <w:pStyle w:val="FixedCopy"/>
      </w:pPr>
      <w:r>
        <w:t>Add PlagiarismSearch’s academic database to the scan when academic source coverage matters.</w:t>
      </w:r>
    </w:p>
    <w:p>
      <w:pPr>
        <w:pStyle w:val="Kicker"/>
      </w:pPr>
      <w:r>
        <w:t>SUPPORTING PROOF</w:t>
      </w:r>
    </w:p>
    <w:p>
      <w:pPr>
        <w:pStyle w:val="FixedCopy"/>
      </w:pPr>
      <w:r>
        <w:t>500M+ indexed academic texts</w:t>
      </w:r>
    </w:p>
    <w:p>
      <w:pPr>
        <w:pStyle w:val="Heading3"/>
      </w:pPr>
      <w:r>
        <w:t>Search your storage</w:t>
      </w:r>
    </w:p>
    <w:p>
      <w:pPr>
        <w:pStyle w:val="FixedCopy"/>
      </w:pPr>
      <w:r>
        <w:t>Search personal or organization storage when those repositories and permissions are available to the API account.</w:t>
      </w:r>
    </w:p>
    <w:p>
      <w:pPr>
        <w:pStyle w:val="FixedCopy"/>
      </w:pPr>
      <w:r>
        <w:t>Submitted content can also be added to storage when that workflow is enabled.</w:t>
      </w:r>
    </w:p>
    <w:p>
      <w:pPr>
        <w:pStyle w:val="Heading3"/>
      </w:pPr>
      <w:r>
        <w:t>Exclude references and quoted content</w:t>
      </w:r>
    </w:p>
    <w:p>
      <w:pPr>
        <w:pStyle w:val="FixedCopy"/>
      </w:pPr>
      <w:r>
        <w:t>Configure the check to exclude references and quoted or cited text when those parts should not affect the result.</w:t>
      </w:r>
    </w:p>
    <w:p>
      <w:pPr>
        <w:pStyle w:val="Heading3"/>
      </w:pPr>
      <w:r>
        <w:t>Control web and storage scope</w:t>
      </w:r>
    </w:p>
    <w:p>
      <w:pPr>
        <w:pStyle w:val="FixedCopy"/>
      </w:pPr>
      <w:r>
        <w:t>Exclude specific URLs from web search and narrow storage searches with the filters available in the API request.</w:t>
      </w:r>
    </w:p>
    <w:p>
      <w:pPr>
        <w:pStyle w:val="Heading3"/>
      </w:pPr>
      <w:r>
        <w:t>Add AI analysis when needed</w:t>
      </w:r>
    </w:p>
    <w:p>
      <w:pPr>
        <w:pStyle w:val="FixedCopy"/>
      </w:pPr>
      <w:r>
        <w:t>AI checking is available through the same PlagiarismSearch API infrastructure. AI analysis uses the AI word balance available to the account.</w:t>
      </w:r>
    </w:p>
    <w:p>
      <w:pPr>
        <w:pStyle w:val="Kicker"/>
      </w:pPr>
      <w:r>
        <w:t>PER-BLOCK ACCEPTANCE</w:t>
      </w:r>
    </w:p>
    <w:p>
      <w:pPr>
        <w:pStyle w:val="ListBullet"/>
        <w:spacing w:after="40"/>
      </w:pPr>
      <w:r>
        <w:t>The section communicates web, academic database and storage as configurable search sources; it does not claim every source is automatically searched in every request.</w:t>
      </w:r>
    </w:p>
    <w:p>
      <w:pPr>
        <w:pStyle w:val="ListBullet"/>
        <w:spacing w:after="40"/>
      </w:pPr>
      <w:r>
        <w:t>The approved 500M+ academic-text proof may appear; 14B or another unsupported web-corpus number may not.</w:t>
      </w:r>
    </w:p>
    <w:p>
      <w:pPr>
        <w:pStyle w:val="ListBullet"/>
        <w:spacing w:after="40"/>
      </w:pPr>
      <w:r>
        <w:t>AI is a secondary capability inside the same API infrastructure and is not presented as a separate AI API product.</w:t>
      </w:r>
    </w:p>
    <w:p>
      <w:pPr>
        <w:pStyle w:val="Heading1"/>
      </w:pPr>
      <w:r>
        <w:t>SECTION 4 — ACTUAL API WORKFLOW</w:t>
      </w:r>
    </w:p>
    <w:p>
      <w:pPr>
        <w:pStyle w:val="Kicker"/>
      </w:pPr>
      <w:r>
        <w:t>ANCHOR</w:t>
      </w:r>
    </w:p>
    <w:p>
      <w:pPr/>
      <w:r>
        <w:t>#api-workflow</w:t>
      </w:r>
    </w:p>
    <w:p>
      <w:pPr>
        <w:pStyle w:val="Kicker"/>
      </w:pPr>
      <w:r>
        <w:t>H2</w:t>
      </w:r>
    </w:p>
    <w:p>
      <w:pPr>
        <w:pStyle w:val="FixedCopy"/>
      </w:pPr>
      <w:r>
        <w:t>How the PlagiarismSearch API workflow works</w:t>
      </w:r>
    </w:p>
    <w:p>
      <w:pPr>
        <w:pStyle w:val="Heading3"/>
      </w:pPr>
      <w:r>
        <w:t>1. Submit</w:t>
      </w:r>
    </w:p>
    <w:p>
      <w:pPr>
        <w:pStyle w:val="FixedCopy"/>
      </w:pPr>
      <w:r>
        <w:t>Send text or a public URL as JSON, or upload a document with multipart form data.</w:t>
      </w:r>
    </w:p>
    <w:p>
      <w:pPr>
        <w:pStyle w:val="Heading3"/>
      </w:pPr>
      <w:r>
        <w:t>2. Configure</w:t>
      </w:r>
    </w:p>
    <w:p>
      <w:pPr>
        <w:pStyle w:val="FixedCopy"/>
      </w:pPr>
      <w:r>
        <w:t>Select the search sources and options required for the check and provide the callback_url where completion events should be sent.</w:t>
      </w:r>
    </w:p>
    <w:p>
      <w:pPr>
        <w:pStyle w:val="Heading3"/>
      </w:pPr>
      <w:r>
        <w:t>3. Process</w:t>
      </w:r>
    </w:p>
    <w:p>
      <w:pPr>
        <w:pStyle w:val="FixedCopy"/>
      </w:pPr>
      <w:r>
        <w:t>The API creates the report and returns a 202 response with the report ID while plagiarism checking continues asynchronously.</w:t>
      </w:r>
    </w:p>
    <w:p>
      <w:pPr>
        <w:pStyle w:val="Heading3"/>
      </w:pPr>
      <w:r>
        <w:t>4. Receive</w:t>
      </w:r>
    </w:p>
    <w:p>
      <w:pPr>
        <w:pStyle w:val="FixedCopy"/>
      </w:pPr>
      <w:r>
        <w:t>When processing is complete, PlagiarismSearch sends a report.checked webhook to your callback URL. Use the report ID and returned report link to continue the workflow inside your own system.</w:t>
      </w:r>
    </w:p>
    <w:p>
      <w:pPr>
        <w:pStyle w:val="Kicker"/>
      </w:pPr>
      <w:r>
        <w:t>SUPPORTING CALLOUT</w:t>
      </w:r>
    </w:p>
    <w:p>
      <w:pPr>
        <w:pStyle w:val="FixedCopy"/>
      </w:pPr>
      <w:r>
        <w:t>Your integration does not need to wait for the plagiarism check to finish before continuing other work. The initial response identifies the report, and the completion webhook tells your system when the check is ready.</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EF4FC"/>
          </w:tcPr>
          <w:p>
            <w:pPr>
              <w:spacing w:after="40"/>
            </w:pPr>
            <w:r>
              <w:rPr>
                <w:rFonts w:ascii="Liberation Sans" w:hAnsi="Liberation Sans"/>
                <w:b/>
                <w:color w:val="182B4D"/>
                <w:sz w:val="19"/>
              </w:rPr>
              <w:t>VISUAL RULE</w:t>
            </w:r>
          </w:p>
          <w:p>
            <w:pPr>
              <w:spacing w:after="0"/>
            </w:pPr>
            <w:r>
              <w:t>Reuse the new mock’s step/layout idea if useful, but replace the stock developer/person image with actual product evidence: an approved flow diagram, real response/webhook field treatment, or another non-fabricated technical visual.</w:t>
            </w:r>
          </w:p>
        </w:tc>
      </w:tr>
    </w:tbl>
    <w:p>
      <w:pPr>
        <w:pStyle w:val="Kicker"/>
      </w:pPr>
      <w:r>
        <w:t>PER-BLOCK ACCEPTANCE</w:t>
      </w:r>
    </w:p>
    <w:p>
      <w:pPr>
        <w:pStyle w:val="ListBullet"/>
        <w:spacing w:after="40"/>
      </w:pPr>
      <w:r>
        <w:t>The four steps appear in this order: Submit → Configure → Process → Receive.</w:t>
      </w:r>
    </w:p>
    <w:p>
      <w:pPr>
        <w:pStyle w:val="ListBullet"/>
        <w:spacing w:after="40"/>
      </w:pPr>
      <w:r>
        <w:t>This is a product workflow, not a sales workflow; “Contact us → Describe requirements → Receive API” does not appear in this section.</w:t>
      </w:r>
    </w:p>
    <w:p>
      <w:pPr>
        <w:pStyle w:val="Heading1"/>
      </w:pPr>
      <w:r>
        <w:t>SECTION 5 — RESULT LIFECYCLE</w:t>
      </w:r>
    </w:p>
    <w:p>
      <w:pPr>
        <w:pStyle w:val="Kicker"/>
      </w:pPr>
      <w:r>
        <w:t>ANCHOR</w:t>
      </w:r>
    </w:p>
    <w:p>
      <w:pPr/>
      <w:r>
        <w:t>#api-results</w:t>
      </w:r>
    </w:p>
    <w:p>
      <w:pPr>
        <w:pStyle w:val="Kicker"/>
      </w:pPr>
      <w:r>
        <w:t>H2</w:t>
      </w:r>
    </w:p>
    <w:p>
      <w:pPr>
        <w:pStyle w:val="FixedCopy"/>
      </w:pPr>
      <w:r>
        <w:t>Use report status and result data in your own product</w:t>
      </w:r>
    </w:p>
    <w:p>
      <w:pPr>
        <w:pStyle w:val="Kicker"/>
      </w:pPr>
      <w:r>
        <w:t>INTRO</w:t>
      </w:r>
    </w:p>
    <w:p>
      <w:pPr>
        <w:pStyle w:val="FixedCopy"/>
      </w:pPr>
      <w:r>
        <w:t>The API gives your application the information needed to track a check from submission to completion without forcing users into a separate manual checking flow.</w:t>
      </w:r>
    </w:p>
    <w:p>
      <w:pPr>
        <w:pStyle w:val="Heading3"/>
      </w:pPr>
      <w:r>
        <w:t>Track the report</w:t>
      </w:r>
    </w:p>
    <w:p>
      <w:pPr>
        <w:pStyle w:val="FixedCopy"/>
      </w:pPr>
      <w:r>
        <w:t>Use the report id, processing progress, status, and status_label returned by the API to identify the check and follow its current state.</w:t>
      </w:r>
    </w:p>
    <w:p>
      <w:pPr>
        <w:pStyle w:val="Heading3"/>
      </w:pPr>
      <w:r>
        <w:t>React when processing completes</w:t>
      </w:r>
    </w:p>
    <w:p>
      <w:pPr>
        <w:pStyle w:val="FixedCopy"/>
      </w:pPr>
      <w:r>
        <w:t>The completion webhook identifies the checked report, returns its completion status and word counts, and includes a self link to the report resource.</w:t>
      </w:r>
    </w:p>
    <w:p>
      <w:pPr>
        <w:pStyle w:val="Heading3"/>
      </w:pPr>
      <w:r>
        <w:t>Continue with the result</w:t>
      </w:r>
    </w:p>
    <w:p>
      <w:pPr>
        <w:pStyle w:val="FixedCopy"/>
      </w:pPr>
      <w:r>
        <w:t>Use the report resource and the current API response schema to bring the result data required by your workflow into your own application.</w:t>
      </w:r>
    </w:p>
    <w:p>
      <w:pPr>
        <w:pStyle w:val="Kicker"/>
      </w:pPr>
      <w:r>
        <w:t>CTA</w:t>
      </w:r>
    </w:p>
    <w:p>
      <w:pPr>
        <w:pStyle w:val="FixedCopy"/>
      </w:pPr>
      <w:r>
        <w:t>See the complete response schema</w:t>
      </w:r>
    </w:p>
    <w:p>
      <w:pPr>
        <w:pStyle w:val="Small"/>
      </w:pPr>
      <w:r>
        <w:t>Destination: /docs/</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FFF4E7"/>
          </w:tcPr>
          <w:p>
            <w:pPr>
              <w:spacing w:after="40"/>
            </w:pPr>
            <w:r>
              <w:rPr>
                <w:rFonts w:ascii="Liberation Sans" w:hAnsi="Liberation Sans"/>
                <w:b/>
                <w:color w:val="182B4D"/>
                <w:sz w:val="19"/>
              </w:rPr>
              <w:t>OUTPUT BOUNDARY</w:t>
            </w:r>
          </w:p>
          <w:p>
            <w:pPr>
              <w:spacing w:after="0"/>
            </w:pPr>
            <w:r>
              <w:t>Do not claim PDF reports, HTML reports, detailed source relations, paragraph-level API structures or other legacy Q&amp;A output features until current API 3.1.0 behavior is reconfirmed. Use only the confirmed lifecycle/status/result concepts above.</w:t>
            </w:r>
          </w:p>
        </w:tc>
      </w:tr>
    </w:tbl>
    <w:p>
      <w:pPr>
        <w:pStyle w:val="Kicker"/>
      </w:pPr>
      <w:r>
        <w:t>PER-BLOCK ACCEPTANCE</w:t>
      </w:r>
    </w:p>
    <w:p>
      <w:pPr>
        <w:pStyle w:val="ListBullet"/>
        <w:spacing w:after="40"/>
      </w:pPr>
      <w:r>
        <w:t>The result section uses actual confirmed field concepts (id, progress/status/status_label, completion webhook, self report link).</w:t>
      </w:r>
    </w:p>
    <w:p>
      <w:pPr>
        <w:pStyle w:val="ListBullet"/>
        <w:spacing w:after="40"/>
      </w:pPr>
      <w:r>
        <w:t>No unverified output format or legacy v3.0 report feature is promoted.</w:t>
      </w:r>
    </w:p>
    <w:p>
      <w:pPr>
        <w:pStyle w:val="Heading1"/>
      </w:pPr>
      <w:r>
        <w:t>SECTION 6 — WORKFLOW USE CASES</w:t>
      </w:r>
    </w:p>
    <w:p>
      <w:pPr>
        <w:pStyle w:val="Kicker"/>
      </w:pPr>
      <w:r>
        <w:t>ANCHOR</w:t>
      </w:r>
    </w:p>
    <w:p>
      <w:pPr/>
      <w:r>
        <w:t>#api-use-cases</w:t>
      </w:r>
    </w:p>
    <w:p>
      <w:pPr>
        <w:pStyle w:val="Kicker"/>
      </w:pPr>
      <w:r>
        <w:t>H2</w:t>
      </w:r>
    </w:p>
    <w:p>
      <w:pPr>
        <w:pStyle w:val="FixedCopy"/>
      </w:pPr>
      <w:r>
        <w:t>Build plagiarism checking into the workflow you already use</w:t>
      </w:r>
    </w:p>
    <w:p>
      <w:pPr>
        <w:pStyle w:val="Kicker"/>
      </w:pPr>
      <w:r>
        <w:t>INTRO</w:t>
      </w:r>
    </w:p>
    <w:p>
      <w:pPr>
        <w:pStyle w:val="FixedCopy"/>
      </w:pPr>
      <w:r>
        <w:t>The API is designed for systems that need plagiarism checking inside an existing product or document process rather than as a separate manual step.</w:t>
      </w:r>
    </w:p>
    <w:p>
      <w:pPr>
        <w:pStyle w:val="Heading3"/>
      </w:pPr>
      <w:r>
        <w:t>Education and LMS platforms</w:t>
      </w:r>
    </w:p>
    <w:p>
      <w:pPr>
        <w:pStyle w:val="FixedCopy"/>
      </w:pPr>
      <w:r>
        <w:t>Add plagiarism checks to workflows that process academic documents or student submissions. Configure web, academic, and permitted storage sources according to the needs of the integration.</w:t>
      </w:r>
    </w:p>
    <w:p>
      <w:pPr>
        <w:pStyle w:val="Heading3"/>
      </w:pPr>
      <w:r>
        <w:t>Publishing and content operations</w:t>
      </w:r>
    </w:p>
    <w:p>
      <w:pPr>
        <w:pStyle w:val="FixedCopy"/>
      </w:pPr>
      <w:r>
        <w:t>Run plagiarism checks as part of an editorial or pre-publication workflow without requiring every user to move into a separate checking interface.</w:t>
      </w:r>
    </w:p>
    <w:p>
      <w:pPr>
        <w:pStyle w:val="Heading3"/>
      </w:pPr>
      <w:r>
        <w:t>Products that process submitted documents</w:t>
      </w:r>
    </w:p>
    <w:p>
      <w:pPr>
        <w:pStyle w:val="FixedCopy"/>
      </w:pPr>
      <w:r>
        <w:t>Trigger plagiarism checks when users submit text, files, or URLs to your product, then use the webhook and report data to continue the process inside your own application.</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EF4FC"/>
          </w:tcPr>
          <w:p>
            <w:pPr>
              <w:spacing w:after="40"/>
            </w:pPr>
            <w:r>
              <w:rPr>
                <w:rFonts w:ascii="Liberation Sans" w:hAnsi="Liberation Sans"/>
                <w:b/>
                <w:color w:val="182B4D"/>
                <w:sz w:val="19"/>
              </w:rPr>
              <w:t>INITIAL IMPLEMENTATION DECISION</w:t>
            </w:r>
          </w:p>
          <w:p>
            <w:pPr>
              <w:spacing w:after="0"/>
            </w:pPr>
            <w:r>
              <w:t>Do not add the optional Moodle cross-link in this first implementation. The legacy/mock Moodle card is rejected as an API mechanic. A ready-made LMS cross-link may be added later as a separate approved P2 decision.</w:t>
            </w:r>
          </w:p>
        </w:tc>
      </w:tr>
    </w:tbl>
    <w:p>
      <w:pPr>
        <w:pStyle w:val="Kicker"/>
      </w:pPr>
      <w:r>
        <w:t>PER-BLOCK ACCEPTANCE</w:t>
      </w:r>
    </w:p>
    <w:p>
      <w:pPr>
        <w:pStyle w:val="ListBullet"/>
        <w:spacing w:after="40"/>
      </w:pPr>
      <w:r>
        <w:t>Exactly three workflow cards/paths: Education and LMS platforms; Publishing and content operations; Products that process submitted documents.</w:t>
      </w:r>
    </w:p>
    <w:p>
      <w:pPr>
        <w:pStyle w:val="ListBullet"/>
        <w:spacing w:after="40"/>
      </w:pPr>
      <w:r>
        <w:t>Do not split Schools / Universities / Colleges into duplicate persona cards and do not add a Moodle feature card.</w:t>
      </w:r>
    </w:p>
    <w:p>
      <w:pPr>
        <w:pStyle w:val="Heading1"/>
      </w:pPr>
      <w:r>
        <w:t>SECTION 7 — DEVELOPER RESOURCES</w:t>
      </w:r>
    </w:p>
    <w:p>
      <w:pPr>
        <w:pStyle w:val="Kicker"/>
      </w:pPr>
      <w:r>
        <w:t>ANCHOR</w:t>
      </w:r>
    </w:p>
    <w:p>
      <w:pPr/>
      <w:r>
        <w:t>#api-resources</w:t>
      </w:r>
    </w:p>
    <w:p>
      <w:pPr>
        <w:pStyle w:val="Kicker"/>
      </w:pPr>
      <w:r>
        <w:t>H2</w:t>
      </w:r>
    </w:p>
    <w:p>
      <w:pPr>
        <w:pStyle w:val="FixedCopy"/>
      </w:pPr>
      <w:r>
        <w:t>Move from evaluation to implementation</w:t>
      </w:r>
    </w:p>
    <w:p>
      <w:pPr>
        <w:pStyle w:val="Kicker"/>
      </w:pPr>
      <w:r>
        <w:t>INTRO</w:t>
      </w:r>
    </w:p>
    <w:p>
      <w:pPr>
        <w:pStyle w:val="FixedCopy"/>
      </w:pPr>
      <w:r>
        <w:t>Use the commercial API page to understand the product, then move into the technical resources when you are ready to work with the current API contract.</w:t>
      </w:r>
    </w:p>
    <w:p>
      <w:pPr>
        <w:pStyle w:val="Heading3"/>
      </w:pPr>
      <w:r>
        <w:t>API Documentation</w:t>
      </w:r>
    </w:p>
    <w:p>
      <w:pPr>
        <w:pStyle w:val="FixedCopy"/>
      </w:pPr>
      <w:r>
        <w:t>Review the current PlagiarismSearch RESTful API 3.1.0 reference for endpoints, request parameters, and response schemas.</w:t>
      </w:r>
    </w:p>
    <w:p>
      <w:pPr>
        <w:pStyle w:val="Kicker"/>
      </w:pPr>
      <w:r>
        <w:t>CTA</w:t>
      </w:r>
    </w:p>
    <w:p>
      <w:pPr>
        <w:pStyle w:val="FixedCopy"/>
      </w:pPr>
      <w:r>
        <w:t>Open API documentation</w:t>
      </w:r>
    </w:p>
    <w:p>
      <w:pPr>
        <w:pStyle w:val="Small"/>
      </w:pPr>
      <w:r>
        <w:t>Destination: /docs/</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FFF4E7"/>
          </w:tcPr>
          <w:p>
            <w:pPr>
              <w:spacing w:after="40"/>
            </w:pPr>
            <w:r>
              <w:rPr>
                <w:rFonts w:ascii="Liberation Sans" w:hAnsi="Liberation Sans"/>
                <w:b/>
                <w:color w:val="182B4D"/>
                <w:sz w:val="19"/>
              </w:rPr>
              <w:t>Q&amp;A GATE — CURRENT IMPLEMENTATION</w:t>
            </w:r>
          </w:p>
          <w:p>
            <w:pPr>
              <w:spacing w:after="0"/>
            </w:pPr>
            <w:r>
              <w:t>Do not render the API FAQ &amp; troubleshooting resource card yet. The /plagiarismsearch-api-questions-and-answers URL is preserved for future use but currently requires factual synchronization with API 3.1.0. Do not reserve an empty second-card slot. Add the second resource only after the synchronization is approved.</w:t>
            </w:r>
          </w:p>
        </w:tc>
      </w:tr>
    </w:tbl>
    <w:p>
      <w:pPr>
        <w:pStyle w:val="Kicker"/>
      </w:pPr>
      <w:r>
        <w:t>PER-BLOCK ACCEPTANCE</w:t>
      </w:r>
    </w:p>
    <w:p>
      <w:pPr>
        <w:pStyle w:val="ListBullet"/>
        <w:spacing w:after="40"/>
      </w:pPr>
      <w:r>
        <w:t>Initial implementation renders the API Documentation resource and its /docs/ link.</w:t>
      </w:r>
    </w:p>
    <w:p>
      <w:pPr>
        <w:pStyle w:val="ListBullet"/>
        <w:spacing w:after="40"/>
      </w:pPr>
      <w:r>
        <w:t>No prominent link/card to /plagiarismsearch-api-questions-and-answers appears until the factual synchronization gate is cleared.</w:t>
      </w:r>
    </w:p>
    <w:p>
      <w:pPr>
        <w:pStyle w:val="Heading1"/>
      </w:pPr>
      <w:r>
        <w:t>SECTION 8 — ACCESS, TRIAL &amp; PRICING</w:t>
      </w:r>
    </w:p>
    <w:p>
      <w:pPr>
        <w:pStyle w:val="Kicker"/>
      </w:pPr>
      <w:r>
        <w:t>ANCHOR</w:t>
      </w:r>
    </w:p>
    <w:p>
      <w:pPr/>
      <w:r>
        <w:t>#api-access</w:t>
      </w:r>
    </w:p>
    <w:p>
      <w:pPr>
        <w:pStyle w:val="Kicker"/>
      </w:pPr>
      <w:r>
        <w:t>H2</w:t>
      </w:r>
    </w:p>
    <w:p>
      <w:pPr>
        <w:pStyle w:val="FixedCopy"/>
      </w:pPr>
      <w:r>
        <w:t>Choose the API access path that fits your implementation</w:t>
      </w:r>
    </w:p>
    <w:p>
      <w:pPr>
        <w:pStyle w:val="Kicker"/>
      </w:pPr>
      <w:r>
        <w:t>INTRO</w:t>
      </w:r>
    </w:p>
    <w:p>
      <w:pPr>
        <w:pStyle w:val="FixedCopy"/>
      </w:pPr>
      <w:r>
        <w:t>API access can be included in selected PlagiarismSearch plans or arranged separately for custom and higher-volume implementations. Trial access may also be available through supported trial or contact flows.</w:t>
      </w:r>
    </w:p>
    <w:p>
      <w:pPr>
        <w:pStyle w:val="Heading3"/>
      </w:pPr>
      <w:r>
        <w:t>Review available plans</w:t>
      </w:r>
    </w:p>
    <w:p>
      <w:pPr>
        <w:pStyle w:val="FixedCopy"/>
      </w:pPr>
      <w:r>
        <w:t>See current PlagiarismSearch plans and the features included with each option.</w:t>
      </w:r>
    </w:p>
    <w:p>
      <w:pPr>
        <w:pStyle w:val="Kicker"/>
      </w:pPr>
      <w:r>
        <w:t>CTA</w:t>
      </w:r>
    </w:p>
    <w:p>
      <w:pPr>
        <w:pStyle w:val="FixedCopy"/>
      </w:pPr>
      <w:r>
        <w:t>View pricing</w:t>
      </w:r>
    </w:p>
    <w:p>
      <w:pPr>
        <w:pStyle w:val="Small"/>
      </w:pPr>
      <w:r>
        <w:t>Destination: /prices</w:t>
      </w:r>
    </w:p>
    <w:p>
      <w:pPr>
        <w:pStyle w:val="Heading3"/>
      </w:pPr>
      <w:r>
        <w:t>Discuss API access or a trial</w:t>
      </w:r>
    </w:p>
    <w:p>
      <w:pPr>
        <w:pStyle w:val="FixedCopy"/>
      </w:pPr>
      <w:r>
        <w:t>Tell us what you are building and the approximate volume you expect to process. We can use those details to discuss access, evaluation options, or custom pricing.</w:t>
      </w:r>
    </w:p>
    <w:p>
      <w:pPr>
        <w:pStyle w:val="Kicker"/>
      </w:pPr>
      <w:r>
        <w:t>CTA</w:t>
      </w:r>
    </w:p>
    <w:p>
      <w:pPr>
        <w:pStyle w:val="FixedCopy"/>
      </w:pPr>
      <w:r>
        <w:t>Request API access</w:t>
      </w:r>
    </w:p>
    <w:p>
      <w:pPr>
        <w:pStyle w:val="Small"/>
      </w:pPr>
      <w:r>
        <w:t>Destination: #api-quote</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FFF4E7"/>
          </w:tcPr>
          <w:p>
            <w:pPr>
              <w:spacing w:after="40"/>
            </w:pPr>
            <w:r>
              <w:rPr>
                <w:rFonts w:ascii="Liberation Sans" w:hAnsi="Liberation Sans"/>
                <w:b/>
                <w:color w:val="182B4D"/>
                <w:sz w:val="19"/>
              </w:rPr>
              <w:t>PRICING RULE</w:t>
            </w:r>
          </w:p>
          <w:p>
            <w:pPr>
              <w:spacing w:after="0"/>
            </w:pPr>
            <w:r>
              <w:t>Do not recreate the legacy static three-card Monthly / 3-Month / Yearly API pricing module. Production pricing and entitlements come from the current pricing/backend/commercial source of truth. Do not claim a universal free trial.</w:t>
            </w:r>
          </w:p>
        </w:tc>
      </w:tr>
    </w:tbl>
    <w:p>
      <w:pPr>
        <w:pStyle w:val="Kicker"/>
      </w:pPr>
      <w:r>
        <w:t>PER-BLOCK ACCEPTANCE</w:t>
      </w:r>
    </w:p>
    <w:p>
      <w:pPr>
        <w:pStyle w:val="ListBullet"/>
        <w:spacing w:after="40"/>
      </w:pPr>
      <w:r>
        <w:t>The section offers two clear paths: /prices and #api-quote.</w:t>
      </w:r>
    </w:p>
    <w:p>
      <w:pPr>
        <w:pStyle w:val="ListBullet"/>
        <w:spacing w:after="40"/>
      </w:pPr>
      <w:r>
        <w:t>No legacy hardcoded API price cards, universal free-trial duration/submission count, or every-user API-access claim is shown.</w:t>
      </w:r>
    </w:p>
    <w:p>
      <w:pPr>
        <w:pStyle w:val="Heading1"/>
      </w:pPr>
      <w:r>
        <w:t>SECTION 9 — API ACCESS / CUSTOM QUOTE FORM</w:t>
      </w:r>
    </w:p>
    <w:p>
      <w:pPr>
        <w:pStyle w:val="Kicker"/>
      </w:pPr>
      <w:r>
        <w:t>ANCHOR</w:t>
      </w:r>
    </w:p>
    <w:p>
      <w:pPr/>
      <w:r>
        <w:t>#api-quote</w:t>
      </w:r>
    </w:p>
    <w:p>
      <w:pPr>
        <w:pStyle w:val="Kicker"/>
      </w:pPr>
      <w:r>
        <w:t>H2</w:t>
      </w:r>
    </w:p>
    <w:p>
      <w:pPr>
        <w:pStyle w:val="FixedCopy"/>
      </w:pPr>
      <w:r>
        <w:t>Request API access or a custom quote</w:t>
      </w:r>
    </w:p>
    <w:p>
      <w:pPr>
        <w:pStyle w:val="Kicker"/>
      </w:pPr>
      <w:r>
        <w:t>INTRO</w:t>
      </w:r>
    </w:p>
    <w:p>
      <w:pPr>
        <w:pStyle w:val="FixedCopy"/>
      </w:pPr>
      <w:r>
        <w:t>Share your integration requirements and expected volume. We’ll use the details to discuss the most appropriate API access, trial, or pricing option for your workflow.</w:t>
      </w:r>
    </w:p>
    <w:p>
      <w:pPr>
        <w:pStyle w:val="Heading2"/>
      </w:pPr>
      <w:r>
        <w:t>Form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DE8F5"/>
            <w:vAlign w:val="center"/>
          </w:tcPr>
          <w:p>
            <w:r>
              <w:rPr>
                <w:b/>
                <w:sz w:val="17"/>
              </w:rPr>
              <w:t>Field</w:t>
            </w:r>
          </w:p>
        </w:tc>
        <w:tc>
          <w:tcPr>
            <w:tcW w:type="dxa" w:w="3389"/>
            <w:shd w:fill="DDE8F5"/>
            <w:vAlign w:val="center"/>
          </w:tcPr>
          <w:p>
            <w:r>
              <w:rPr>
                <w:b/>
                <w:sz w:val="17"/>
              </w:rPr>
              <w:t>Exact visible copy</w:t>
            </w:r>
          </w:p>
        </w:tc>
        <w:tc>
          <w:tcPr>
            <w:tcW w:type="dxa" w:w="3389"/>
            <w:shd w:fill="DDE8F5"/>
            <w:vAlign w:val="center"/>
          </w:tcPr>
          <w:p>
            <w:r>
              <w:rPr>
                <w:b/>
                <w:sz w:val="17"/>
              </w:rPr>
              <w:t>State</w:t>
            </w:r>
          </w:p>
        </w:tc>
      </w:tr>
      <w:tr>
        <w:tc>
          <w:tcPr>
            <w:tcW w:type="dxa" w:w="3389"/>
            <w:vAlign w:val="top"/>
            <w:tcMar>
              <w:top w:w="70" w:type="dxa"/>
              <w:start w:w="90" w:type="dxa"/>
              <w:bottom w:w="70" w:type="dxa"/>
              <w:end w:w="90" w:type="dxa"/>
            </w:tcMar>
          </w:tcPr>
          <w:p>
            <w:pPr>
              <w:spacing w:after="20" w:line="240" w:lineRule="auto"/>
            </w:pPr>
            <w:r>
              <w:t>Name *</w:t>
            </w:r>
          </w:p>
        </w:tc>
        <w:tc>
          <w:tcPr>
            <w:tcW w:type="dxa" w:w="3389"/>
            <w:vAlign w:val="top"/>
            <w:tcMar>
              <w:top w:w="70" w:type="dxa"/>
              <w:start w:w="90" w:type="dxa"/>
              <w:bottom w:w="70" w:type="dxa"/>
              <w:end w:w="90" w:type="dxa"/>
            </w:tcMar>
          </w:tcPr>
          <w:p>
            <w:pPr>
              <w:spacing w:after="20" w:line="240" w:lineRule="auto"/>
            </w:pPr>
            <w:r>
              <w:t>Placeholder: Jordan Reeves</w:t>
            </w:r>
          </w:p>
        </w:tc>
        <w:tc>
          <w:tcPr>
            <w:tcW w:type="dxa" w:w="3389"/>
            <w:vAlign w:val="top"/>
            <w:tcMar>
              <w:top w:w="70" w:type="dxa"/>
              <w:start w:w="90" w:type="dxa"/>
              <w:bottom w:w="70" w:type="dxa"/>
              <w:end w:w="90" w:type="dxa"/>
            </w:tcMar>
          </w:tcPr>
          <w:p>
            <w:pPr>
              <w:spacing w:after="20" w:line="240" w:lineRule="auto"/>
            </w:pPr>
            <w:r>
              <w:t>Required</w:t>
            </w:r>
          </w:p>
        </w:tc>
      </w:tr>
      <w:tr>
        <w:tc>
          <w:tcPr>
            <w:tcW w:type="dxa" w:w="3389"/>
            <w:vAlign w:val="top"/>
            <w:tcMar>
              <w:top w:w="70" w:type="dxa"/>
              <w:start w:w="90" w:type="dxa"/>
              <w:bottom w:w="70" w:type="dxa"/>
              <w:end w:w="90" w:type="dxa"/>
            </w:tcMar>
          </w:tcPr>
          <w:p>
            <w:pPr>
              <w:spacing w:after="20" w:line="240" w:lineRule="auto"/>
            </w:pPr>
            <w:r>
              <w:t>Work email *</w:t>
            </w:r>
          </w:p>
        </w:tc>
        <w:tc>
          <w:tcPr>
            <w:tcW w:type="dxa" w:w="3389"/>
            <w:vAlign w:val="top"/>
            <w:tcMar>
              <w:top w:w="70" w:type="dxa"/>
              <w:start w:w="90" w:type="dxa"/>
              <w:bottom w:w="70" w:type="dxa"/>
              <w:end w:w="90" w:type="dxa"/>
            </w:tcMar>
          </w:tcPr>
          <w:p>
            <w:pPr>
              <w:spacing w:after="20" w:line="240" w:lineRule="auto"/>
            </w:pPr>
            <w:r>
              <w:t>Placeholder: name@company.com</w:t>
            </w:r>
          </w:p>
        </w:tc>
        <w:tc>
          <w:tcPr>
            <w:tcW w:type="dxa" w:w="3389"/>
            <w:vAlign w:val="top"/>
            <w:tcMar>
              <w:top w:w="70" w:type="dxa"/>
              <w:start w:w="90" w:type="dxa"/>
              <w:bottom w:w="70" w:type="dxa"/>
              <w:end w:w="90" w:type="dxa"/>
            </w:tcMar>
          </w:tcPr>
          <w:p>
            <w:pPr>
              <w:spacing w:after="20" w:line="240" w:lineRule="auto"/>
            </w:pPr>
            <w:r>
              <w:t>Required</w:t>
            </w:r>
          </w:p>
        </w:tc>
      </w:tr>
      <w:tr>
        <w:tc>
          <w:tcPr>
            <w:tcW w:type="dxa" w:w="3389"/>
            <w:vAlign w:val="top"/>
            <w:tcMar>
              <w:top w:w="70" w:type="dxa"/>
              <w:start w:w="90" w:type="dxa"/>
              <w:bottom w:w="70" w:type="dxa"/>
              <w:end w:w="90" w:type="dxa"/>
            </w:tcMar>
          </w:tcPr>
          <w:p>
            <w:pPr>
              <w:spacing w:after="20" w:line="240" w:lineRule="auto"/>
            </w:pPr>
            <w:r>
              <w:t>Organization</w:t>
            </w:r>
          </w:p>
        </w:tc>
        <w:tc>
          <w:tcPr>
            <w:tcW w:type="dxa" w:w="3389"/>
            <w:vAlign w:val="top"/>
            <w:tcMar>
              <w:top w:w="70" w:type="dxa"/>
              <w:start w:w="90" w:type="dxa"/>
              <w:bottom w:w="70" w:type="dxa"/>
              <w:end w:w="90" w:type="dxa"/>
            </w:tcMar>
          </w:tcPr>
          <w:p>
            <w:pPr>
              <w:spacing w:after="20" w:line="240" w:lineRule="auto"/>
            </w:pPr>
            <w:r>
              <w:t>Placeholder: Company, university, or platform</w:t>
            </w:r>
          </w:p>
        </w:tc>
        <w:tc>
          <w:tcPr>
            <w:tcW w:type="dxa" w:w="3389"/>
            <w:vAlign w:val="top"/>
            <w:tcMar>
              <w:top w:w="70" w:type="dxa"/>
              <w:start w:w="90" w:type="dxa"/>
              <w:bottom w:w="70" w:type="dxa"/>
              <w:end w:w="90" w:type="dxa"/>
            </w:tcMar>
          </w:tcPr>
          <w:p>
            <w:pPr>
              <w:spacing w:after="20" w:line="240" w:lineRule="auto"/>
            </w:pPr>
            <w:r>
              <w:t>Optional in the visible UX. Do not add a required asterisk without approval.</w:t>
            </w:r>
          </w:p>
        </w:tc>
      </w:tr>
      <w:tr>
        <w:tc>
          <w:tcPr>
            <w:tcW w:type="dxa" w:w="3389"/>
            <w:vAlign w:val="top"/>
            <w:tcMar>
              <w:top w:w="70" w:type="dxa"/>
              <w:start w:w="90" w:type="dxa"/>
              <w:bottom w:w="70" w:type="dxa"/>
              <w:end w:w="90" w:type="dxa"/>
            </w:tcMar>
          </w:tcPr>
          <w:p>
            <w:pPr>
              <w:spacing w:after="20" w:line="240" w:lineRule="auto"/>
            </w:pPr>
            <w:r>
              <w:t>Phone</w:t>
            </w:r>
          </w:p>
        </w:tc>
        <w:tc>
          <w:tcPr>
            <w:tcW w:type="dxa" w:w="3389"/>
            <w:vAlign w:val="top"/>
            <w:tcMar>
              <w:top w:w="70" w:type="dxa"/>
              <w:start w:w="90" w:type="dxa"/>
              <w:bottom w:w="70" w:type="dxa"/>
              <w:end w:w="90" w:type="dxa"/>
            </w:tcMar>
          </w:tcPr>
          <w:p>
            <w:pPr>
              <w:spacing w:after="20" w:line="240" w:lineRule="auto"/>
            </w:pPr>
            <w:r>
              <w:t>Placeholder: +1 555 000 0000</w:t>
            </w:r>
          </w:p>
        </w:tc>
        <w:tc>
          <w:tcPr>
            <w:tcW w:type="dxa" w:w="3389"/>
            <w:vAlign w:val="top"/>
            <w:tcMar>
              <w:top w:w="70" w:type="dxa"/>
              <w:start w:w="90" w:type="dxa"/>
              <w:bottom w:w="70" w:type="dxa"/>
              <w:end w:w="90" w:type="dxa"/>
            </w:tcMar>
          </w:tcPr>
          <w:p>
            <w:pPr>
              <w:spacing w:after="20" w:line="240" w:lineRule="auto"/>
            </w:pPr>
            <w:r>
              <w:t>Visible label “Optional”.</w:t>
            </w:r>
          </w:p>
        </w:tc>
      </w:tr>
      <w:tr>
        <w:tc>
          <w:tcPr>
            <w:tcW w:type="dxa" w:w="3389"/>
            <w:vAlign w:val="top"/>
            <w:tcMar>
              <w:top w:w="70" w:type="dxa"/>
              <w:start w:w="90" w:type="dxa"/>
              <w:bottom w:w="70" w:type="dxa"/>
              <w:end w:w="90" w:type="dxa"/>
            </w:tcMar>
          </w:tcPr>
          <w:p>
            <w:pPr>
              <w:spacing w:after="20" w:line="240" w:lineRule="auto"/>
            </w:pPr>
            <w:r>
              <w:t>Estimated monthly volume</w:t>
            </w:r>
          </w:p>
        </w:tc>
        <w:tc>
          <w:tcPr>
            <w:tcW w:type="dxa" w:w="3389"/>
            <w:vAlign w:val="top"/>
            <w:tcMar>
              <w:top w:w="70" w:type="dxa"/>
              <w:start w:w="90" w:type="dxa"/>
              <w:bottom w:w="70" w:type="dxa"/>
              <w:end w:w="90" w:type="dxa"/>
            </w:tcMar>
          </w:tcPr>
          <w:p>
            <w:pPr>
              <w:spacing w:after="20" w:line="240" w:lineRule="auto"/>
            </w:pPr>
            <w:r>
              <w:t>Placeholder: e.g. 1,000,000 words</w:t>
            </w:r>
          </w:p>
        </w:tc>
        <w:tc>
          <w:tcPr>
            <w:tcW w:type="dxa" w:w="3389"/>
            <w:vAlign w:val="top"/>
            <w:tcMar>
              <w:top w:w="70" w:type="dxa"/>
              <w:start w:w="90" w:type="dxa"/>
              <w:bottom w:w="70" w:type="dxa"/>
              <w:end w:w="90" w:type="dxa"/>
            </w:tcMar>
          </w:tcPr>
          <w:p>
            <w:pPr>
              <w:spacing w:after="20" w:line="240" w:lineRule="auto"/>
            </w:pPr>
            <w:r>
              <w:t>Helper: An approximate figure is enough.</w:t>
            </w:r>
          </w:p>
        </w:tc>
      </w:tr>
      <w:tr>
        <w:tc>
          <w:tcPr>
            <w:tcW w:type="dxa" w:w="3389"/>
            <w:vAlign w:val="top"/>
            <w:tcMar>
              <w:top w:w="70" w:type="dxa"/>
              <w:start w:w="90" w:type="dxa"/>
              <w:bottom w:w="70" w:type="dxa"/>
              <w:end w:w="90" w:type="dxa"/>
            </w:tcMar>
          </w:tcPr>
          <w:p>
            <w:pPr>
              <w:spacing w:after="20" w:line="240" w:lineRule="auto"/>
            </w:pPr>
            <w:r>
              <w:t>What are you integrating? *</w:t>
            </w:r>
          </w:p>
        </w:tc>
        <w:tc>
          <w:tcPr>
            <w:tcW w:type="dxa" w:w="3389"/>
            <w:vAlign w:val="top"/>
            <w:tcMar>
              <w:top w:w="70" w:type="dxa"/>
              <w:start w:w="90" w:type="dxa"/>
              <w:bottom w:w="70" w:type="dxa"/>
              <w:end w:w="90" w:type="dxa"/>
            </w:tcMar>
          </w:tcPr>
          <w:p>
            <w:pPr>
              <w:spacing w:after="20" w:line="240" w:lineRule="auto"/>
            </w:pPr>
            <w:r>
              <w:t>Placeholder: Describe your product, platform, or workflow and any requirements that matter to the integration.</w:t>
            </w:r>
          </w:p>
        </w:tc>
        <w:tc>
          <w:tcPr>
            <w:tcW w:type="dxa" w:w="3389"/>
            <w:vAlign w:val="top"/>
            <w:tcMar>
              <w:top w:w="70" w:type="dxa"/>
              <w:start w:w="90" w:type="dxa"/>
              <w:bottom w:w="70" w:type="dxa"/>
              <w:end w:w="90" w:type="dxa"/>
            </w:tcMar>
          </w:tcPr>
          <w:p>
            <w:pPr>
              <w:spacing w:after="20" w:line="240" w:lineRule="auto"/>
            </w:pPr>
            <w:r>
              <w:t>Required textarea</w:t>
            </w:r>
          </w:p>
        </w:tc>
      </w:tr>
    </w:tbl>
    <w:p>
      <w:pPr>
        <w:spacing w:after="20"/>
      </w:pPr>
    </w:p>
    <w:p>
      <w:pPr/>
      <w:r>
        <w:t>Consent: reuse the current shared inquiry/contact-form legal behavior. If the shared form requires a visible consent checkbox, use exactly: “I agree to the Terms of Use and Privacy Policy.” Terms of Use → /terms-of-use; Privacy Policy → /policy. Do not remove a required legal control and do not invent additional consent claims.</w:t>
      </w:r>
    </w:p>
    <w:p>
      <w:pPr>
        <w:pStyle w:val="Kicker"/>
      </w:pPr>
      <w:r>
        <w:t>PRIMARY FORM CTA</w:t>
      </w:r>
    </w:p>
    <w:p>
      <w:pPr>
        <w:pStyle w:val="FixedCopy"/>
      </w:pPr>
      <w:r>
        <w:t>Request API access</w:t>
      </w:r>
    </w:p>
    <w:p>
      <w:pPr>
        <w:pStyle w:val="Heading3"/>
      </w:pPr>
      <w:r>
        <w:t>Success state</w:t>
      </w:r>
    </w:p>
    <w:p>
      <w:pPr>
        <w:pStyle w:val="Kicker"/>
      </w:pPr>
      <w:r>
        <w:t>HEADING</w:t>
      </w:r>
    </w:p>
    <w:p>
      <w:pPr>
        <w:pStyle w:val="FixedCopy"/>
      </w:pPr>
      <w:r>
        <w:t>Your API request has been sent</w:t>
      </w:r>
    </w:p>
    <w:p>
      <w:pPr>
        <w:pStyle w:val="Kicker"/>
      </w:pPr>
      <w:r>
        <w:t>SUPPORTING COPY</w:t>
      </w:r>
    </w:p>
    <w:p>
      <w:pPr>
        <w:pStyle w:val="FixedCopy"/>
      </w:pPr>
      <w:r>
        <w:t>Thank you. We’ve received your integration details.</w:t>
      </w:r>
    </w:p>
    <w:p>
      <w:pPr>
        <w:pStyle w:val="Heading3"/>
      </w:pPr>
      <w:r>
        <w:t>Alternative contact</w:t>
      </w:r>
    </w:p>
    <w:p>
      <w:pPr>
        <w:pStyle w:val="FixedCopy"/>
      </w:pPr>
      <w:r>
        <w:t>Prefer email? Contact us at services@plagiarismsearch.com.</w:t>
      </w:r>
    </w:p>
    <w:p>
      <w:pPr>
        <w:pStyle w:val="Small"/>
      </w:pPr>
      <w:r>
        <w:t>Destination: mailto:services@plagiarismsearch.com</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EF4FC"/>
          </w:tcPr>
          <w:p>
            <w:pPr>
              <w:spacing w:after="40"/>
            </w:pPr>
            <w:r>
              <w:rPr>
                <w:rFonts w:ascii="Liberation Sans" w:hAnsi="Liberation Sans"/>
                <w:b/>
                <w:color w:val="182B4D"/>
                <w:sz w:val="19"/>
              </w:rPr>
              <w:t>FORM VALIDATION</w:t>
            </w:r>
          </w:p>
          <w:p>
            <w:pPr>
              <w:spacing w:after="0"/>
            </w:pPr>
            <w:r>
              <w:t>Reuse the existing shared form component’s standard validation/error mechanics. Do not invent page-specific sales claims or response-time promises in validation/success states. “We’ll call you back in a few minutes” is forbidden.</w:t>
            </w:r>
          </w:p>
        </w:tc>
      </w:tr>
    </w:tbl>
    <w:p>
      <w:pPr>
        <w:pStyle w:val="Kicker"/>
      </w:pPr>
      <w:r>
        <w:t>PER-BLOCK ACCEPTANCE</w:t>
      </w:r>
    </w:p>
    <w:p>
      <w:pPr>
        <w:pStyle w:val="ListBullet"/>
        <w:spacing w:after="40"/>
      </w:pPr>
      <w:r>
        <w:t>No Facebook or LinkedIn field appears.</w:t>
      </w:r>
    </w:p>
    <w:p>
      <w:pPr>
        <w:pStyle w:val="ListBullet"/>
        <w:spacing w:after="40"/>
      </w:pPr>
      <w:r>
        <w:t>Organization and Phone are not visually marked required; Phone is explicitly Optional.</w:t>
      </w:r>
    </w:p>
    <w:p>
      <w:pPr>
        <w:pStyle w:val="ListBullet"/>
        <w:spacing w:after="40"/>
      </w:pPr>
      <w:r>
        <w:t>The form asks for estimated monthly words rather than deriving words from a hidden 300-words-per-page assumption.</w:t>
      </w:r>
    </w:p>
    <w:p>
      <w:pPr>
        <w:pStyle w:val="ListBullet"/>
        <w:spacing w:after="40"/>
      </w:pPr>
      <w:r>
        <w:t>Success state contains no response-time promise.</w:t>
      </w:r>
    </w:p>
    <w:p>
      <w:pPr>
        <w:pStyle w:val="Heading1"/>
      </w:pPr>
      <w:r>
        <w:t>SECTION 10 — PLAGIARISM API FAQ</w:t>
      </w:r>
    </w:p>
    <w:p>
      <w:pPr>
        <w:pStyle w:val="Kicker"/>
      </w:pPr>
      <w:r>
        <w:t>ANCHOR</w:t>
      </w:r>
    </w:p>
    <w:p>
      <w:pPr/>
      <w:r>
        <w:t>#api-faq</w:t>
      </w:r>
    </w:p>
    <w:p>
      <w:pPr>
        <w:pStyle w:val="Kicker"/>
      </w:pPr>
      <w:r>
        <w:t>H2</w:t>
      </w:r>
    </w:p>
    <w:p>
      <w:pPr>
        <w:pStyle w:val="FixedCopy"/>
      </w:pPr>
      <w:r>
        <w:t>Plagiarism API FAQ</w:t>
      </w:r>
    </w:p>
    <w:p>
      <w:pPr>
        <w:pStyle w:val="Heading3"/>
      </w:pPr>
      <w:r>
        <w:t>1. What can I submit through the PlagiarismSearch API?</w:t>
      </w:r>
    </w:p>
    <w:p>
      <w:pPr>
        <w:pStyle w:val="FixedCopy"/>
      </w:pPr>
      <w:r>
        <w:t>You can submit text, upload a supported document, or provide a public URL for plagiarism checking. Text and URL requests can use JSON. File uploads use multipart form data. Use the current API documentation for the complete request schema and current file requirements.</w:t>
      </w:r>
    </w:p>
    <w:p>
      <w:pPr>
        <w:pStyle w:val="Small"/>
      </w:pPr>
      <w:r>
        <w:t>Inline link: API documentation → /docs/</w:t>
      </w:r>
    </w:p>
    <w:p>
      <w:pPr>
        <w:pStyle w:val="Heading3"/>
      </w:pPr>
      <w:r>
        <w:t>2. Is the plagiarism check synchronous or asynchronous?</w:t>
      </w:r>
    </w:p>
    <w:p>
      <w:pPr>
        <w:pStyle w:val="FixedCopy"/>
      </w:pPr>
      <w:r>
        <w:t>The current API uses asynchronous processing. When you create a report, the API returns a 202 response with the report ID while the check continues. When processing is complete, PlagiarismSearch sends a completion event to the callback_url supplied with the request.</w:t>
      </w:r>
    </w:p>
    <w:p>
      <w:pPr>
        <w:pStyle w:val="Heading3"/>
      </w:pPr>
      <w:r>
        <w:t>3. How does the completion webhook work?</w:t>
      </w:r>
    </w:p>
    <w:p>
      <w:pPr>
        <w:pStyle w:val="FixedCopy"/>
      </w:pPr>
      <w:r>
        <w:t>Include a callback_url when you create the report. After the check is complete, PlagiarismSearch sends a report.checked event to that URL. The webhook identifies the report, provides completion information, and includes a link to the report resource.</w:t>
      </w:r>
    </w:p>
    <w:p>
      <w:pPr>
        <w:pStyle w:val="Heading3"/>
      </w:pPr>
      <w:r>
        <w:t>4. What sources can the API search?</w:t>
      </w:r>
    </w:p>
    <w:p>
      <w:pPr>
        <w:pStyle w:val="FixedCopy"/>
      </w:pPr>
      <w:r>
        <w:t>A plagiarism check can use web search, the PlagiarismSearch academic database, and permitted personal or organization storage. The academic database contains more than 500 million indexed academic texts. The sources used for a particular check depend on the scan configuration and the access available to the API account.</w:t>
      </w:r>
    </w:p>
    <w:p>
      <w:pPr>
        <w:pStyle w:val="Heading3"/>
      </w:pPr>
      <w:r>
        <w:t>5. Can I exclude references, citations, or specific URLs?</w:t>
      </w:r>
    </w:p>
    <w:p>
      <w:pPr>
        <w:pStyle w:val="FixedCopy"/>
      </w:pPr>
      <w:r>
        <w:t>The API includes options for controlling parts of the plagiarism scan, including reference and quoted or cited-text exclusions, URL controls, and storage filtering. Use the current API reference for the exact parameters supported by API 3.1.0.</w:t>
      </w:r>
    </w:p>
    <w:p>
      <w:pPr>
        <w:pStyle w:val="Small"/>
      </w:pPr>
      <w:r>
        <w:t>Inline link: API documentation → /docs/</w:t>
      </w:r>
    </w:p>
    <w:p>
      <w:pPr>
        <w:pStyle w:val="Heading3"/>
      </w:pPr>
      <w:r>
        <w:t>6. Can I run AI detection through the same API?</w:t>
      </w:r>
    </w:p>
    <w:p>
      <w:pPr>
        <w:pStyle w:val="FixedCopy"/>
      </w:pPr>
      <w:r>
        <w:t>Yes. AI analysis is available through the same PlagiarismSearch API infrastructure rather than as a separate standalone API product. The account must have an available AI word balance for AI checking.</w:t>
      </w:r>
    </w:p>
    <w:p>
      <w:pPr>
        <w:pStyle w:val="Heading3"/>
      </w:pPr>
      <w:r>
        <w:t>7. Which authentication methods does the API support?</w:t>
      </w:r>
    </w:p>
    <w:p>
      <w:pPr>
        <w:pStyle w:val="FixedCopy"/>
      </w:pPr>
      <w:r>
        <w:t>PlagiarismSearch API 3.1.0 supports Basic and Bearer authentication. Use the current API documentation for the exact authentication format required by your implementation.</w:t>
      </w:r>
    </w:p>
    <w:p>
      <w:pPr>
        <w:pStyle w:val="Small"/>
      </w:pPr>
      <w:r>
        <w:t>Inline link: API documentation → /docs/</w:t>
      </w:r>
    </w:p>
    <w:p>
      <w:pPr>
        <w:pStyle w:val="Heading3"/>
      </w:pPr>
      <w:r>
        <w:t>8. How can I get API access or a trial?</w:t>
      </w:r>
    </w:p>
    <w:p>
      <w:pPr>
        <w:pStyle w:val="FixedCopy"/>
      </w:pPr>
      <w:r>
        <w:t>API access may be included with selected plans or arranged separately depending on the implementation. Trial access may be available through supported trial flows or by contacting PlagiarismSearch. If you need custom access or pricing, send your requirements through the API request form on this page.</w:t>
      </w:r>
    </w:p>
    <w:p>
      <w:pPr>
        <w:pStyle w:val="Small"/>
      </w:pPr>
      <w:r>
        <w:t>CTA: Request API access → #api-quote</w:t>
      </w:r>
    </w:p>
    <w:p>
      <w:pPr>
        <w:pStyle w:val="Heading3"/>
      </w:pPr>
      <w:r>
        <w:t>9. Does the API support plagiarism checking in multiple languages?</w:t>
      </w:r>
    </w:p>
    <w:p>
      <w:pPr>
        <w:pStyle w:val="FixedCopy"/>
      </w:pPr>
      <w:r>
        <w:t>Yes. The API supports multilingual plagiarism checking. Detection performance is strongest in English.</w:t>
      </w:r>
    </w:p>
    <w:p>
      <w:pPr>
        <w:pStyle w:val="Heading3"/>
      </w:pPr>
      <w:r>
        <w:t>FAQ footer — current implementation</w:t>
      </w:r>
    </w:p>
    <w:p>
      <w:pPr>
        <w:pStyle w:val="FixedCopy"/>
      </w:pPr>
      <w:r>
        <w:t>Need implementation details?</w:t>
      </w:r>
    </w:p>
    <w:p>
      <w:pPr>
        <w:pStyle w:val="Kicker"/>
      </w:pPr>
      <w:r>
        <w:t>CTA</w:t>
      </w:r>
    </w:p>
    <w:p>
      <w:pPr>
        <w:pStyle w:val="FixedCopy"/>
      </w:pPr>
      <w:r>
        <w:t>View API documentation</w:t>
      </w:r>
    </w:p>
    <w:p>
      <w:pPr>
        <w:pStyle w:val="Small"/>
      </w:pPr>
      <w:r>
        <w:t>Destination: /docs/</w:t>
      </w:r>
    </w:p>
    <w:tbl>
      <w:tblPr>
        <w:tblW w:type="auto" w:w="0"/>
        <w:jc w:val="center"/>
        <w:tblLook w:firstColumn="1" w:firstRow="1" w:lastColumn="0" w:lastRow="0" w:noHBand="0" w:noVBand="1" w:val="04A0"/>
      </w:tblPr>
      <w:tblGrid>
        <w:gridCol w:w="10166"/>
      </w:tblGrid>
      <w:tr>
        <w:tc>
          <w:tcPr>
            <w:tcW w:type="dxa" w:w="10166"/>
            <w:tcMar>
              <w:top w:w="100" w:type="dxa"/>
              <w:start w:w="130" w:type="dxa"/>
              <w:bottom w:w="100" w:type="dxa"/>
              <w:end w:w="130" w:type="dxa"/>
            </w:tcMar>
            <w:shd w:fill="EEF4FC"/>
          </w:tcPr>
          <w:p>
            <w:pPr>
              <w:spacing w:after="40"/>
            </w:pPr>
            <w:r>
              <w:rPr>
                <w:rFonts w:ascii="Liberation Sans" w:hAnsi="Liberation Sans"/>
                <w:b/>
                <w:color w:val="182B4D"/>
                <w:sz w:val="19"/>
              </w:rPr>
              <w:t>AFTER Q&amp;A SYNCHRONIZATION</w:t>
            </w:r>
          </w:p>
          <w:p>
            <w:pPr>
              <w:spacing w:after="0"/>
            </w:pPr>
            <w:r>
              <w:t>Only after the supporting API Q&amp;A page is synchronized and approved, add a secondary FAQ-footer CTA: “Browse API FAQ &amp; troubleshooting” → /plagiarismsearch-api-questions-and-answers. Do not add it now.</w:t>
            </w:r>
          </w:p>
        </w:tc>
      </w:tr>
    </w:tbl>
    <w:p>
      <w:pPr>
        <w:pStyle w:val="Kicker"/>
      </w:pPr>
      <w:r>
        <w:t>PER-BLOCK ACCEPTANCE</w:t>
      </w:r>
    </w:p>
    <w:p>
      <w:pPr>
        <w:pStyle w:val="ListBullet"/>
        <w:spacing w:after="40"/>
      </w:pPr>
      <w:r>
        <w:t>Exactly nine FAQ questions/answers are rendered in the initial implementation.</w:t>
      </w:r>
    </w:p>
    <w:p>
      <w:pPr>
        <w:pStyle w:val="ListBullet"/>
        <w:spacing w:after="40"/>
      </w:pPr>
      <w:r>
        <w:t>FAQ answers exist in rendered HTML and match the approved copy.</w:t>
      </w:r>
    </w:p>
    <w:p>
      <w:pPr>
        <w:pStyle w:val="ListBullet"/>
        <w:spacing w:after="40"/>
      </w:pPr>
      <w:r>
        <w:t>No prominent legacy-Q&amp;A link appears until the synchronization gate is cleared.</w:t>
      </w:r>
    </w:p>
    <w:p>
      <w:pPr>
        <w:pStyle w:val="Heading1"/>
      </w:pPr>
      <w:r>
        <w:t>SECTION 11 — FINAL CTA</w:t>
      </w:r>
    </w:p>
    <w:p>
      <w:pPr>
        <w:pStyle w:val="Kicker"/>
      </w:pPr>
      <w:r>
        <w:t>H2</w:t>
      </w:r>
    </w:p>
    <w:p>
      <w:pPr>
        <w:pStyle w:val="FixedCopy"/>
      </w:pPr>
      <w:r>
        <w:t>Ready to evaluate the PlagiarismSearch API?</w:t>
      </w:r>
    </w:p>
    <w:p>
      <w:pPr>
        <w:pStyle w:val="Kicker"/>
      </w:pPr>
      <w:r>
        <w:t>SUPPORTING COPY</w:t>
      </w:r>
    </w:p>
    <w:p>
      <w:pPr>
        <w:pStyle w:val="FixedCopy"/>
      </w:pPr>
      <w:r>
        <w:t>Review the API documentation to inspect the current technical contract, or send us your requirements if you need API access, trial options, or custom pricing.</w:t>
      </w:r>
    </w:p>
    <w:p>
      <w:pPr>
        <w:pStyle w:val="Kicker"/>
      </w:pPr>
      <w:r>
        <w:t>PRIMARY CTA</w:t>
      </w:r>
    </w:p>
    <w:p>
      <w:pPr>
        <w:pStyle w:val="FixedCopy"/>
      </w:pPr>
      <w:r>
        <w:t>View API documentation</w:t>
      </w:r>
    </w:p>
    <w:p>
      <w:pPr>
        <w:pStyle w:val="Small"/>
      </w:pPr>
      <w:r>
        <w:t>Destination: /docs/</w:t>
      </w:r>
    </w:p>
    <w:p>
      <w:pPr>
        <w:pStyle w:val="Kicker"/>
      </w:pPr>
      <w:r>
        <w:t>SECONDARY CTA</w:t>
      </w:r>
    </w:p>
    <w:p>
      <w:pPr>
        <w:pStyle w:val="FixedCopy"/>
      </w:pPr>
      <w:r>
        <w:t>Request API access</w:t>
      </w:r>
    </w:p>
    <w:p>
      <w:pPr>
        <w:pStyle w:val="Small"/>
      </w:pPr>
      <w:r>
        <w:t>Destination: #api-quote</w:t>
      </w:r>
    </w:p>
    <w:p>
      <w:pPr>
        <w:pStyle w:val="Kicker"/>
      </w:pPr>
      <w:r>
        <w:t>PER-BLOCK ACCEPTANCE</w:t>
      </w:r>
    </w:p>
    <w:p>
      <w:pPr>
        <w:pStyle w:val="ListBullet"/>
        <w:spacing w:after="40"/>
      </w:pPr>
      <w:r>
        <w:t>Primary action returns the technical evaluator to /docs/.</w:t>
      </w:r>
    </w:p>
    <w:p>
      <w:pPr>
        <w:pStyle w:val="ListBullet"/>
        <w:spacing w:after="40"/>
      </w:pPr>
      <w:r>
        <w:t>Secondary action goes to the quote/access form; no new final CTA or fake free-trial action is added.</w:t>
      </w:r>
    </w:p>
    <w:p>
      <w:pPr>
        <w:pStyle w:val="Heading1"/>
      </w:pPr>
      <w:r>
        <w:t>APPROVED BODY LINK POLICY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DE8F5"/>
            <w:vAlign w:val="center"/>
          </w:tcPr>
          <w:p>
            <w:r>
              <w:rPr>
                <w:b/>
                <w:sz w:val="17"/>
              </w:rPr>
              <w:t>Anchor / label</w:t>
            </w:r>
          </w:p>
        </w:tc>
        <w:tc>
          <w:tcPr>
            <w:tcW w:type="dxa" w:w="3389"/>
            <w:shd w:fill="DDE8F5"/>
            <w:vAlign w:val="center"/>
          </w:tcPr>
          <w:p>
            <w:r>
              <w:rPr>
                <w:b/>
                <w:sz w:val="17"/>
              </w:rPr>
              <w:t>Destination</w:t>
            </w:r>
          </w:p>
        </w:tc>
        <w:tc>
          <w:tcPr>
            <w:tcW w:type="dxa" w:w="3389"/>
            <w:shd w:fill="DDE8F5"/>
            <w:vAlign w:val="center"/>
          </w:tcPr>
          <w:p>
            <w:r>
              <w:rPr>
                <w:b/>
                <w:sz w:val="17"/>
              </w:rPr>
              <w:t>Rule</w:t>
            </w:r>
          </w:p>
        </w:tc>
      </w:tr>
      <w:tr>
        <w:tc>
          <w:tcPr>
            <w:tcW w:type="dxa" w:w="3389"/>
            <w:vAlign w:val="top"/>
            <w:tcMar>
              <w:top w:w="70" w:type="dxa"/>
              <w:start w:w="90" w:type="dxa"/>
              <w:bottom w:w="70" w:type="dxa"/>
              <w:end w:w="90" w:type="dxa"/>
            </w:tcMar>
          </w:tcPr>
          <w:p>
            <w:pPr>
              <w:spacing w:after="20" w:line="240" w:lineRule="auto"/>
            </w:pPr>
            <w:r>
              <w:t>View API documentation / API documentation / Open API documentation / View the full API reference / See the complete response schema</w:t>
            </w:r>
          </w:p>
        </w:tc>
        <w:tc>
          <w:tcPr>
            <w:tcW w:type="dxa" w:w="3389"/>
            <w:vAlign w:val="top"/>
            <w:tcMar>
              <w:top w:w="70" w:type="dxa"/>
              <w:start w:w="90" w:type="dxa"/>
              <w:bottom w:w="70" w:type="dxa"/>
              <w:end w:w="90" w:type="dxa"/>
            </w:tcMar>
          </w:tcPr>
          <w:p>
            <w:pPr>
              <w:spacing w:after="20" w:line="240" w:lineRule="auto"/>
            </w:pPr>
            <w:r>
              <w:t>/docs/</w:t>
            </w:r>
          </w:p>
        </w:tc>
        <w:tc>
          <w:tcPr>
            <w:tcW w:type="dxa" w:w="3389"/>
            <w:vAlign w:val="top"/>
            <w:tcMar>
              <w:top w:w="70" w:type="dxa"/>
              <w:start w:w="90" w:type="dxa"/>
              <w:bottom w:w="70" w:type="dxa"/>
              <w:end w:w="90" w:type="dxa"/>
            </w:tcMar>
          </w:tcPr>
          <w:p>
            <w:pPr>
              <w:spacing w:after="20" w:line="240" w:lineRule="auto"/>
            </w:pPr>
            <w:r>
              <w:t>Approved technical destination; may repeat where specified.</w:t>
            </w:r>
          </w:p>
        </w:tc>
      </w:tr>
      <w:tr>
        <w:tc>
          <w:tcPr>
            <w:tcW w:type="dxa" w:w="3389"/>
            <w:vAlign w:val="top"/>
            <w:tcMar>
              <w:top w:w="70" w:type="dxa"/>
              <w:start w:w="90" w:type="dxa"/>
              <w:bottom w:w="70" w:type="dxa"/>
              <w:end w:w="90" w:type="dxa"/>
            </w:tcMar>
          </w:tcPr>
          <w:p>
            <w:pPr>
              <w:spacing w:after="20" w:line="240" w:lineRule="auto"/>
            </w:pPr>
            <w:r>
              <w:t>View pricing</w:t>
            </w:r>
          </w:p>
        </w:tc>
        <w:tc>
          <w:tcPr>
            <w:tcW w:type="dxa" w:w="3389"/>
            <w:vAlign w:val="top"/>
            <w:tcMar>
              <w:top w:w="70" w:type="dxa"/>
              <w:start w:w="90" w:type="dxa"/>
              <w:bottom w:w="70" w:type="dxa"/>
              <w:end w:w="90" w:type="dxa"/>
            </w:tcMar>
          </w:tcPr>
          <w:p>
            <w:pPr>
              <w:spacing w:after="20" w:line="240" w:lineRule="auto"/>
            </w:pPr>
            <w:r>
              <w:t>/prices</w:t>
            </w:r>
          </w:p>
        </w:tc>
        <w:tc>
          <w:tcPr>
            <w:tcW w:type="dxa" w:w="3389"/>
            <w:vAlign w:val="top"/>
            <w:tcMar>
              <w:top w:w="70" w:type="dxa"/>
              <w:start w:w="90" w:type="dxa"/>
              <w:bottom w:w="70" w:type="dxa"/>
              <w:end w:w="90" w:type="dxa"/>
            </w:tcMar>
          </w:tcPr>
          <w:p>
            <w:pPr>
              <w:spacing w:after="20" w:line="240" w:lineRule="auto"/>
            </w:pPr>
            <w:r>
              <w:t>Approved commercial pricing destination.</w:t>
            </w:r>
          </w:p>
        </w:tc>
      </w:tr>
      <w:tr>
        <w:tc>
          <w:tcPr>
            <w:tcW w:type="dxa" w:w="3389"/>
            <w:vAlign w:val="top"/>
            <w:tcMar>
              <w:top w:w="70" w:type="dxa"/>
              <w:start w:w="90" w:type="dxa"/>
              <w:bottom w:w="70" w:type="dxa"/>
              <w:end w:w="90" w:type="dxa"/>
            </w:tcMar>
          </w:tcPr>
          <w:p>
            <w:pPr>
              <w:spacing w:after="20" w:line="240" w:lineRule="auto"/>
            </w:pPr>
            <w:r>
              <w:t>Request API access</w:t>
            </w:r>
          </w:p>
        </w:tc>
        <w:tc>
          <w:tcPr>
            <w:tcW w:type="dxa" w:w="3389"/>
            <w:vAlign w:val="top"/>
            <w:tcMar>
              <w:top w:w="70" w:type="dxa"/>
              <w:start w:w="90" w:type="dxa"/>
              <w:bottom w:w="70" w:type="dxa"/>
              <w:end w:w="90" w:type="dxa"/>
            </w:tcMar>
          </w:tcPr>
          <w:p>
            <w:pPr>
              <w:spacing w:after="20" w:line="240" w:lineRule="auto"/>
            </w:pPr>
            <w:r>
              <w:t>#api-access or #api-quote exactly where specified</w:t>
            </w:r>
          </w:p>
        </w:tc>
        <w:tc>
          <w:tcPr>
            <w:tcW w:type="dxa" w:w="3389"/>
            <w:vAlign w:val="top"/>
            <w:tcMar>
              <w:top w:w="70" w:type="dxa"/>
              <w:start w:w="90" w:type="dxa"/>
              <w:bottom w:w="70" w:type="dxa"/>
              <w:end w:w="90" w:type="dxa"/>
            </w:tcMar>
          </w:tcPr>
          <w:p>
            <w:pPr>
              <w:spacing w:after="20" w:line="240" w:lineRule="auto"/>
            </w:pPr>
            <w:r>
              <w:t>Approved in-page conversion path.</w:t>
            </w:r>
          </w:p>
        </w:tc>
      </w:tr>
      <w:tr>
        <w:tc>
          <w:tcPr>
            <w:tcW w:type="dxa" w:w="3389"/>
            <w:vAlign w:val="top"/>
            <w:tcMar>
              <w:top w:w="70" w:type="dxa"/>
              <w:start w:w="90" w:type="dxa"/>
              <w:bottom w:w="70" w:type="dxa"/>
              <w:end w:w="90" w:type="dxa"/>
            </w:tcMar>
          </w:tcPr>
          <w:p>
            <w:pPr>
              <w:spacing w:after="20" w:line="240" w:lineRule="auto"/>
            </w:pPr>
            <w:r>
              <w:t>Terms of Use</w:t>
            </w:r>
          </w:p>
        </w:tc>
        <w:tc>
          <w:tcPr>
            <w:tcW w:type="dxa" w:w="3389"/>
            <w:vAlign w:val="top"/>
            <w:tcMar>
              <w:top w:w="70" w:type="dxa"/>
              <w:start w:w="90" w:type="dxa"/>
              <w:bottom w:w="70" w:type="dxa"/>
              <w:end w:w="90" w:type="dxa"/>
            </w:tcMar>
          </w:tcPr>
          <w:p>
            <w:pPr>
              <w:spacing w:after="20" w:line="240" w:lineRule="auto"/>
            </w:pPr>
            <w:r>
              <w:t>/terms-of-use</w:t>
            </w:r>
          </w:p>
        </w:tc>
        <w:tc>
          <w:tcPr>
            <w:tcW w:type="dxa" w:w="3389"/>
            <w:vAlign w:val="top"/>
            <w:tcMar>
              <w:top w:w="70" w:type="dxa"/>
              <w:start w:w="90" w:type="dxa"/>
              <w:bottom w:w="70" w:type="dxa"/>
              <w:end w:w="90" w:type="dxa"/>
            </w:tcMar>
          </w:tcPr>
          <w:p>
            <w:pPr>
              <w:spacing w:after="20" w:line="240" w:lineRule="auto"/>
            </w:pPr>
            <w:r>
              <w:t>Form/legal only if shared consent control is present.</w:t>
            </w:r>
          </w:p>
        </w:tc>
      </w:tr>
      <w:tr>
        <w:tc>
          <w:tcPr>
            <w:tcW w:type="dxa" w:w="3389"/>
            <w:vAlign w:val="top"/>
            <w:tcMar>
              <w:top w:w="70" w:type="dxa"/>
              <w:start w:w="90" w:type="dxa"/>
              <w:bottom w:w="70" w:type="dxa"/>
              <w:end w:w="90" w:type="dxa"/>
            </w:tcMar>
          </w:tcPr>
          <w:p>
            <w:pPr>
              <w:spacing w:after="20" w:line="240" w:lineRule="auto"/>
            </w:pPr>
            <w:r>
              <w:t>Privacy Policy</w:t>
            </w:r>
          </w:p>
        </w:tc>
        <w:tc>
          <w:tcPr>
            <w:tcW w:type="dxa" w:w="3389"/>
            <w:vAlign w:val="top"/>
            <w:tcMar>
              <w:top w:w="70" w:type="dxa"/>
              <w:start w:w="90" w:type="dxa"/>
              <w:bottom w:w="70" w:type="dxa"/>
              <w:end w:w="90" w:type="dxa"/>
            </w:tcMar>
          </w:tcPr>
          <w:p>
            <w:pPr>
              <w:spacing w:after="20" w:line="240" w:lineRule="auto"/>
            </w:pPr>
            <w:r>
              <w:t>/policy</w:t>
            </w:r>
          </w:p>
        </w:tc>
        <w:tc>
          <w:tcPr>
            <w:tcW w:type="dxa" w:w="3389"/>
            <w:vAlign w:val="top"/>
            <w:tcMar>
              <w:top w:w="70" w:type="dxa"/>
              <w:start w:w="90" w:type="dxa"/>
              <w:bottom w:w="70" w:type="dxa"/>
              <w:end w:w="90" w:type="dxa"/>
            </w:tcMar>
          </w:tcPr>
          <w:p>
            <w:pPr>
              <w:spacing w:after="20" w:line="240" w:lineRule="auto"/>
            </w:pPr>
            <w:r>
              <w:t>Form/legal only if shared consent control is present.</w:t>
            </w:r>
          </w:p>
        </w:tc>
      </w:tr>
      <w:tr>
        <w:tc>
          <w:tcPr>
            <w:tcW w:type="dxa" w:w="3389"/>
            <w:vAlign w:val="top"/>
            <w:tcMar>
              <w:top w:w="70" w:type="dxa"/>
              <w:start w:w="90" w:type="dxa"/>
              <w:bottom w:w="70" w:type="dxa"/>
              <w:end w:w="90" w:type="dxa"/>
            </w:tcMar>
          </w:tcPr>
          <w:p>
            <w:pPr>
              <w:spacing w:after="20" w:line="240" w:lineRule="auto"/>
            </w:pPr>
            <w:r>
              <w:t>services@plagiarismsearch.com</w:t>
            </w:r>
          </w:p>
        </w:tc>
        <w:tc>
          <w:tcPr>
            <w:tcW w:type="dxa" w:w="3389"/>
            <w:vAlign w:val="top"/>
            <w:tcMar>
              <w:top w:w="70" w:type="dxa"/>
              <w:start w:w="90" w:type="dxa"/>
              <w:bottom w:w="70" w:type="dxa"/>
              <w:end w:w="90" w:type="dxa"/>
            </w:tcMar>
          </w:tcPr>
          <w:p>
            <w:pPr>
              <w:spacing w:after="20" w:line="240" w:lineRule="auto"/>
            </w:pPr>
            <w:r>
              <w:t>mailto:services@plagiarismsearch.com</w:t>
            </w:r>
          </w:p>
        </w:tc>
        <w:tc>
          <w:tcPr>
            <w:tcW w:type="dxa" w:w="3389"/>
            <w:vAlign w:val="top"/>
            <w:tcMar>
              <w:top w:w="70" w:type="dxa"/>
              <w:start w:w="90" w:type="dxa"/>
              <w:bottom w:w="70" w:type="dxa"/>
              <w:end w:w="90" w:type="dxa"/>
            </w:tcMar>
          </w:tcPr>
          <w:p>
            <w:pPr>
              <w:spacing w:after="20" w:line="240" w:lineRule="auto"/>
            </w:pPr>
            <w:r>
              <w:t>Alternative contact.</w:t>
            </w:r>
          </w:p>
        </w:tc>
      </w:tr>
      <w:tr>
        <w:tc>
          <w:tcPr>
            <w:tcW w:type="dxa" w:w="3389"/>
            <w:vAlign w:val="top"/>
            <w:tcMar>
              <w:top w:w="70" w:type="dxa"/>
              <w:start w:w="90" w:type="dxa"/>
              <w:bottom w:w="70" w:type="dxa"/>
              <w:end w:w="90" w:type="dxa"/>
            </w:tcMar>
          </w:tcPr>
          <w:p>
            <w:pPr>
              <w:spacing w:after="20" w:line="240" w:lineRule="auto"/>
            </w:pPr>
            <w:r>
              <w:t>API FAQ &amp; troubleshooting</w:t>
            </w:r>
          </w:p>
        </w:tc>
        <w:tc>
          <w:tcPr>
            <w:tcW w:type="dxa" w:w="3389"/>
            <w:vAlign w:val="top"/>
            <w:tcMar>
              <w:top w:w="70" w:type="dxa"/>
              <w:start w:w="90" w:type="dxa"/>
              <w:bottom w:w="70" w:type="dxa"/>
              <w:end w:w="90" w:type="dxa"/>
            </w:tcMar>
          </w:tcPr>
          <w:p>
            <w:pPr>
              <w:spacing w:after="20" w:line="240" w:lineRule="auto"/>
            </w:pPr>
            <w:r>
              <w:t>/plagiarismsearch-api-questions-and-answers</w:t>
            </w:r>
          </w:p>
        </w:tc>
        <w:tc>
          <w:tcPr>
            <w:tcW w:type="dxa" w:w="3389"/>
            <w:vAlign w:val="top"/>
            <w:tcMar>
              <w:top w:w="70" w:type="dxa"/>
              <w:start w:w="90" w:type="dxa"/>
              <w:bottom w:w="70" w:type="dxa"/>
              <w:end w:w="90" w:type="dxa"/>
            </w:tcMar>
          </w:tcPr>
          <w:p>
            <w:pPr>
              <w:spacing w:after="20" w:line="240" w:lineRule="auto"/>
            </w:pPr>
            <w:r>
              <w:t>GATED — do not render prominently until factual synchronization is approved.</w:t>
            </w:r>
          </w:p>
        </w:tc>
      </w:tr>
    </w:tbl>
    <w:p>
      <w:pPr>
        <w:spacing w:after="20"/>
      </w:pPr>
    </w:p>
    <w:p>
      <w:pPr/>
      <w:r>
        <w:t>Do not add body links to AI Detector, Universities, Teachers, Students, Organization, Google Docs, Canvas, Blog, VIP or other SEO landing pages merely to increase internal-link count. Do not create a new /integrations URL.</w:t>
      </w:r>
    </w:p>
    <w:p>
      <w:pPr>
        <w:pStyle w:val="Heading1"/>
      </w:pPr>
      <w:r>
        <w:t>COMPONENT LIBRARY IMPLICATIONS — AFTER QA ONLY</w:t>
      </w:r>
    </w:p>
    <w:p>
      <w:pPr/>
      <w:r>
        <w:t>These are candidate reusable patterns, not pre-approved components. Do not mark them as canonical in the shared library until the implemented API page passes design/product/SEO QA.</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Candidate</w:t>
            </w:r>
          </w:p>
        </w:tc>
        <w:tc>
          <w:tcPr>
            <w:tcW w:type="dxa" w:w="5083"/>
            <w:shd w:fill="DDE8F5"/>
            <w:vAlign w:val="center"/>
          </w:tcPr>
          <w:p>
            <w:r>
              <w:rPr>
                <w:b/>
                <w:sz w:val="17"/>
              </w:rPr>
              <w:t>Post-QA decision</w:t>
            </w:r>
          </w:p>
        </w:tc>
      </w:tr>
      <w:tr>
        <w:tc>
          <w:tcPr>
            <w:tcW w:type="dxa" w:w="5083"/>
            <w:vAlign w:val="top"/>
            <w:tcMar>
              <w:top w:w="70" w:type="dxa"/>
              <w:start w:w="90" w:type="dxa"/>
              <w:bottom w:w="70" w:type="dxa"/>
              <w:end w:w="90" w:type="dxa"/>
            </w:tcMar>
          </w:tcPr>
          <w:p>
            <w:pPr>
              <w:spacing w:after="20" w:line="240" w:lineRule="auto"/>
            </w:pPr>
            <w:r>
              <w:t>Product Hero — code-right</w:t>
            </w:r>
          </w:p>
        </w:tc>
        <w:tc>
          <w:tcPr>
            <w:tcW w:type="dxa" w:w="5083"/>
            <w:vAlign w:val="top"/>
            <w:tcMar>
              <w:top w:w="70" w:type="dxa"/>
              <w:start w:w="90" w:type="dxa"/>
              <w:bottom w:w="70" w:type="dxa"/>
              <w:end w:w="90" w:type="dxa"/>
            </w:tcMar>
          </w:tcPr>
          <w:p>
            <w:pPr>
              <w:spacing w:after="20" w:line="240" w:lineRule="auto"/>
            </w:pPr>
            <w:r>
              <w:t>API page is the candidate canonical code-right variant of the Product Hero family.</w:t>
            </w:r>
          </w:p>
        </w:tc>
      </w:tr>
      <w:tr>
        <w:tc>
          <w:tcPr>
            <w:tcW w:type="dxa" w:w="5083"/>
            <w:vAlign w:val="top"/>
            <w:tcMar>
              <w:top w:w="70" w:type="dxa"/>
              <w:start w:w="90" w:type="dxa"/>
              <w:bottom w:w="70" w:type="dxa"/>
              <w:end w:w="90" w:type="dxa"/>
            </w:tcMar>
          </w:tcPr>
          <w:p>
            <w:pPr>
              <w:spacing w:after="20" w:line="240" w:lineRule="auto"/>
            </w:pPr>
            <w:r>
              <w:t>API Evidence Flow</w:t>
            </w:r>
          </w:p>
        </w:tc>
        <w:tc>
          <w:tcPr>
            <w:tcW w:type="dxa" w:w="5083"/>
            <w:vAlign w:val="top"/>
            <w:tcMar>
              <w:top w:w="70" w:type="dxa"/>
              <w:start w:w="90" w:type="dxa"/>
              <w:bottom w:w="70" w:type="dxa"/>
              <w:end w:w="90" w:type="dxa"/>
            </w:tcMar>
          </w:tcPr>
          <w:p>
            <w:pPr>
              <w:spacing w:after="20" w:line="240" w:lineRule="auto"/>
            </w:pPr>
            <w:r>
              <w:t>Request / Response / Webhook viewer with real code/content rules.</w:t>
            </w:r>
          </w:p>
        </w:tc>
      </w:tr>
      <w:tr>
        <w:tc>
          <w:tcPr>
            <w:tcW w:type="dxa" w:w="5083"/>
            <w:vAlign w:val="top"/>
            <w:tcMar>
              <w:top w:w="70" w:type="dxa"/>
              <w:start w:w="90" w:type="dxa"/>
              <w:bottom w:w="70" w:type="dxa"/>
              <w:end w:w="90" w:type="dxa"/>
            </w:tcMar>
          </w:tcPr>
          <w:p>
            <w:pPr>
              <w:spacing w:after="20" w:line="240" w:lineRule="auto"/>
            </w:pPr>
            <w:r>
              <w:t>Capability Bento</w:t>
            </w:r>
          </w:p>
        </w:tc>
        <w:tc>
          <w:tcPr>
            <w:tcW w:type="dxa" w:w="5083"/>
            <w:vAlign w:val="top"/>
            <w:tcMar>
              <w:top w:w="70" w:type="dxa"/>
              <w:start w:w="90" w:type="dxa"/>
              <w:bottom w:w="70" w:type="dxa"/>
              <w:end w:w="90" w:type="dxa"/>
            </w:tcMar>
          </w:tcPr>
          <w:p>
            <w:pPr>
              <w:spacing w:after="20" w:line="240" w:lineRule="auto"/>
            </w:pPr>
            <w:r>
              <w:t>Factual technical-capability grid; must remain content-driven, not generic “advantages”.</w:t>
            </w:r>
          </w:p>
        </w:tc>
      </w:tr>
      <w:tr>
        <w:tc>
          <w:tcPr>
            <w:tcW w:type="dxa" w:w="5083"/>
            <w:vAlign w:val="top"/>
            <w:tcMar>
              <w:top w:w="70" w:type="dxa"/>
              <w:start w:w="90" w:type="dxa"/>
              <w:bottom w:w="70" w:type="dxa"/>
              <w:end w:w="90" w:type="dxa"/>
            </w:tcMar>
          </w:tcPr>
          <w:p>
            <w:pPr>
              <w:spacing w:after="20" w:line="240" w:lineRule="auto"/>
            </w:pPr>
            <w:r>
              <w:t>Developer Resource Card</w:t>
            </w:r>
          </w:p>
        </w:tc>
        <w:tc>
          <w:tcPr>
            <w:tcW w:type="dxa" w:w="5083"/>
            <w:vAlign w:val="top"/>
            <w:tcMar>
              <w:top w:w="70" w:type="dxa"/>
              <w:start w:w="90" w:type="dxa"/>
              <w:bottom w:w="70" w:type="dxa"/>
              <w:end w:w="90" w:type="dxa"/>
            </w:tcMar>
          </w:tcPr>
          <w:p>
            <w:pPr>
              <w:spacing w:after="20" w:line="240" w:lineRule="auto"/>
            </w:pPr>
            <w:r>
              <w:t>Documentation/resource destination treatment.</w:t>
            </w:r>
          </w:p>
        </w:tc>
      </w:tr>
      <w:tr>
        <w:tc>
          <w:tcPr>
            <w:tcW w:type="dxa" w:w="5083"/>
            <w:vAlign w:val="top"/>
            <w:tcMar>
              <w:top w:w="70" w:type="dxa"/>
              <w:start w:w="90" w:type="dxa"/>
              <w:bottom w:w="70" w:type="dxa"/>
              <w:end w:w="90" w:type="dxa"/>
            </w:tcMar>
          </w:tcPr>
          <w:p>
            <w:pPr>
              <w:spacing w:after="20" w:line="240" w:lineRule="auto"/>
            </w:pPr>
            <w:r>
              <w:t>Enterprise/API Quote Form</w:t>
            </w:r>
          </w:p>
        </w:tc>
        <w:tc>
          <w:tcPr>
            <w:tcW w:type="dxa" w:w="5083"/>
            <w:vAlign w:val="top"/>
            <w:tcMar>
              <w:top w:w="70" w:type="dxa"/>
              <w:start w:w="90" w:type="dxa"/>
              <w:bottom w:w="70" w:type="dxa"/>
              <w:end w:w="90" w:type="dxa"/>
            </w:tcMar>
          </w:tcPr>
          <w:p>
            <w:pPr>
              <w:spacing w:after="20" w:line="240" w:lineRule="auto"/>
            </w:pPr>
            <w:r>
              <w:t>Potential reusable form for future Education / Business / institutional pages after QA.</w:t>
            </w:r>
          </w:p>
        </w:tc>
      </w:tr>
    </w:tbl>
    <w:p>
      <w:pPr>
        <w:spacing w:after="20"/>
      </w:pPr>
    </w:p>
    <w:p>
      <w:pPr>
        <w:pStyle w:val="Heading1"/>
      </w:pPr>
      <w:r>
        <w:t>FIXED-STRING CHECKLIST FOR IMPLEMENTATION QA</w:t>
      </w:r>
    </w:p>
    <w:p>
      <w:pPr/>
      <w:r>
        <w:t>The following strings are intentionally machine-checkable. They must appear exactly as specified in their approved locations unless a documented WAIVED deviation is approved.</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Type</w:t>
            </w:r>
          </w:p>
        </w:tc>
        <w:tc>
          <w:tcPr>
            <w:tcW w:type="dxa" w:w="5083"/>
            <w:shd w:fill="DDE8F5"/>
            <w:vAlign w:val="center"/>
          </w:tcPr>
          <w:p>
            <w:r>
              <w:rPr>
                <w:b/>
                <w:sz w:val="17"/>
              </w:rPr>
              <w:t>Exact string</w:t>
            </w:r>
          </w:p>
        </w:tc>
      </w:tr>
      <w:tr>
        <w:tc>
          <w:tcPr>
            <w:tcW w:type="dxa" w:w="5083"/>
            <w:vAlign w:val="top"/>
            <w:tcMar>
              <w:top w:w="70" w:type="dxa"/>
              <w:start w:w="90" w:type="dxa"/>
              <w:bottom w:w="70" w:type="dxa"/>
              <w:end w:w="90" w:type="dxa"/>
            </w:tcMar>
          </w:tcPr>
          <w:p>
            <w:pPr>
              <w:spacing w:after="20" w:line="240" w:lineRule="auto"/>
            </w:pPr>
            <w:r>
              <w:t>H1</w:t>
            </w:r>
          </w:p>
        </w:tc>
        <w:tc>
          <w:tcPr>
            <w:tcW w:type="dxa" w:w="5083"/>
            <w:vAlign w:val="top"/>
            <w:tcMar>
              <w:top w:w="70" w:type="dxa"/>
              <w:start w:w="90" w:type="dxa"/>
              <w:bottom w:w="70" w:type="dxa"/>
              <w:end w:w="90" w:type="dxa"/>
            </w:tcMar>
          </w:tcPr>
          <w:p>
            <w:pPr>
              <w:spacing w:after="20" w:line="240" w:lineRule="auto"/>
            </w:pPr>
            <w:r>
              <w:t>Plagiarism Checker API</w:t>
            </w:r>
          </w:p>
        </w:tc>
      </w:tr>
      <w:tr>
        <w:tc>
          <w:tcPr>
            <w:tcW w:type="dxa" w:w="5083"/>
            <w:vAlign w:val="top"/>
            <w:tcMar>
              <w:top w:w="70" w:type="dxa"/>
              <w:start w:w="90" w:type="dxa"/>
              <w:bottom w:w="70" w:type="dxa"/>
              <w:end w:w="90" w:type="dxa"/>
            </w:tcMar>
          </w:tcPr>
          <w:p>
            <w:pPr>
              <w:spacing w:after="20" w:line="240" w:lineRule="auto"/>
            </w:pPr>
            <w:r>
              <w:t>H2-2</w:t>
            </w:r>
          </w:p>
        </w:tc>
        <w:tc>
          <w:tcPr>
            <w:tcW w:type="dxa" w:w="5083"/>
            <w:vAlign w:val="top"/>
            <w:tcMar>
              <w:top w:w="70" w:type="dxa"/>
              <w:start w:w="90" w:type="dxa"/>
              <w:bottom w:w="70" w:type="dxa"/>
              <w:end w:w="90" w:type="dxa"/>
            </w:tcMar>
          </w:tcPr>
          <w:p>
            <w:pPr>
              <w:spacing w:after="20" w:line="240" w:lineRule="auto"/>
            </w:pPr>
            <w:r>
              <w:t>Send text, documents, or public URLs</w:t>
            </w:r>
          </w:p>
        </w:tc>
      </w:tr>
      <w:tr>
        <w:tc>
          <w:tcPr>
            <w:tcW w:type="dxa" w:w="5083"/>
            <w:vAlign w:val="top"/>
            <w:tcMar>
              <w:top w:w="70" w:type="dxa"/>
              <w:start w:w="90" w:type="dxa"/>
              <w:bottom w:w="70" w:type="dxa"/>
              <w:end w:w="90" w:type="dxa"/>
            </w:tcMar>
          </w:tcPr>
          <w:p>
            <w:pPr>
              <w:spacing w:after="20" w:line="240" w:lineRule="auto"/>
            </w:pPr>
            <w:r>
              <w:t>H2-3</w:t>
            </w:r>
          </w:p>
        </w:tc>
        <w:tc>
          <w:tcPr>
            <w:tcW w:type="dxa" w:w="5083"/>
            <w:vAlign w:val="top"/>
            <w:tcMar>
              <w:top w:w="70" w:type="dxa"/>
              <w:start w:w="90" w:type="dxa"/>
              <w:bottom w:w="70" w:type="dxa"/>
              <w:end w:w="90" w:type="dxa"/>
            </w:tcMar>
          </w:tcPr>
          <w:p>
            <w:pPr>
              <w:spacing w:after="20" w:line="240" w:lineRule="auto"/>
            </w:pPr>
            <w:r>
              <w:t>Configure each plagiarism check around your workflow</w:t>
            </w:r>
          </w:p>
        </w:tc>
      </w:tr>
      <w:tr>
        <w:tc>
          <w:tcPr>
            <w:tcW w:type="dxa" w:w="5083"/>
            <w:vAlign w:val="top"/>
            <w:tcMar>
              <w:top w:w="70" w:type="dxa"/>
              <w:start w:w="90" w:type="dxa"/>
              <w:bottom w:w="70" w:type="dxa"/>
              <w:end w:w="90" w:type="dxa"/>
            </w:tcMar>
          </w:tcPr>
          <w:p>
            <w:pPr>
              <w:spacing w:after="20" w:line="240" w:lineRule="auto"/>
            </w:pPr>
            <w:r>
              <w:t>H2-4</w:t>
            </w:r>
          </w:p>
        </w:tc>
        <w:tc>
          <w:tcPr>
            <w:tcW w:type="dxa" w:w="5083"/>
            <w:vAlign w:val="top"/>
            <w:tcMar>
              <w:top w:w="70" w:type="dxa"/>
              <w:start w:w="90" w:type="dxa"/>
              <w:bottom w:w="70" w:type="dxa"/>
              <w:end w:w="90" w:type="dxa"/>
            </w:tcMar>
          </w:tcPr>
          <w:p>
            <w:pPr>
              <w:spacing w:after="20" w:line="240" w:lineRule="auto"/>
            </w:pPr>
            <w:r>
              <w:t>How the PlagiarismSearch API workflow works</w:t>
            </w:r>
          </w:p>
        </w:tc>
      </w:tr>
      <w:tr>
        <w:tc>
          <w:tcPr>
            <w:tcW w:type="dxa" w:w="5083"/>
            <w:vAlign w:val="top"/>
            <w:tcMar>
              <w:top w:w="70" w:type="dxa"/>
              <w:start w:w="90" w:type="dxa"/>
              <w:bottom w:w="70" w:type="dxa"/>
              <w:end w:w="90" w:type="dxa"/>
            </w:tcMar>
          </w:tcPr>
          <w:p>
            <w:pPr>
              <w:spacing w:after="20" w:line="240" w:lineRule="auto"/>
            </w:pPr>
            <w:r>
              <w:t>H2-5</w:t>
            </w:r>
          </w:p>
        </w:tc>
        <w:tc>
          <w:tcPr>
            <w:tcW w:type="dxa" w:w="5083"/>
            <w:vAlign w:val="top"/>
            <w:tcMar>
              <w:top w:w="70" w:type="dxa"/>
              <w:start w:w="90" w:type="dxa"/>
              <w:bottom w:w="70" w:type="dxa"/>
              <w:end w:w="90" w:type="dxa"/>
            </w:tcMar>
          </w:tcPr>
          <w:p>
            <w:pPr>
              <w:spacing w:after="20" w:line="240" w:lineRule="auto"/>
            </w:pPr>
            <w:r>
              <w:t>Use report status and result data in your own product</w:t>
            </w:r>
          </w:p>
        </w:tc>
      </w:tr>
      <w:tr>
        <w:tc>
          <w:tcPr>
            <w:tcW w:type="dxa" w:w="5083"/>
            <w:vAlign w:val="top"/>
            <w:tcMar>
              <w:top w:w="70" w:type="dxa"/>
              <w:start w:w="90" w:type="dxa"/>
              <w:bottom w:w="70" w:type="dxa"/>
              <w:end w:w="90" w:type="dxa"/>
            </w:tcMar>
          </w:tcPr>
          <w:p>
            <w:pPr>
              <w:spacing w:after="20" w:line="240" w:lineRule="auto"/>
            </w:pPr>
            <w:r>
              <w:t>H2-6</w:t>
            </w:r>
          </w:p>
        </w:tc>
        <w:tc>
          <w:tcPr>
            <w:tcW w:type="dxa" w:w="5083"/>
            <w:vAlign w:val="top"/>
            <w:tcMar>
              <w:top w:w="70" w:type="dxa"/>
              <w:start w:w="90" w:type="dxa"/>
              <w:bottom w:w="70" w:type="dxa"/>
              <w:end w:w="90" w:type="dxa"/>
            </w:tcMar>
          </w:tcPr>
          <w:p>
            <w:pPr>
              <w:spacing w:after="20" w:line="240" w:lineRule="auto"/>
            </w:pPr>
            <w:r>
              <w:t>Build plagiarism checking into the workflow you already use</w:t>
            </w:r>
          </w:p>
        </w:tc>
      </w:tr>
      <w:tr>
        <w:tc>
          <w:tcPr>
            <w:tcW w:type="dxa" w:w="5083"/>
            <w:vAlign w:val="top"/>
            <w:tcMar>
              <w:top w:w="70" w:type="dxa"/>
              <w:start w:w="90" w:type="dxa"/>
              <w:bottom w:w="70" w:type="dxa"/>
              <w:end w:w="90" w:type="dxa"/>
            </w:tcMar>
          </w:tcPr>
          <w:p>
            <w:pPr>
              <w:spacing w:after="20" w:line="240" w:lineRule="auto"/>
            </w:pPr>
            <w:r>
              <w:t>H2-7</w:t>
            </w:r>
          </w:p>
        </w:tc>
        <w:tc>
          <w:tcPr>
            <w:tcW w:type="dxa" w:w="5083"/>
            <w:vAlign w:val="top"/>
            <w:tcMar>
              <w:top w:w="70" w:type="dxa"/>
              <w:start w:w="90" w:type="dxa"/>
              <w:bottom w:w="70" w:type="dxa"/>
              <w:end w:w="90" w:type="dxa"/>
            </w:tcMar>
          </w:tcPr>
          <w:p>
            <w:pPr>
              <w:spacing w:after="20" w:line="240" w:lineRule="auto"/>
            </w:pPr>
            <w:r>
              <w:t>Move from evaluation to implementation</w:t>
            </w:r>
          </w:p>
        </w:tc>
      </w:tr>
      <w:tr>
        <w:tc>
          <w:tcPr>
            <w:tcW w:type="dxa" w:w="5083"/>
            <w:vAlign w:val="top"/>
            <w:tcMar>
              <w:top w:w="70" w:type="dxa"/>
              <w:start w:w="90" w:type="dxa"/>
              <w:bottom w:w="70" w:type="dxa"/>
              <w:end w:w="90" w:type="dxa"/>
            </w:tcMar>
          </w:tcPr>
          <w:p>
            <w:pPr>
              <w:spacing w:after="20" w:line="240" w:lineRule="auto"/>
            </w:pPr>
            <w:r>
              <w:t>H2-8</w:t>
            </w:r>
          </w:p>
        </w:tc>
        <w:tc>
          <w:tcPr>
            <w:tcW w:type="dxa" w:w="5083"/>
            <w:vAlign w:val="top"/>
            <w:tcMar>
              <w:top w:w="70" w:type="dxa"/>
              <w:start w:w="90" w:type="dxa"/>
              <w:bottom w:w="70" w:type="dxa"/>
              <w:end w:w="90" w:type="dxa"/>
            </w:tcMar>
          </w:tcPr>
          <w:p>
            <w:pPr>
              <w:spacing w:after="20" w:line="240" w:lineRule="auto"/>
            </w:pPr>
            <w:r>
              <w:t>Choose the API access path that fits your implementation</w:t>
            </w:r>
          </w:p>
        </w:tc>
      </w:tr>
      <w:tr>
        <w:tc>
          <w:tcPr>
            <w:tcW w:type="dxa" w:w="5083"/>
            <w:vAlign w:val="top"/>
            <w:tcMar>
              <w:top w:w="70" w:type="dxa"/>
              <w:start w:w="90" w:type="dxa"/>
              <w:bottom w:w="70" w:type="dxa"/>
              <w:end w:w="90" w:type="dxa"/>
            </w:tcMar>
          </w:tcPr>
          <w:p>
            <w:pPr>
              <w:spacing w:after="20" w:line="240" w:lineRule="auto"/>
            </w:pPr>
            <w:r>
              <w:t>H2-9</w:t>
            </w:r>
          </w:p>
        </w:tc>
        <w:tc>
          <w:tcPr>
            <w:tcW w:type="dxa" w:w="5083"/>
            <w:vAlign w:val="top"/>
            <w:tcMar>
              <w:top w:w="70" w:type="dxa"/>
              <w:start w:w="90" w:type="dxa"/>
              <w:bottom w:w="70" w:type="dxa"/>
              <w:end w:w="90" w:type="dxa"/>
            </w:tcMar>
          </w:tcPr>
          <w:p>
            <w:pPr>
              <w:spacing w:after="20" w:line="240" w:lineRule="auto"/>
            </w:pPr>
            <w:r>
              <w:t>Request API access or a custom quote</w:t>
            </w:r>
          </w:p>
        </w:tc>
      </w:tr>
      <w:tr>
        <w:tc>
          <w:tcPr>
            <w:tcW w:type="dxa" w:w="5083"/>
            <w:vAlign w:val="top"/>
            <w:tcMar>
              <w:top w:w="70" w:type="dxa"/>
              <w:start w:w="90" w:type="dxa"/>
              <w:bottom w:w="70" w:type="dxa"/>
              <w:end w:w="90" w:type="dxa"/>
            </w:tcMar>
          </w:tcPr>
          <w:p>
            <w:pPr>
              <w:spacing w:after="20" w:line="240" w:lineRule="auto"/>
            </w:pPr>
            <w:r>
              <w:t>H2-10</w:t>
            </w:r>
          </w:p>
        </w:tc>
        <w:tc>
          <w:tcPr>
            <w:tcW w:type="dxa" w:w="5083"/>
            <w:vAlign w:val="top"/>
            <w:tcMar>
              <w:top w:w="70" w:type="dxa"/>
              <w:start w:w="90" w:type="dxa"/>
              <w:bottom w:w="70" w:type="dxa"/>
              <w:end w:w="90" w:type="dxa"/>
            </w:tcMar>
          </w:tcPr>
          <w:p>
            <w:pPr>
              <w:spacing w:after="20" w:line="240" w:lineRule="auto"/>
            </w:pPr>
            <w:r>
              <w:t>Plagiarism API FAQ</w:t>
            </w:r>
          </w:p>
        </w:tc>
      </w:tr>
      <w:tr>
        <w:tc>
          <w:tcPr>
            <w:tcW w:type="dxa" w:w="5083"/>
            <w:vAlign w:val="top"/>
            <w:tcMar>
              <w:top w:w="70" w:type="dxa"/>
              <w:start w:w="90" w:type="dxa"/>
              <w:bottom w:w="70" w:type="dxa"/>
              <w:end w:w="90" w:type="dxa"/>
            </w:tcMar>
          </w:tcPr>
          <w:p>
            <w:pPr>
              <w:spacing w:after="20" w:line="240" w:lineRule="auto"/>
            </w:pPr>
            <w:r>
              <w:t>H2-11</w:t>
            </w:r>
          </w:p>
        </w:tc>
        <w:tc>
          <w:tcPr>
            <w:tcW w:type="dxa" w:w="5083"/>
            <w:vAlign w:val="top"/>
            <w:tcMar>
              <w:top w:w="70" w:type="dxa"/>
              <w:start w:w="90" w:type="dxa"/>
              <w:bottom w:w="70" w:type="dxa"/>
              <w:end w:w="90" w:type="dxa"/>
            </w:tcMar>
          </w:tcPr>
          <w:p>
            <w:pPr>
              <w:spacing w:after="20" w:line="240" w:lineRule="auto"/>
            </w:pPr>
            <w:r>
              <w:t>Ready to evaluate the PlagiarismSearch API?</w:t>
            </w:r>
          </w:p>
        </w:tc>
      </w:tr>
      <w:tr>
        <w:tc>
          <w:tcPr>
            <w:tcW w:type="dxa" w:w="5083"/>
            <w:vAlign w:val="top"/>
            <w:tcMar>
              <w:top w:w="70" w:type="dxa"/>
              <w:start w:w="90" w:type="dxa"/>
              <w:bottom w:w="70" w:type="dxa"/>
              <w:end w:w="90" w:type="dxa"/>
            </w:tcMar>
          </w:tcPr>
          <w:p>
            <w:pPr>
              <w:spacing w:after="20" w:line="240" w:lineRule="auto"/>
            </w:pPr>
            <w:r>
              <w:t>Tab 1</w:t>
            </w:r>
          </w:p>
        </w:tc>
        <w:tc>
          <w:tcPr>
            <w:tcW w:type="dxa" w:w="5083"/>
            <w:vAlign w:val="top"/>
            <w:tcMar>
              <w:top w:w="70" w:type="dxa"/>
              <w:start w:w="90" w:type="dxa"/>
              <w:bottom w:w="70" w:type="dxa"/>
              <w:end w:w="90" w:type="dxa"/>
            </w:tcMar>
          </w:tcPr>
          <w:p>
            <w:pPr>
              <w:spacing w:after="20" w:line="240" w:lineRule="auto"/>
            </w:pPr>
            <w:r>
              <w:t>Request</w:t>
            </w:r>
          </w:p>
        </w:tc>
      </w:tr>
      <w:tr>
        <w:tc>
          <w:tcPr>
            <w:tcW w:type="dxa" w:w="5083"/>
            <w:vAlign w:val="top"/>
            <w:tcMar>
              <w:top w:w="70" w:type="dxa"/>
              <w:start w:w="90" w:type="dxa"/>
              <w:bottom w:w="70" w:type="dxa"/>
              <w:end w:w="90" w:type="dxa"/>
            </w:tcMar>
          </w:tcPr>
          <w:p>
            <w:pPr>
              <w:spacing w:after="20" w:line="240" w:lineRule="auto"/>
            </w:pPr>
            <w:r>
              <w:t>Tab 2</w:t>
            </w:r>
          </w:p>
        </w:tc>
        <w:tc>
          <w:tcPr>
            <w:tcW w:type="dxa" w:w="5083"/>
            <w:vAlign w:val="top"/>
            <w:tcMar>
              <w:top w:w="70" w:type="dxa"/>
              <w:start w:w="90" w:type="dxa"/>
              <w:bottom w:w="70" w:type="dxa"/>
              <w:end w:w="90" w:type="dxa"/>
            </w:tcMar>
          </w:tcPr>
          <w:p>
            <w:pPr>
              <w:spacing w:after="20" w:line="240" w:lineRule="auto"/>
            </w:pPr>
            <w:r>
              <w:t>Response</w:t>
            </w:r>
          </w:p>
        </w:tc>
      </w:tr>
      <w:tr>
        <w:tc>
          <w:tcPr>
            <w:tcW w:type="dxa" w:w="5083"/>
            <w:vAlign w:val="top"/>
            <w:tcMar>
              <w:top w:w="70" w:type="dxa"/>
              <w:start w:w="90" w:type="dxa"/>
              <w:bottom w:w="70" w:type="dxa"/>
              <w:end w:w="90" w:type="dxa"/>
            </w:tcMar>
          </w:tcPr>
          <w:p>
            <w:pPr>
              <w:spacing w:after="20" w:line="240" w:lineRule="auto"/>
            </w:pPr>
            <w:r>
              <w:t>Tab 3</w:t>
            </w:r>
          </w:p>
        </w:tc>
        <w:tc>
          <w:tcPr>
            <w:tcW w:type="dxa" w:w="5083"/>
            <w:vAlign w:val="top"/>
            <w:tcMar>
              <w:top w:w="70" w:type="dxa"/>
              <w:start w:w="90" w:type="dxa"/>
              <w:bottom w:w="70" w:type="dxa"/>
              <w:end w:w="90" w:type="dxa"/>
            </w:tcMar>
          </w:tcPr>
          <w:p>
            <w:pPr>
              <w:spacing w:after="20" w:line="240" w:lineRule="auto"/>
            </w:pPr>
            <w:r>
              <w:t>Webhook</w:t>
            </w:r>
          </w:p>
        </w:tc>
      </w:tr>
      <w:tr>
        <w:tc>
          <w:tcPr>
            <w:tcW w:type="dxa" w:w="5083"/>
            <w:vAlign w:val="top"/>
            <w:tcMar>
              <w:top w:w="70" w:type="dxa"/>
              <w:start w:w="90" w:type="dxa"/>
              <w:bottom w:w="70" w:type="dxa"/>
              <w:end w:w="90" w:type="dxa"/>
            </w:tcMar>
          </w:tcPr>
          <w:p>
            <w:pPr>
              <w:spacing w:after="20" w:line="240" w:lineRule="auto"/>
            </w:pPr>
            <w:r>
              <w:t>Primary CTA</w:t>
            </w:r>
          </w:p>
        </w:tc>
        <w:tc>
          <w:tcPr>
            <w:tcW w:type="dxa" w:w="5083"/>
            <w:vAlign w:val="top"/>
            <w:tcMar>
              <w:top w:w="70" w:type="dxa"/>
              <w:start w:w="90" w:type="dxa"/>
              <w:bottom w:w="70" w:type="dxa"/>
              <w:end w:w="90" w:type="dxa"/>
            </w:tcMar>
          </w:tcPr>
          <w:p>
            <w:pPr>
              <w:spacing w:after="20" w:line="240" w:lineRule="auto"/>
            </w:pPr>
            <w:r>
              <w:t>View API documentation</w:t>
            </w:r>
          </w:p>
        </w:tc>
      </w:tr>
      <w:tr>
        <w:tc>
          <w:tcPr>
            <w:tcW w:type="dxa" w:w="5083"/>
            <w:vAlign w:val="top"/>
            <w:tcMar>
              <w:top w:w="70" w:type="dxa"/>
              <w:start w:w="90" w:type="dxa"/>
              <w:bottom w:w="70" w:type="dxa"/>
              <w:end w:w="90" w:type="dxa"/>
            </w:tcMar>
          </w:tcPr>
          <w:p>
            <w:pPr>
              <w:spacing w:after="20" w:line="240" w:lineRule="auto"/>
            </w:pPr>
            <w:r>
              <w:t>Commercial CTA</w:t>
            </w:r>
          </w:p>
        </w:tc>
        <w:tc>
          <w:tcPr>
            <w:tcW w:type="dxa" w:w="5083"/>
            <w:vAlign w:val="top"/>
            <w:tcMar>
              <w:top w:w="70" w:type="dxa"/>
              <w:start w:w="90" w:type="dxa"/>
              <w:bottom w:w="70" w:type="dxa"/>
              <w:end w:w="90" w:type="dxa"/>
            </w:tcMar>
          </w:tcPr>
          <w:p>
            <w:pPr>
              <w:spacing w:after="20" w:line="240" w:lineRule="auto"/>
            </w:pPr>
            <w:r>
              <w:t>Request API access</w:t>
            </w:r>
          </w:p>
        </w:tc>
      </w:tr>
      <w:tr>
        <w:tc>
          <w:tcPr>
            <w:tcW w:type="dxa" w:w="5083"/>
            <w:vAlign w:val="top"/>
            <w:tcMar>
              <w:top w:w="70" w:type="dxa"/>
              <w:start w:w="90" w:type="dxa"/>
              <w:bottom w:w="70" w:type="dxa"/>
              <w:end w:w="90" w:type="dxa"/>
            </w:tcMar>
          </w:tcPr>
          <w:p>
            <w:pPr>
              <w:spacing w:after="20" w:line="240" w:lineRule="auto"/>
            </w:pPr>
            <w:r>
              <w:t>Pricing CTA</w:t>
            </w:r>
          </w:p>
        </w:tc>
        <w:tc>
          <w:tcPr>
            <w:tcW w:type="dxa" w:w="5083"/>
            <w:vAlign w:val="top"/>
            <w:tcMar>
              <w:top w:w="70" w:type="dxa"/>
              <w:start w:w="90" w:type="dxa"/>
              <w:bottom w:w="70" w:type="dxa"/>
              <w:end w:w="90" w:type="dxa"/>
            </w:tcMar>
          </w:tcPr>
          <w:p>
            <w:pPr>
              <w:spacing w:after="20" w:line="240" w:lineRule="auto"/>
            </w:pPr>
            <w:r>
              <w:t>View pricing</w:t>
            </w:r>
          </w:p>
        </w:tc>
      </w:tr>
      <w:tr>
        <w:tc>
          <w:tcPr>
            <w:tcW w:type="dxa" w:w="5083"/>
            <w:vAlign w:val="top"/>
            <w:tcMar>
              <w:top w:w="70" w:type="dxa"/>
              <w:start w:w="90" w:type="dxa"/>
              <w:bottom w:w="70" w:type="dxa"/>
              <w:end w:w="90" w:type="dxa"/>
            </w:tcMar>
          </w:tcPr>
          <w:p>
            <w:pPr>
              <w:spacing w:after="20" w:line="240" w:lineRule="auto"/>
            </w:pPr>
            <w:r>
              <w:t>Docs CTA</w:t>
            </w:r>
          </w:p>
        </w:tc>
        <w:tc>
          <w:tcPr>
            <w:tcW w:type="dxa" w:w="5083"/>
            <w:vAlign w:val="top"/>
            <w:tcMar>
              <w:top w:w="70" w:type="dxa"/>
              <w:start w:w="90" w:type="dxa"/>
              <w:bottom w:w="70" w:type="dxa"/>
              <w:end w:w="90" w:type="dxa"/>
            </w:tcMar>
          </w:tcPr>
          <w:p>
            <w:pPr>
              <w:spacing w:after="20" w:line="240" w:lineRule="auto"/>
            </w:pPr>
            <w:r>
              <w:t>Open API documentation</w:t>
            </w:r>
          </w:p>
        </w:tc>
      </w:tr>
      <w:tr>
        <w:tc>
          <w:tcPr>
            <w:tcW w:type="dxa" w:w="5083"/>
            <w:vAlign w:val="top"/>
            <w:tcMar>
              <w:top w:w="70" w:type="dxa"/>
              <w:start w:w="90" w:type="dxa"/>
              <w:bottom w:w="70" w:type="dxa"/>
              <w:end w:w="90" w:type="dxa"/>
            </w:tcMar>
          </w:tcPr>
          <w:p>
            <w:pPr>
              <w:spacing w:after="20" w:line="240" w:lineRule="auto"/>
            </w:pPr>
            <w:r>
              <w:t>Response-schema CTA</w:t>
            </w:r>
          </w:p>
        </w:tc>
        <w:tc>
          <w:tcPr>
            <w:tcW w:type="dxa" w:w="5083"/>
            <w:vAlign w:val="top"/>
            <w:tcMar>
              <w:top w:w="70" w:type="dxa"/>
              <w:start w:w="90" w:type="dxa"/>
              <w:bottom w:w="70" w:type="dxa"/>
              <w:end w:w="90" w:type="dxa"/>
            </w:tcMar>
          </w:tcPr>
          <w:p>
            <w:pPr>
              <w:spacing w:after="20" w:line="240" w:lineRule="auto"/>
            </w:pPr>
            <w:r>
              <w:t>See the complete response schema</w:t>
            </w:r>
          </w:p>
        </w:tc>
      </w:tr>
      <w:tr>
        <w:tc>
          <w:tcPr>
            <w:tcW w:type="dxa" w:w="5083"/>
            <w:vAlign w:val="top"/>
            <w:tcMar>
              <w:top w:w="70" w:type="dxa"/>
              <w:start w:w="90" w:type="dxa"/>
              <w:bottom w:w="70" w:type="dxa"/>
              <w:end w:w="90" w:type="dxa"/>
            </w:tcMar>
          </w:tcPr>
          <w:p>
            <w:pPr>
              <w:spacing w:after="20" w:line="240" w:lineRule="auto"/>
            </w:pPr>
            <w:r>
              <w:t>Form success heading</w:t>
            </w:r>
          </w:p>
        </w:tc>
        <w:tc>
          <w:tcPr>
            <w:tcW w:type="dxa" w:w="5083"/>
            <w:vAlign w:val="top"/>
            <w:tcMar>
              <w:top w:w="70" w:type="dxa"/>
              <w:start w:w="90" w:type="dxa"/>
              <w:bottom w:w="70" w:type="dxa"/>
              <w:end w:w="90" w:type="dxa"/>
            </w:tcMar>
          </w:tcPr>
          <w:p>
            <w:pPr>
              <w:spacing w:after="20" w:line="240" w:lineRule="auto"/>
            </w:pPr>
            <w:r>
              <w:t>Your API request has been sent</w:t>
            </w:r>
          </w:p>
        </w:tc>
      </w:tr>
    </w:tbl>
    <w:p>
      <w:pPr>
        <w:spacing w:after="20"/>
      </w:pPr>
    </w:p>
    <w:p>
      <w:pPr>
        <w:pStyle w:val="Heading1"/>
      </w:pPr>
      <w:r>
        <w:t>FINAL IMPLEMENTATION GATES</w:t>
      </w:r>
    </w:p>
    <w:tbl>
      <w:tblPr>
        <w:tblStyle w:val="TableGrid"/>
        <w:tblW w:type="auto" w:w="0"/>
        <w:jc w:val="center"/>
        <w:tblLook w:firstColumn="1" w:firstRow="1" w:lastColumn="0" w:lastRow="0" w:noHBand="0" w:noVBand="1" w:val="04A0"/>
      </w:tblPr>
      <w:tblGrid>
        <w:gridCol w:w="5083"/>
        <w:gridCol w:w="5083"/>
      </w:tblGrid>
      <w:tr>
        <w:tc>
          <w:tcPr>
            <w:tcW w:type="dxa" w:w="5083"/>
            <w:shd w:fill="DDE8F5"/>
            <w:vAlign w:val="center"/>
          </w:tcPr>
          <w:p>
            <w:r>
              <w:rPr>
                <w:b/>
                <w:sz w:val="17"/>
              </w:rPr>
              <w:t>Gate</w:t>
            </w:r>
          </w:p>
        </w:tc>
        <w:tc>
          <w:tcPr>
            <w:tcW w:type="dxa" w:w="5083"/>
            <w:shd w:fill="DDE8F5"/>
            <w:vAlign w:val="center"/>
          </w:tcPr>
          <w:p>
            <w:r>
              <w:rPr>
                <w:b/>
                <w:sz w:val="17"/>
              </w:rPr>
              <w:t>Rule</w:t>
            </w:r>
          </w:p>
        </w:tc>
      </w:tr>
      <w:tr>
        <w:tc>
          <w:tcPr>
            <w:tcW w:type="dxa" w:w="5083"/>
            <w:vAlign w:val="top"/>
            <w:tcMar>
              <w:top w:w="70" w:type="dxa"/>
              <w:start w:w="90" w:type="dxa"/>
              <w:bottom w:w="70" w:type="dxa"/>
              <w:end w:w="90" w:type="dxa"/>
            </w:tcMar>
          </w:tcPr>
          <w:p>
            <w:pPr>
              <w:spacing w:after="20" w:line="240" w:lineRule="auto"/>
            </w:pPr>
            <w:r>
              <w:t>P0 — Bearer header literal</w:t>
            </w:r>
          </w:p>
        </w:tc>
        <w:tc>
          <w:tcPr>
            <w:tcW w:type="dxa" w:w="5083"/>
            <w:vAlign w:val="top"/>
            <w:tcMar>
              <w:top w:w="70" w:type="dxa"/>
              <w:start w:w="90" w:type="dxa"/>
              <w:bottom w:w="70" w:type="dxa"/>
              <w:end w:w="90" w:type="dxa"/>
            </w:tcMar>
          </w:tcPr>
          <w:p>
            <w:pPr>
              <w:spacing w:after="20" w:line="240" w:lineRule="auto"/>
            </w:pPr>
            <w:r>
              <w:t>Must be confirmed before production code is frozen. Prototype may use the developer-supplied Authorization line in this brief.</w:t>
            </w:r>
          </w:p>
        </w:tc>
      </w:tr>
      <w:tr>
        <w:tc>
          <w:tcPr>
            <w:tcW w:type="dxa" w:w="5083"/>
            <w:vAlign w:val="top"/>
            <w:tcMar>
              <w:top w:w="70" w:type="dxa"/>
              <w:start w:w="90" w:type="dxa"/>
              <w:bottom w:w="70" w:type="dxa"/>
              <w:end w:w="90" w:type="dxa"/>
            </w:tcMar>
          </w:tcPr>
          <w:p>
            <w:pPr>
              <w:spacing w:after="20" w:line="240" w:lineRule="auto"/>
            </w:pPr>
            <w:r>
              <w:t>P0 — API Q&amp;A synchronization</w:t>
            </w:r>
          </w:p>
        </w:tc>
        <w:tc>
          <w:tcPr>
            <w:tcW w:type="dxa" w:w="5083"/>
            <w:vAlign w:val="top"/>
            <w:tcMar>
              <w:top w:w="70" w:type="dxa"/>
              <w:start w:w="90" w:type="dxa"/>
              <w:bottom w:w="70" w:type="dxa"/>
              <w:end w:w="90" w:type="dxa"/>
            </w:tcMar>
          </w:tcPr>
          <w:p>
            <w:pPr>
              <w:spacing w:after="20" w:line="240" w:lineRule="auto"/>
            </w:pPr>
            <w:r>
              <w:t>Must be completed before /plagiarismsearch-api-questions-and-answers is promoted from the redesigned API landing.</w:t>
            </w:r>
          </w:p>
        </w:tc>
      </w:tr>
      <w:tr>
        <w:tc>
          <w:tcPr>
            <w:tcW w:type="dxa" w:w="5083"/>
            <w:vAlign w:val="top"/>
            <w:tcMar>
              <w:top w:w="70" w:type="dxa"/>
              <w:start w:w="90" w:type="dxa"/>
              <w:bottom w:w="70" w:type="dxa"/>
              <w:end w:w="90" w:type="dxa"/>
            </w:tcMar>
          </w:tcPr>
          <w:p>
            <w:pPr>
              <w:spacing w:after="20" w:line="240" w:lineRule="auto"/>
            </w:pPr>
            <w:r>
              <w:t>P1 — Pricing/entitlements</w:t>
            </w:r>
          </w:p>
        </w:tc>
        <w:tc>
          <w:tcPr>
            <w:tcW w:type="dxa" w:w="5083"/>
            <w:vAlign w:val="top"/>
            <w:tcMar>
              <w:top w:w="70" w:type="dxa"/>
              <w:start w:w="90" w:type="dxa"/>
              <w:bottom w:w="70" w:type="dxa"/>
              <w:end w:w="90" w:type="dxa"/>
            </w:tcMar>
          </w:tcPr>
          <w:p>
            <w:pPr>
              <w:spacing w:after="20" w:line="240" w:lineRule="auto"/>
            </w:pPr>
            <w:r>
              <w:t>Production commercial data must come from current backend/commercial source, not legacy API cards.</w:t>
            </w:r>
          </w:p>
        </w:tc>
      </w:tr>
      <w:tr>
        <w:tc>
          <w:tcPr>
            <w:tcW w:type="dxa" w:w="5083"/>
            <w:vAlign w:val="top"/>
            <w:tcMar>
              <w:top w:w="70" w:type="dxa"/>
              <w:start w:w="90" w:type="dxa"/>
              <w:bottom w:w="70" w:type="dxa"/>
              <w:end w:w="90" w:type="dxa"/>
            </w:tcMar>
          </w:tcPr>
          <w:p>
            <w:pPr>
              <w:spacing w:after="20" w:line="240" w:lineRule="auto"/>
            </w:pPr>
            <w:r>
              <w:t>P1 — Detailed outputs</w:t>
            </w:r>
          </w:p>
        </w:tc>
        <w:tc>
          <w:tcPr>
            <w:tcW w:type="dxa" w:w="5083"/>
            <w:vAlign w:val="top"/>
            <w:tcMar>
              <w:top w:w="70" w:type="dxa"/>
              <w:start w:w="90" w:type="dxa"/>
              <w:bottom w:w="70" w:type="dxa"/>
              <w:end w:w="90" w:type="dxa"/>
            </w:tcMar>
          </w:tcPr>
          <w:p>
            <w:pPr>
              <w:spacing w:after="20" w:line="240" w:lineRule="auto"/>
            </w:pPr>
            <w:r>
              <w:t>Only add PDF/HTML/source-relations or other output claims after current 3.1.0 confirmation.</w:t>
            </w:r>
          </w:p>
        </w:tc>
      </w:tr>
      <w:tr>
        <w:tc>
          <w:tcPr>
            <w:tcW w:type="dxa" w:w="5083"/>
            <w:vAlign w:val="top"/>
            <w:tcMar>
              <w:top w:w="70" w:type="dxa"/>
              <w:start w:w="90" w:type="dxa"/>
              <w:bottom w:w="70" w:type="dxa"/>
              <w:end w:w="90" w:type="dxa"/>
            </w:tcMar>
          </w:tcPr>
          <w:p>
            <w:pPr>
              <w:spacing w:after="20" w:line="240" w:lineRule="auto"/>
            </w:pPr>
            <w:r>
              <w:t>P1 — Historical /plagiarism-api.html</w:t>
            </w:r>
          </w:p>
        </w:tc>
        <w:tc>
          <w:tcPr>
            <w:tcW w:type="dxa" w:w="5083"/>
            <w:vAlign w:val="top"/>
            <w:tcMar>
              <w:top w:w="70" w:type="dxa"/>
              <w:start w:w="90" w:type="dxa"/>
              <w:bottom w:w="70" w:type="dxa"/>
              <w:end w:w="90" w:type="dxa"/>
            </w:tcMar>
          </w:tcPr>
          <w:p>
            <w:pPr>
              <w:spacing w:after="20" w:line="240" w:lineRule="auto"/>
            </w:pPr>
            <w:r>
              <w:t>Verify status/donors/equivalence during migration QA. Do not implement redirect from this page brief without a separate approved migration decision.</w:t>
            </w:r>
          </w:p>
        </w:tc>
      </w:tr>
    </w:tbl>
    <w:p>
      <w:pPr>
        <w:spacing w:after="20"/>
      </w:pPr>
    </w:p>
    <w:p>
      <w:pPr>
        <w:pStyle w:val="Heading1"/>
      </w:pPr>
      <w:r>
        <w:t>FINAL DEFINITION OF DONE — HANDOFF CHECK</w:t>
      </w:r>
    </w:p>
    <w:p>
      <w:pPr>
        <w:pStyle w:val="ListBullet"/>
        <w:spacing w:after="40"/>
      </w:pPr>
      <w:r>
        <w:t>All page copy, labels, code snippets/subsets, CTAs, URLs and section order match this brief.</w:t>
      </w:r>
    </w:p>
    <w:p>
      <w:pPr>
        <w:pStyle w:val="ListBullet"/>
        <w:spacing w:after="40"/>
      </w:pPr>
      <w:r>
        <w:t>The Vercel mock has influenced visual execution only; none of its invented code/stats/claims survive unless independently approved here.</w:t>
      </w:r>
    </w:p>
    <w:p>
      <w:pPr>
        <w:pStyle w:val="ListBullet"/>
        <w:spacing w:after="40"/>
      </w:pPr>
      <w:r>
        <w:t>The page can be understood by a developer without contacting sales: inputs, configuration, async workflow, completion and docs are obvious.</w:t>
      </w:r>
    </w:p>
    <w:p>
      <w:pPr>
        <w:pStyle w:val="ListBullet"/>
        <w:spacing w:after="40"/>
      </w:pPr>
      <w:r>
        <w:t>The page can be understood by a buyer: access/trial/pricing path and custom quote path are obvious without fake universal entitlements.</w:t>
      </w:r>
    </w:p>
    <w:p>
      <w:pPr>
        <w:pStyle w:val="ListBullet"/>
        <w:spacing w:after="40"/>
      </w:pPr>
      <w:r>
        <w:t>The page does not duplicate Swagger; /docs/ remains the technical source of truth.</w:t>
      </w:r>
    </w:p>
    <w:p>
      <w:pPr>
        <w:pStyle w:val="ListBullet"/>
        <w:spacing w:after="40"/>
      </w:pPr>
      <w:r>
        <w:t>No stale Q&amp;A claim is promoted.</w:t>
      </w:r>
    </w:p>
    <w:p>
      <w:pPr>
        <w:pStyle w:val="ListBullet"/>
        <w:spacing w:after="40"/>
      </w:pPr>
      <w:r>
        <w:t>No prohibited claim or capability is present.</w:t>
      </w:r>
    </w:p>
    <w:p>
      <w:pPr>
        <w:pStyle w:val="ListBullet"/>
        <w:spacing w:after="40"/>
      </w:pPr>
      <w:r>
        <w:t>Desktop and mobile both preserve real product evidence as the primary trust mechanism.</w:t>
      </w:r>
    </w:p>
    <w:p>
      <w:pPr>
        <w:pStyle w:val="ListBullet"/>
        <w:spacing w:after="40"/>
      </w:pPr>
      <w:r>
        <w:t>Any deviation is explicitly logged as WAIVED with user approval.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F6368"/>
        <w:sz w:val="14"/>
      </w:rPr>
      <w:t>Approved content source of truth · 24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6368"/>
        <w:sz w:val="14"/>
      </w:rPr>
      <w:t>PLAGIARISMSEARCH · EN PLAGIARISM API · CLAUDE IMPLEMENTATION BRIEF · DEC-0041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182B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3662A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2023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82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80" w:after="60"/>
    </w:pPr>
    <w:rPr>
      <w:rFonts w:ascii="Liberation Sans" w:hAnsi="Liberation Sans" w:eastAsia="Liberation Sans"/>
      <w:b/>
      <w:color w:val="3662A6"/>
      <w:sz w:val="16"/>
    </w:rPr>
  </w:style>
  <w:style w:type="paragraph" w:customStyle="1" w:styleId="Small">
    <w:name w:val="Small"/>
    <w:pPr>
      <w:spacing w:after="40"/>
    </w:pPr>
    <w:rPr>
      <w:rFonts w:ascii="Liberation Sans" w:hAnsi="Liberation Sans" w:eastAsia="Liberation Sans"/>
      <w:color w:val="5F6368"/>
      <w:sz w:val="16"/>
    </w:rPr>
  </w:style>
  <w:style w:type="paragraph" w:customStyle="1" w:styleId="Code">
    <w:name w:val="Code"/>
    <w:pPr>
      <w:spacing w:after="0" w:line="240" w:lineRule="auto"/>
    </w:pPr>
    <w:rPr>
      <w:rFonts w:ascii="Liberation Mono" w:hAnsi="Liberation Mono" w:eastAsia="Liberation Mono"/>
      <w:color w:val="1E2229"/>
      <w:sz w:val="16"/>
    </w:rPr>
  </w:style>
  <w:style w:type="paragraph" w:customStyle="1" w:styleId="FixedCopy">
    <w:name w:val="Fixed Copy"/>
    <w:pPr>
      <w:spacing w:after="100"/>
      <w:ind w:left="230" w:right="115"/>
    </w:pPr>
    <w:rPr>
      <w:rFonts w:ascii="Liberation Sans" w:hAnsi="Liberation Sans" w:eastAsia="Liberation Sans"/>
      <w:color w:val="2023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