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i w:val="0"/>
        </w:rPr>
        <w:t>CLAUDE EXECUTION BRIEF</w:t>
      </w:r>
    </w:p>
    <w:p>
      <w:pPr>
        <w:pStyle w:val="Title"/>
      </w:pPr>
      <w:r>
        <w:rPr>
          <w:i w:val="0"/>
        </w:rPr>
        <w:t>EN UNIVERSITY / HIGHER EDUCATION SOLUTION</w:t>
      </w:r>
    </w:p>
    <w:p>
      <w:pPr>
        <w:pStyle w:val="Small"/>
      </w:pPr>
      <w:r>
        <w:rPr>
          <w:i w:val="0"/>
        </w:rPr>
        <w:t>PlagiarismSearch SEO Recovery 2026</w:t>
      </w:r>
    </w:p>
    <w:p>
      <w:pPr>
        <w:pStyle w:val="Small"/>
      </w:pPr>
      <w:r>
        <w:rPr>
          <w:i w:val="0"/>
        </w:rPr>
        <w:t>URL: https://plagiarismsearch.com/university-plagiarism-checker</w:t>
      </w:r>
    </w:p>
    <w:p>
      <w:pPr>
        <w:pStyle w:val="Small"/>
      </w:pPr>
      <w:r>
        <w:rPr>
          <w:i w:val="0"/>
        </w:rPr>
        <w:t>Prepared: 2026-08-25</w:t>
      </w:r>
    </w:p>
    <w:p/>
    <w:p>
      <w:pPr>
        <w:pStyle w:val="Heading1"/>
        <w:keepNext/>
      </w:pPr>
      <w:r>
        <w:rPr>
          <w:i w:val="0"/>
        </w:rPr>
        <w:t>OBJECTIVE</w:t>
      </w:r>
    </w:p>
    <w:p>
      <w:pPr/>
      <w:r>
        <w:rPr>
          <w:i w:val="0"/>
        </w:rPr>
        <w:t>Design and implement the new English University Plagiarism Checker page for https://plagiarismsearch.com/university-plagiarism-checker as the primary English institutional solution for universities, colleges and other higher-education institutions that need managed plagiarism-checking workflows. Preserve the existing URL and category ownership, but rebuild the page from a new institutional solution architecture rather than adapting the legacy “students cheat → teachers catch them” landing.</w:t>
      </w:r>
    </w:p>
    <w:tbl>
      <w:tblPr>
        <w:tblW w:type="auto" w:w="0"/>
        <w:jc w:val="center"/>
        <w:tblLook w:firstColumn="1" w:firstRow="1" w:lastColumn="0" w:lastRow="0" w:noHBand="0" w:noVBand="1" w:val="04A0"/>
      </w:tblPr>
      <w:tblGrid>
        <w:gridCol w:w="10166"/>
      </w:tblGrid>
      <w:tr>
        <w:trPr>
          <w:cantSplit/>
        </w:trPr>
        <w:tc>
          <w:tcPr>
            <w:tcW w:type="dxa" w:w="10166"/>
            <w:shd w:fill="EAF1FA"/>
            <w:tcMar>
              <w:top w:w="150" w:type="dxa"/>
              <w:start w:w="180" w:type="dxa"/>
              <w:bottom w:w="150" w:type="dxa"/>
              <w:end w:w="180" w:type="dxa"/>
            </w:tcMar>
          </w:tcPr>
          <w:p>
            <w:pPr/>
            <w:r>
              <w:rPr>
                <w:b/>
                <w:color w:val="182B4D"/>
                <w:sz w:val="20"/>
              </w:rPr>
              <w:t>CORE DIRECTION</w:t>
              <w:br/>
            </w:r>
            <w:r>
              <w:rPr>
                <w:sz w:val="21"/>
              </w:rPr>
              <w:t>Build a professional institutional solution around evidence, administrative control, source/repository control, deployment choice and procurement. The product story is: real report evidence → institution controls people and resources → institution chooses sources and Storage → institution chooses workspace / Moodle / API → institution understands data handling → institution can request a commercial setup.</w:t>
            </w:r>
          </w:p>
        </w:tc>
      </w:tr>
    </w:tbl>
    <w:p/>
    <w:p>
      <w:pPr>
        <w:pStyle w:val="Heading1"/>
        <w:keepNext/>
      </w:pPr>
      <w:r>
        <w:rPr>
          <w:i w:val="0"/>
        </w:rPr>
        <w:t>SOURCE-OF-TRUTH RULE</w:t>
      </w:r>
    </w:p>
    <w:p>
      <w:pPr/>
      <w:r>
        <w:rPr>
          <w:i w:val="0"/>
        </w:rPr>
        <w:t>The approved content baseline begins later in this same file. Treat every visible page heading, paragraph, CTA label, destination, form label, select option, FAQ question/answer, section order, product statement and Storage/Moodle/API semantic rule as fixed unless this brief explicitly labels it dynamic or optional.</w:t>
      </w:r>
    </w:p>
    <w:p>
      <w:pPr/>
      <w:r>
        <w:rPr>
          <w:i w:val="0"/>
        </w:rPr>
        <w:t>Claude is the design/implementation executor, not the writer or product strategist. Do not rewrite, shorten, expand, reorder, reinterpret, SEO-optimize, “improve,” modernize or replace approved copy to fit a layout. If the copy creates a visual constraint, solve the layout rather than changing the copy.</w:t>
      </w:r>
    </w:p>
    <w:p>
      <w:pPr>
        <w:pStyle w:val="Heading1"/>
        <w:keepNext/>
      </w:pPr>
      <w:r>
        <w:rPr>
          <w:i w:val="0"/>
        </w:rPr>
        <w:t>AUTHORITY / INPUT PRECEDENCE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792"/>
            <w:shd w:fill="182B4D"/>
            <w:vAlign w:val="center"/>
            <w:tcMar>
              <w:top w:w="90" w:type="dxa"/>
              <w:start w:w="110" w:type="dxa"/>
              <w:bottom w:w="90" w:type="dxa"/>
              <w:end w:w="110" w:type="dxa"/>
            </w:tcMar>
          </w:tcPr>
          <w:p>
            <w:r>
              <w:rPr>
                <w:b/>
                <w:color w:val="FFFFFF"/>
                <w:sz w:val="19"/>
              </w:rPr>
              <w:t>Priority</w:t>
            </w:r>
          </w:p>
        </w:tc>
        <w:tc>
          <w:tcPr>
            <w:tcW w:type="dxa" w:w="3528"/>
            <w:shd w:fill="182B4D"/>
            <w:vAlign w:val="center"/>
            <w:tcMar>
              <w:top w:w="90" w:type="dxa"/>
              <w:start w:w="110" w:type="dxa"/>
              <w:bottom w:w="90" w:type="dxa"/>
              <w:end w:w="110" w:type="dxa"/>
            </w:tcMar>
          </w:tcPr>
          <w:p>
            <w:r>
              <w:rPr>
                <w:b/>
                <w:color w:val="FFFFFF"/>
                <w:sz w:val="19"/>
              </w:rPr>
              <w:t>Source</w:t>
            </w:r>
          </w:p>
        </w:tc>
        <w:tc>
          <w:tcPr>
            <w:tcW w:type="dxa" w:w="6120"/>
            <w:shd w:fill="182B4D"/>
            <w:vAlign w:val="center"/>
            <w:tcMar>
              <w:top w:w="90" w:type="dxa"/>
              <w:start w:w="110" w:type="dxa"/>
              <w:bottom w:w="90" w:type="dxa"/>
              <w:end w:w="110" w:type="dxa"/>
            </w:tcMar>
          </w:tcPr>
          <w:p>
            <w:r>
              <w:rPr>
                <w:b/>
                <w:color w:val="FFFFFF"/>
                <w:sz w:val="19"/>
              </w:rPr>
              <w:t>Authority</w:t>
            </w:r>
          </w:p>
        </w:tc>
      </w:tr>
      <w:tr>
        <w:trPr>
          <w:cantSplit/>
        </w:trPr>
        <w:tc>
          <w:tcPr>
            <w:tcW w:type="dxa" w:w="792"/>
            <w:vAlign w:val="top"/>
            <w:tcMar>
              <w:top w:w="90" w:type="dxa"/>
              <w:start w:w="110" w:type="dxa"/>
              <w:bottom w:w="90" w:type="dxa"/>
              <w:end w:w="110" w:type="dxa"/>
            </w:tcMar>
          </w:tcPr>
          <w:p>
            <w:r>
              <w:rPr>
                <w:sz w:val="18"/>
              </w:rPr>
              <w:t>1</w:t>
            </w:r>
          </w:p>
        </w:tc>
        <w:tc>
          <w:tcPr>
            <w:tcW w:type="dxa" w:w="3528"/>
            <w:vAlign w:val="top"/>
            <w:tcMar>
              <w:top w:w="90" w:type="dxa"/>
              <w:start w:w="110" w:type="dxa"/>
              <w:bottom w:w="90" w:type="dxa"/>
              <w:end w:w="110" w:type="dxa"/>
            </w:tcMar>
          </w:tcPr>
          <w:p>
            <w:r>
              <w:rPr>
                <w:sz w:val="18"/>
              </w:rPr>
              <w:t>This brief / DEC-0043</w:t>
            </w:r>
          </w:p>
        </w:tc>
        <w:tc>
          <w:tcPr>
            <w:tcW w:type="dxa" w:w="6120"/>
            <w:vAlign w:val="top"/>
            <w:tcMar>
              <w:top w:w="90" w:type="dxa"/>
              <w:start w:w="110" w:type="dxa"/>
              <w:bottom w:w="90" w:type="dxa"/>
              <w:end w:w="110" w:type="dxa"/>
            </w:tcMar>
          </w:tcPr>
          <w:p>
            <w:r>
              <w:rPr>
                <w:sz w:val="18"/>
              </w:rPr>
              <w:t>Governs page role, content, section order, links, claims, product semantics, CTA hierarchy and implementation acceptance.</w:t>
            </w:r>
          </w:p>
        </w:tc>
      </w:tr>
      <w:tr>
        <w:trPr>
          <w:cantSplit/>
        </w:trPr>
        <w:tc>
          <w:tcPr>
            <w:tcW w:type="dxa" w:w="792"/>
            <w:vAlign w:val="top"/>
            <w:tcMar>
              <w:top w:w="90" w:type="dxa"/>
              <w:start w:w="110" w:type="dxa"/>
              <w:bottom w:w="90" w:type="dxa"/>
              <w:end w:w="110" w:type="dxa"/>
            </w:tcMar>
          </w:tcPr>
          <w:p>
            <w:r>
              <w:rPr>
                <w:sz w:val="18"/>
              </w:rPr>
              <w:t>2</w:t>
            </w:r>
          </w:p>
        </w:tc>
        <w:tc>
          <w:tcPr>
            <w:tcW w:type="dxa" w:w="3528"/>
            <w:vAlign w:val="top"/>
            <w:tcMar>
              <w:top w:w="90" w:type="dxa"/>
              <w:start w:w="110" w:type="dxa"/>
              <w:bottom w:w="90" w:type="dxa"/>
              <w:end w:w="110" w:type="dxa"/>
            </w:tcMar>
          </w:tcPr>
          <w:p>
            <w:r>
              <w:rPr>
                <w:sz w:val="18"/>
              </w:rPr>
              <w:t>Verified current product behavior / confirmed product facts</w:t>
            </w:r>
          </w:p>
        </w:tc>
        <w:tc>
          <w:tcPr>
            <w:tcW w:type="dxa" w:w="6120"/>
            <w:vAlign w:val="top"/>
            <w:tcMar>
              <w:top w:w="90" w:type="dxa"/>
              <w:start w:w="110" w:type="dxa"/>
              <w:bottom w:w="90" w:type="dxa"/>
              <w:end w:w="110" w:type="dxa"/>
            </w:tcMar>
          </w:tcPr>
          <w:p>
            <w:r>
              <w:rPr>
                <w:sz w:val="18"/>
              </w:rPr>
              <w:t>Governs real Organization Management, Moodle, Storage, report, API and AI behavior if production behavior changes after this brief. Flag conflicts; do not silently rewrite copy.</w:t>
            </w:r>
          </w:p>
        </w:tc>
      </w:tr>
      <w:tr>
        <w:trPr>
          <w:cantSplit/>
        </w:trPr>
        <w:tc>
          <w:tcPr>
            <w:tcW w:type="dxa" w:w="792"/>
            <w:vAlign w:val="top"/>
            <w:tcMar>
              <w:top w:w="90" w:type="dxa"/>
              <w:start w:w="110" w:type="dxa"/>
              <w:bottom w:w="90" w:type="dxa"/>
              <w:end w:w="110" w:type="dxa"/>
            </w:tcMar>
          </w:tcPr>
          <w:p>
            <w:r>
              <w:rPr>
                <w:sz w:val="18"/>
              </w:rPr>
              <w:t>3</w:t>
            </w:r>
          </w:p>
        </w:tc>
        <w:tc>
          <w:tcPr>
            <w:tcW w:type="dxa" w:w="3528"/>
            <w:vAlign w:val="top"/>
            <w:tcMar>
              <w:top w:w="90" w:type="dxa"/>
              <w:start w:w="110" w:type="dxa"/>
              <w:bottom w:w="90" w:type="dxa"/>
              <w:end w:w="110" w:type="dxa"/>
            </w:tcMar>
          </w:tcPr>
          <w:p>
            <w:r>
              <w:rPr>
                <w:sz w:val="18"/>
              </w:rPr>
              <w:t>Approved PlagiarismSearch redesign system and already approved shared components</w:t>
            </w:r>
          </w:p>
        </w:tc>
        <w:tc>
          <w:tcPr>
            <w:tcW w:type="dxa" w:w="6120"/>
            <w:vAlign w:val="top"/>
            <w:tcMar>
              <w:top w:w="90" w:type="dxa"/>
              <w:start w:w="110" w:type="dxa"/>
              <w:bottom w:w="90" w:type="dxa"/>
              <w:end w:w="110" w:type="dxa"/>
            </w:tcMar>
          </w:tcPr>
          <w:p>
            <w:r>
              <w:rPr>
                <w:sz w:val="18"/>
              </w:rPr>
              <w:t>Governs visual language, header/footer, typography, spacing, shared report/FAQ/form patterns and responsive system.</w:t>
            </w:r>
          </w:p>
        </w:tc>
      </w:tr>
      <w:tr>
        <w:trPr>
          <w:cantSplit/>
        </w:trPr>
        <w:tc>
          <w:tcPr>
            <w:tcW w:type="dxa" w:w="792"/>
            <w:vAlign w:val="top"/>
            <w:tcMar>
              <w:top w:w="90" w:type="dxa"/>
              <w:start w:w="110" w:type="dxa"/>
              <w:bottom w:w="90" w:type="dxa"/>
              <w:end w:w="110" w:type="dxa"/>
            </w:tcMar>
          </w:tcPr>
          <w:p>
            <w:r>
              <w:rPr>
                <w:sz w:val="18"/>
              </w:rPr>
              <w:t>4</w:t>
            </w:r>
          </w:p>
        </w:tc>
        <w:tc>
          <w:tcPr>
            <w:tcW w:type="dxa" w:w="3528"/>
            <w:vAlign w:val="top"/>
            <w:tcMar>
              <w:top w:w="90" w:type="dxa"/>
              <w:start w:w="110" w:type="dxa"/>
              <w:bottom w:w="90" w:type="dxa"/>
              <w:end w:w="110" w:type="dxa"/>
            </w:tcMar>
          </w:tcPr>
          <w:p>
            <w:r>
              <w:rPr>
                <w:sz w:val="18"/>
              </w:rPr>
              <w:t>Real product screenshots / current UI states</w:t>
            </w:r>
          </w:p>
        </w:tc>
        <w:tc>
          <w:tcPr>
            <w:tcW w:type="dxa" w:w="6120"/>
            <w:vAlign w:val="top"/>
            <w:tcMar>
              <w:top w:w="90" w:type="dxa"/>
              <w:start w:w="110" w:type="dxa"/>
              <w:bottom w:w="90" w:type="dxa"/>
              <w:end w:w="110" w:type="dxa"/>
            </w:tcMar>
          </w:tcPr>
          <w:p>
            <w:r>
              <w:rPr>
                <w:sz w:val="18"/>
              </w:rPr>
              <w:t>Use as product evidence. UI may be framed/styled, but labels, states and behavior must not be invented.</w:t>
            </w:r>
          </w:p>
        </w:tc>
      </w:tr>
      <w:tr>
        <w:trPr>
          <w:cantSplit/>
        </w:trPr>
        <w:tc>
          <w:tcPr>
            <w:tcW w:type="dxa" w:w="792"/>
            <w:vAlign w:val="top"/>
            <w:tcMar>
              <w:top w:w="90" w:type="dxa"/>
              <w:start w:w="110" w:type="dxa"/>
              <w:bottom w:w="90" w:type="dxa"/>
              <w:end w:w="110" w:type="dxa"/>
            </w:tcMar>
          </w:tcPr>
          <w:p>
            <w:r>
              <w:rPr>
                <w:sz w:val="18"/>
              </w:rPr>
              <w:t>5</w:t>
            </w:r>
          </w:p>
        </w:tc>
        <w:tc>
          <w:tcPr>
            <w:tcW w:type="dxa" w:w="3528"/>
            <w:vAlign w:val="top"/>
            <w:tcMar>
              <w:top w:w="90" w:type="dxa"/>
              <w:start w:w="110" w:type="dxa"/>
              <w:bottom w:w="90" w:type="dxa"/>
              <w:end w:w="110" w:type="dxa"/>
            </w:tcMar>
          </w:tcPr>
          <w:p>
            <w:r>
              <w:rPr>
                <w:sz w:val="18"/>
              </w:rPr>
              <w:t>Current live /university-plagiarism-checker page</w:t>
            </w:r>
          </w:p>
        </w:tc>
        <w:tc>
          <w:tcPr>
            <w:tcW w:type="dxa" w:w="6120"/>
            <w:vAlign w:val="top"/>
            <w:tcMar>
              <w:top w:w="90" w:type="dxa"/>
              <w:start w:w="110" w:type="dxa"/>
              <w:bottom w:w="90" w:type="dxa"/>
              <w:end w:w="110" w:type="dxa"/>
            </w:tcMar>
          </w:tcPr>
          <w:p>
            <w:r>
              <w:rPr>
                <w:sz w:val="18"/>
              </w:rPr>
              <w:t>Legacy factual reference only. Its old section sequence, old pricing, old stats, old sales copy and punitive framing are not implementation authority.</w:t>
            </w:r>
          </w:p>
        </w:tc>
      </w:tr>
      <w:tr>
        <w:trPr>
          <w:cantSplit/>
        </w:trPr>
        <w:tc>
          <w:tcPr>
            <w:tcW w:type="dxa" w:w="792"/>
            <w:vAlign w:val="top"/>
            <w:tcMar>
              <w:top w:w="90" w:type="dxa"/>
              <w:start w:w="110" w:type="dxa"/>
              <w:bottom w:w="90" w:type="dxa"/>
              <w:end w:w="110" w:type="dxa"/>
            </w:tcMar>
          </w:tcPr>
          <w:p>
            <w:r>
              <w:rPr>
                <w:sz w:val="18"/>
              </w:rPr>
              <w:t>6</w:t>
            </w:r>
          </w:p>
        </w:tc>
        <w:tc>
          <w:tcPr>
            <w:tcW w:type="dxa" w:w="3528"/>
            <w:vAlign w:val="top"/>
            <w:tcMar>
              <w:top w:w="90" w:type="dxa"/>
              <w:start w:w="110" w:type="dxa"/>
              <w:bottom w:w="90" w:type="dxa"/>
              <w:end w:w="110" w:type="dxa"/>
            </w:tcMar>
          </w:tcPr>
          <w:p>
            <w:r>
              <w:rPr>
                <w:sz w:val="18"/>
              </w:rPr>
              <w:t>Competitor/reference pages</w:t>
            </w:r>
          </w:p>
        </w:tc>
        <w:tc>
          <w:tcPr>
            <w:tcW w:type="dxa" w:w="6120"/>
            <w:vAlign w:val="top"/>
            <w:tcMar>
              <w:top w:w="90" w:type="dxa"/>
              <w:start w:w="110" w:type="dxa"/>
              <w:bottom w:w="90" w:type="dxa"/>
              <w:end w:w="110" w:type="dxa"/>
            </w:tcMar>
          </w:tcPr>
          <w:p>
            <w:r>
              <w:rPr>
                <w:sz w:val="18"/>
              </w:rPr>
              <w:t>Research context only. Do not copy their claims, UI, integrations, certifications, workflows or wording.</w:t>
            </w:r>
          </w:p>
        </w:tc>
      </w:tr>
    </w:tbl>
    <w:p/>
    <w:p>
      <w:pPr>
        <w:pStyle w:val="Heading1"/>
        <w:keepNext/>
      </w:pPr>
      <w:r>
        <w:rPr>
          <w:i w:val="0"/>
        </w:rPr>
        <w:t>PAGE ROLE / SEARCH OWNERSHIP</w:t>
      </w:r>
    </w:p>
    <w:tbl>
      <w:tblPr>
        <w:tblStyle w:val="TableGrid"/>
        <w:tblW w:type="auto" w:w="0"/>
        <w:jc w:val="center"/>
        <w:tblLook w:firstColumn="1" w:firstRow="1" w:lastColumn="0" w:lastRow="0" w:noHBand="0" w:noVBand="1" w:val="04A0"/>
      </w:tblPr>
      <w:tblGrid>
        <w:gridCol w:w="5083"/>
        <w:gridCol w:w="5083"/>
      </w:tblGrid>
      <w:tr>
        <w:trPr>
          <w:cantSplit/>
        </w:trPr>
        <w:tc>
          <w:tcPr>
            <w:tcW w:type="dxa" w:w="2304"/>
            <w:shd w:fill="182B4D"/>
            <w:vAlign w:val="center"/>
            <w:tcMar>
              <w:top w:w="90" w:type="dxa"/>
              <w:start w:w="110" w:type="dxa"/>
              <w:bottom w:w="90" w:type="dxa"/>
              <w:end w:w="110" w:type="dxa"/>
            </w:tcMar>
          </w:tcPr>
          <w:p>
            <w:r>
              <w:rPr>
                <w:b/>
                <w:color w:val="FFFFFF"/>
                <w:sz w:val="19"/>
              </w:rPr>
              <w:t>Field</w:t>
            </w:r>
          </w:p>
        </w:tc>
        <w:tc>
          <w:tcPr>
            <w:tcW w:type="dxa" w:w="8208"/>
            <w:shd w:fill="182B4D"/>
            <w:vAlign w:val="center"/>
            <w:tcMar>
              <w:top w:w="90" w:type="dxa"/>
              <w:start w:w="110" w:type="dxa"/>
              <w:bottom w:w="90" w:type="dxa"/>
              <w:end w:w="110" w:type="dxa"/>
            </w:tcMar>
          </w:tcPr>
          <w:p>
            <w:r>
              <w:rPr>
                <w:b/>
                <w:color w:val="FFFFFF"/>
                <w:sz w:val="19"/>
              </w:rPr>
              <w:t>Approved value</w:t>
            </w:r>
          </w:p>
        </w:tc>
      </w:tr>
      <w:tr>
        <w:trPr>
          <w:cantSplit/>
        </w:trPr>
        <w:tc>
          <w:tcPr>
            <w:tcW w:type="dxa" w:w="2304"/>
            <w:vAlign w:val="top"/>
            <w:tcMar>
              <w:top w:w="90" w:type="dxa"/>
              <w:start w:w="110" w:type="dxa"/>
              <w:bottom w:w="90" w:type="dxa"/>
              <w:end w:w="110" w:type="dxa"/>
            </w:tcMar>
          </w:tcPr>
          <w:p>
            <w:r>
              <w:rPr>
                <w:sz w:val="18"/>
              </w:rPr>
              <w:t>URL</w:t>
            </w:r>
          </w:p>
        </w:tc>
        <w:tc>
          <w:tcPr>
            <w:tcW w:type="dxa" w:w="8208"/>
            <w:vAlign w:val="top"/>
            <w:tcMar>
              <w:top w:w="90" w:type="dxa"/>
              <w:start w:w="110" w:type="dxa"/>
              <w:bottom w:w="90" w:type="dxa"/>
              <w:end w:w="110" w:type="dxa"/>
            </w:tcMar>
          </w:tcPr>
          <w:p>
            <w:r>
              <w:rPr>
                <w:sz w:val="18"/>
              </w:rPr>
              <w:t>https://plagiarismsearch.com/university-plagiarism-checker</w:t>
            </w:r>
          </w:p>
        </w:tc>
      </w:tr>
      <w:tr>
        <w:trPr>
          <w:cantSplit/>
        </w:trPr>
        <w:tc>
          <w:tcPr>
            <w:tcW w:type="dxa" w:w="2304"/>
            <w:vAlign w:val="top"/>
            <w:tcMar>
              <w:top w:w="90" w:type="dxa"/>
              <w:start w:w="110" w:type="dxa"/>
              <w:bottom w:w="90" w:type="dxa"/>
              <w:end w:w="110" w:type="dxa"/>
            </w:tcMar>
          </w:tcPr>
          <w:p>
            <w:r>
              <w:rPr>
                <w:sz w:val="18"/>
              </w:rPr>
              <w:t>Archetype</w:t>
            </w:r>
          </w:p>
        </w:tc>
        <w:tc>
          <w:tcPr>
            <w:tcW w:type="dxa" w:w="8208"/>
            <w:vAlign w:val="top"/>
            <w:tcMar>
              <w:top w:w="90" w:type="dxa"/>
              <w:start w:w="110" w:type="dxa"/>
              <w:bottom w:w="90" w:type="dxa"/>
              <w:end w:w="110" w:type="dxa"/>
            </w:tcMar>
          </w:tcPr>
          <w:p>
            <w:r>
              <w:rPr>
                <w:sz w:val="18"/>
              </w:rPr>
              <w:t>AR-07 — Institutional Solution — Education &amp; Institutions — BESPOKE</w:t>
            </w:r>
          </w:p>
        </w:tc>
      </w:tr>
      <w:tr>
        <w:trPr>
          <w:cantSplit/>
        </w:trPr>
        <w:tc>
          <w:tcPr>
            <w:tcW w:type="dxa" w:w="2304"/>
            <w:vAlign w:val="top"/>
            <w:tcMar>
              <w:top w:w="90" w:type="dxa"/>
              <w:start w:w="110" w:type="dxa"/>
              <w:bottom w:w="90" w:type="dxa"/>
              <w:end w:w="110" w:type="dxa"/>
            </w:tcMar>
          </w:tcPr>
          <w:p>
            <w:r>
              <w:rPr>
                <w:sz w:val="18"/>
              </w:rPr>
              <w:t>Route decision</w:t>
            </w:r>
          </w:p>
        </w:tc>
        <w:tc>
          <w:tcPr>
            <w:tcW w:type="dxa" w:w="8208"/>
            <w:vAlign w:val="top"/>
            <w:tcMar>
              <w:top w:w="90" w:type="dxa"/>
              <w:start w:w="110" w:type="dxa"/>
              <w:bottom w:w="90" w:type="dxa"/>
              <w:end w:w="110" w:type="dxa"/>
            </w:tcMar>
          </w:tcPr>
          <w:p>
            <w:r>
              <w:rPr>
                <w:sz w:val="18"/>
              </w:rPr>
              <w:t>KEEP URL + RADICAL REDEFINE</w:t>
            </w:r>
          </w:p>
        </w:tc>
      </w:tr>
      <w:tr>
        <w:trPr>
          <w:cantSplit/>
        </w:trPr>
        <w:tc>
          <w:tcPr>
            <w:tcW w:type="dxa" w:w="2304"/>
            <w:vAlign w:val="top"/>
            <w:tcMar>
              <w:top w:w="90" w:type="dxa"/>
              <w:start w:w="110" w:type="dxa"/>
              <w:bottom w:w="90" w:type="dxa"/>
              <w:end w:w="110" w:type="dxa"/>
            </w:tcMar>
          </w:tcPr>
          <w:p>
            <w:r>
              <w:rPr>
                <w:sz w:val="18"/>
              </w:rPr>
              <w:t>Primary audience</w:t>
            </w:r>
          </w:p>
        </w:tc>
        <w:tc>
          <w:tcPr>
            <w:tcW w:type="dxa" w:w="8208"/>
            <w:vAlign w:val="top"/>
            <w:tcMar>
              <w:top w:w="90" w:type="dxa"/>
              <w:start w:w="110" w:type="dxa"/>
              <w:bottom w:w="90" w:type="dxa"/>
              <w:end w:w="110" w:type="dxa"/>
            </w:tcMar>
          </w:tcPr>
          <w:p>
            <w:r>
              <w:rPr>
                <w:sz w:val="18"/>
              </w:rPr>
              <w:t>University/institution administrators, academic-integrity stakeholders, faculty leads, procurement and technical/LMS teams.</w:t>
            </w:r>
          </w:p>
        </w:tc>
      </w:tr>
      <w:tr>
        <w:trPr>
          <w:cantSplit/>
        </w:trPr>
        <w:tc>
          <w:tcPr>
            <w:tcW w:type="dxa" w:w="2304"/>
            <w:vAlign w:val="top"/>
            <w:tcMar>
              <w:top w:w="90" w:type="dxa"/>
              <w:start w:w="110" w:type="dxa"/>
              <w:bottom w:w="90" w:type="dxa"/>
              <w:end w:w="110" w:type="dxa"/>
            </w:tcMar>
          </w:tcPr>
          <w:p>
            <w:r>
              <w:rPr>
                <w:sz w:val="18"/>
              </w:rPr>
              <w:t>Primary category</w:t>
            </w:r>
          </w:p>
        </w:tc>
        <w:tc>
          <w:tcPr>
            <w:tcW w:type="dxa" w:w="8208"/>
            <w:vAlign w:val="top"/>
            <w:tcMar>
              <w:top w:w="90" w:type="dxa"/>
              <w:start w:w="110" w:type="dxa"/>
              <w:bottom w:w="90" w:type="dxa"/>
              <w:end w:w="110" w:type="dxa"/>
            </w:tcMar>
          </w:tcPr>
          <w:p>
            <w:r>
              <w:rPr>
                <w:sz w:val="18"/>
              </w:rPr>
              <w:t>University Plagiarism Checker / plagiarism checker for universities / institutional plagiarism checker / higher-education plagiarism checking.</w:t>
            </w:r>
          </w:p>
        </w:tc>
      </w:tr>
      <w:tr>
        <w:trPr>
          <w:cantSplit/>
        </w:trPr>
        <w:tc>
          <w:tcPr>
            <w:tcW w:type="dxa" w:w="2304"/>
            <w:vAlign w:val="top"/>
            <w:tcMar>
              <w:top w:w="90" w:type="dxa"/>
              <w:start w:w="110" w:type="dxa"/>
              <w:bottom w:w="90" w:type="dxa"/>
              <w:end w:w="110" w:type="dxa"/>
            </w:tcMar>
          </w:tcPr>
          <w:p>
            <w:r>
              <w:rPr>
                <w:sz w:val="18"/>
              </w:rPr>
              <w:t>Individual student intent</w:t>
            </w:r>
          </w:p>
        </w:tc>
        <w:tc>
          <w:tcPr>
            <w:tcW w:type="dxa" w:w="8208"/>
            <w:vAlign w:val="top"/>
            <w:tcMar>
              <w:top w:w="90" w:type="dxa"/>
              <w:start w:w="110" w:type="dxa"/>
              <w:bottom w:w="90" w:type="dxa"/>
              <w:end w:w="110" w:type="dxa"/>
            </w:tcMar>
          </w:tcPr>
          <w:p>
            <w:r>
              <w:rPr>
                <w:sz w:val="18"/>
              </w:rPr>
              <w:t>Not owned here. /plagiarism-checker-for-students remains the individual/student route.</w:t>
            </w:r>
          </w:p>
        </w:tc>
      </w:tr>
      <w:tr>
        <w:trPr>
          <w:cantSplit/>
        </w:trPr>
        <w:tc>
          <w:tcPr>
            <w:tcW w:type="dxa" w:w="2304"/>
            <w:vAlign w:val="top"/>
            <w:tcMar>
              <w:top w:w="90" w:type="dxa"/>
              <w:start w:w="110" w:type="dxa"/>
              <w:bottom w:w="90" w:type="dxa"/>
              <w:end w:w="110" w:type="dxa"/>
            </w:tcMar>
          </w:tcPr>
          <w:p>
            <w:r>
              <w:rPr>
                <w:sz w:val="18"/>
              </w:rPr>
              <w:t>Commercial conversion</w:t>
            </w:r>
          </w:p>
        </w:tc>
        <w:tc>
          <w:tcPr>
            <w:tcW w:type="dxa" w:w="8208"/>
            <w:vAlign w:val="top"/>
            <w:tcMar>
              <w:top w:w="90" w:type="dxa"/>
              <w:start w:w="110" w:type="dxa"/>
              <w:bottom w:w="90" w:type="dxa"/>
              <w:end w:w="110" w:type="dxa"/>
            </w:tcMar>
          </w:tcPr>
          <w:p>
            <w:r>
              <w:rPr>
                <w:sz w:val="18"/>
              </w:rPr>
              <w:t>Institutional inquiry / pricing discussion, not a consumer Buy Now funnel.</w:t>
            </w:r>
          </w:p>
        </w:tc>
      </w:tr>
    </w:tbl>
    <w:p/>
    <w:p>
      <w:pPr>
        <w:pStyle w:val="ListBullet"/>
      </w:pPr>
      <w:r>
        <w:rPr>
          <w:i w:val="0"/>
        </w:rPr>
        <w:t>This page must be unmistakably institutional. Do not make it a generic plagiarism checker page with the word “university” swapped into the headline.</w:t>
      </w:r>
    </w:p>
    <w:p>
      <w:pPr>
        <w:pStyle w:val="ListBullet"/>
      </w:pPr>
      <w:r>
        <w:rPr>
          <w:i w:val="0"/>
        </w:rPr>
        <w:t>Do not change the existing slug from this task. Any future slug decision requires separate query/URL migration evidence.</w:t>
      </w:r>
    </w:p>
    <w:p>
      <w:pPr>
        <w:pStyle w:val="ListBullet"/>
      </w:pPr>
      <w:r>
        <w:rPr>
          <w:i w:val="0"/>
        </w:rPr>
        <w:t>The page should support procurement evaluation and product understanding without becoming a Moodle setup manual, API documentation page or student checker page.</w:t>
      </w:r>
    </w:p>
    <w:p>
      <w:pPr>
        <w:pStyle w:val="Heading1"/>
        <w:keepNext/>
      </w:pPr>
      <w:r>
        <w:rPr>
          <w:i w:val="0"/>
        </w:rPr>
        <w:t>NO PAGE MOCK — DESIGN-SYSTEM RULE</w:t>
      </w:r>
    </w:p>
    <w:p>
      <w:pPr/>
      <w:r>
        <w:rPr>
          <w:i w:val="0"/>
        </w:rPr>
        <w:t>There is no approved page-specific designer mock for this URL. Do not invent a parallel visual language. Build the page inside the already approved PlagiarismSearch redesign system and reuse existing shared patterns wherever they fit. New section treatments are allowed only where this institutional story needs a missing reusable primitive.</w:t>
      </w:r>
    </w:p>
    <w:p>
      <w:pPr>
        <w:pStyle w:val="ListBullet"/>
      </w:pPr>
      <w:r>
        <w:rPr>
          <w:i w:val="0"/>
        </w:rPr>
        <w:t>Reuse approved global header/footer and navigation behavior.</w:t>
      </w:r>
    </w:p>
    <w:p>
      <w:pPr>
        <w:pStyle w:val="ListBullet"/>
      </w:pPr>
      <w:r>
        <w:rPr>
          <w:i w:val="0"/>
        </w:rPr>
        <w:t>Reuse the approved real-report product-evidence system rather than creating a new university-specific fake report.</w:t>
      </w:r>
    </w:p>
    <w:p>
      <w:pPr>
        <w:pStyle w:val="ListBullet"/>
      </w:pPr>
      <w:r>
        <w:rPr>
          <w:i w:val="0"/>
        </w:rPr>
        <w:t>Reuse shared FAQ and form-system behavior where applicable.</w:t>
      </w:r>
    </w:p>
    <w:p>
      <w:pPr>
        <w:pStyle w:val="ListBullet"/>
      </w:pPr>
      <w:r>
        <w:rPr>
          <w:i w:val="0"/>
        </w:rPr>
        <w:t>Do not force every section into the same card grid. Choose the composition that best expresses the approved content while staying inside the established system.</w:t>
      </w:r>
    </w:p>
    <w:p>
      <w:pPr>
        <w:pStyle w:val="ListBullet"/>
      </w:pPr>
      <w:r>
        <w:rPr>
          <w:i w:val="0"/>
        </w:rPr>
        <w:t>This page is the first Solution-family master. Any new pattern should be designed with future Business &amp; Teams reuse in mind, but Education content and workflow remain specific.</w:t>
      </w:r>
    </w:p>
    <w:p>
      <w:pPr>
        <w:pStyle w:val="Heading1"/>
        <w:keepNext/>
      </w:pPr>
      <w:r>
        <w:rPr>
          <w:i w:val="0"/>
        </w:rPr>
        <w:t>ASSETS REQUIRED</w:t>
      </w:r>
    </w:p>
    <w:tbl>
      <w:tblPr>
        <w:tblStyle w:val="TableGrid"/>
        <w:tblW w:type="auto" w:w="0"/>
        <w:jc w:val="center"/>
        <w:tblLook w:firstColumn="1" w:firstRow="1" w:lastColumn="0" w:lastRow="0" w:noHBand="0" w:noVBand="1" w:val="04A0"/>
      </w:tblPr>
      <w:tblGrid>
        <w:gridCol w:w="5083"/>
        <w:gridCol w:w="5083"/>
      </w:tblGrid>
      <w:tr>
        <w:trPr>
          <w:cantSplit/>
        </w:trPr>
        <w:tc>
          <w:tcPr>
            <w:tcW w:type="dxa" w:w="3240"/>
            <w:shd w:fill="182B4D"/>
            <w:vAlign w:val="center"/>
            <w:tcMar>
              <w:top w:w="90" w:type="dxa"/>
              <w:start w:w="110" w:type="dxa"/>
              <w:bottom w:w="90" w:type="dxa"/>
              <w:end w:w="110" w:type="dxa"/>
            </w:tcMar>
          </w:tcPr>
          <w:p>
            <w:r>
              <w:rPr>
                <w:b/>
                <w:color w:val="FFFFFF"/>
                <w:sz w:val="19"/>
              </w:rPr>
              <w:t>Asset / source</w:t>
            </w:r>
          </w:p>
        </w:tc>
        <w:tc>
          <w:tcPr>
            <w:tcW w:type="dxa" w:w="7272"/>
            <w:shd w:fill="182B4D"/>
            <w:vAlign w:val="center"/>
            <w:tcMar>
              <w:top w:w="90" w:type="dxa"/>
              <w:start w:w="110" w:type="dxa"/>
              <w:bottom w:w="90" w:type="dxa"/>
              <w:end w:w="110" w:type="dxa"/>
            </w:tcMar>
          </w:tcPr>
          <w:p>
            <w:r>
              <w:rPr>
                <w:b/>
                <w:color w:val="FFFFFF"/>
                <w:sz w:val="19"/>
              </w:rPr>
              <w:t>Implementation rule</w:t>
            </w:r>
          </w:p>
        </w:tc>
      </w:tr>
      <w:tr>
        <w:trPr>
          <w:cantSplit/>
        </w:trPr>
        <w:tc>
          <w:tcPr>
            <w:tcW w:type="dxa" w:w="3240"/>
            <w:vAlign w:val="top"/>
            <w:tcMar>
              <w:top w:w="90" w:type="dxa"/>
              <w:start w:w="110" w:type="dxa"/>
              <w:bottom w:w="90" w:type="dxa"/>
              <w:end w:w="110" w:type="dxa"/>
            </w:tcMar>
          </w:tcPr>
          <w:p>
            <w:r>
              <w:rPr>
                <w:sz w:val="18"/>
              </w:rPr>
              <w:t>Approved global header/footer</w:t>
            </w:r>
          </w:p>
        </w:tc>
        <w:tc>
          <w:tcPr>
            <w:tcW w:type="dxa" w:w="7272"/>
            <w:vAlign w:val="top"/>
            <w:tcMar>
              <w:top w:w="90" w:type="dxa"/>
              <w:start w:w="110" w:type="dxa"/>
              <w:bottom w:w="90" w:type="dxa"/>
              <w:end w:w="110" w:type="dxa"/>
            </w:tcMar>
          </w:tcPr>
          <w:p>
            <w:r>
              <w:rPr>
                <w:sz w:val="18"/>
              </w:rPr>
              <w:t>Reuse the current redesign system. Out of scope to redesign here.</w:t>
            </w:r>
          </w:p>
        </w:tc>
      </w:tr>
      <w:tr>
        <w:trPr>
          <w:cantSplit/>
        </w:trPr>
        <w:tc>
          <w:tcPr>
            <w:tcW w:type="dxa" w:w="3240"/>
            <w:vAlign w:val="top"/>
            <w:tcMar>
              <w:top w:w="90" w:type="dxa"/>
              <w:start w:w="110" w:type="dxa"/>
              <w:bottom w:w="90" w:type="dxa"/>
              <w:end w:w="110" w:type="dxa"/>
            </w:tcMar>
          </w:tcPr>
          <w:p>
            <w:r>
              <w:rPr>
                <w:sz w:val="18"/>
              </w:rPr>
              <w:t>Approved real plagiarism report component/state</w:t>
            </w:r>
          </w:p>
        </w:tc>
        <w:tc>
          <w:tcPr>
            <w:tcW w:type="dxa" w:w="7272"/>
            <w:vAlign w:val="top"/>
            <w:tcMar>
              <w:top w:w="90" w:type="dxa"/>
              <w:start w:w="110" w:type="dxa"/>
              <w:bottom w:w="90" w:type="dxa"/>
              <w:end w:w="110" w:type="dxa"/>
            </w:tcMar>
          </w:tcPr>
          <w:p>
            <w:r>
              <w:rPr>
                <w:sz w:val="18"/>
              </w:rPr>
              <w:t>Required for the faculty-evidence section. Use real match/source interaction. Do not fabricate a “university” report.</w:t>
            </w:r>
          </w:p>
        </w:tc>
      </w:tr>
      <w:tr>
        <w:trPr>
          <w:cantSplit/>
        </w:trPr>
        <w:tc>
          <w:tcPr>
            <w:tcW w:type="dxa" w:w="3240"/>
            <w:vAlign w:val="top"/>
            <w:tcMar>
              <w:top w:w="90" w:type="dxa"/>
              <w:start w:w="110" w:type="dxa"/>
              <w:bottom w:w="90" w:type="dxa"/>
              <w:end w:w="110" w:type="dxa"/>
            </w:tcMar>
          </w:tcPr>
          <w:p>
            <w:r>
              <w:rPr>
                <w:sz w:val="18"/>
              </w:rPr>
              <w:t>Organization Management UI/screenshots, if available</w:t>
            </w:r>
          </w:p>
        </w:tc>
        <w:tc>
          <w:tcPr>
            <w:tcW w:type="dxa" w:w="7272"/>
            <w:vAlign w:val="top"/>
            <w:tcMar>
              <w:top w:w="90" w:type="dxa"/>
              <w:start w:w="110" w:type="dxa"/>
              <w:bottom w:w="90" w:type="dxa"/>
              <w:end w:w="110" w:type="dxa"/>
            </w:tcMar>
          </w:tcPr>
          <w:p>
            <w:r>
              <w:rPr>
                <w:sz w:val="18"/>
              </w:rPr>
              <w:t>Preferred actual product evidence for members/permissions/balance/Storage. If a suitable real screenshot is not available, use a non-UI explanatory composition; do not invent a dashboard.</w:t>
            </w:r>
          </w:p>
        </w:tc>
      </w:tr>
      <w:tr>
        <w:trPr>
          <w:cantSplit/>
        </w:trPr>
        <w:tc>
          <w:tcPr>
            <w:tcW w:type="dxa" w:w="3240"/>
            <w:vAlign w:val="top"/>
            <w:tcMar>
              <w:top w:w="90" w:type="dxa"/>
              <w:start w:w="110" w:type="dxa"/>
              <w:bottom w:w="90" w:type="dxa"/>
              <w:end w:w="110" w:type="dxa"/>
            </w:tcMar>
          </w:tcPr>
          <w:p>
            <w:r>
              <w:rPr>
                <w:sz w:val="18"/>
              </w:rPr>
              <w:t>Current Moodle screenshots/states, if available</w:t>
            </w:r>
          </w:p>
        </w:tc>
        <w:tc>
          <w:tcPr>
            <w:tcW w:type="dxa" w:w="7272"/>
            <w:vAlign w:val="top"/>
            <w:tcMar>
              <w:top w:w="90" w:type="dxa"/>
              <w:start w:w="110" w:type="dxa"/>
              <w:bottom w:w="90" w:type="dxa"/>
              <w:end w:w="110" w:type="dxa"/>
            </w:tcMar>
          </w:tcPr>
          <w:p>
            <w:r>
              <w:rPr>
                <w:sz w:val="18"/>
              </w:rPr>
              <w:t>Preferred for the Moodle section. Use real settings/workflow visuals only. Do not invent LMS controls, course screens or integration states.</w:t>
            </w:r>
          </w:p>
        </w:tc>
      </w:tr>
      <w:tr>
        <w:trPr>
          <w:cantSplit/>
        </w:trPr>
        <w:tc>
          <w:tcPr>
            <w:tcW w:type="dxa" w:w="3240"/>
            <w:vAlign w:val="top"/>
            <w:tcMar>
              <w:top w:w="90" w:type="dxa"/>
              <w:start w:w="110" w:type="dxa"/>
              <w:bottom w:w="90" w:type="dxa"/>
              <w:end w:w="110" w:type="dxa"/>
            </w:tcMar>
          </w:tcPr>
          <w:p>
            <w:r>
              <w:rPr>
                <w:sz w:val="18"/>
              </w:rPr>
              <w:t>Approved inquiry/contact form system</w:t>
            </w:r>
          </w:p>
        </w:tc>
        <w:tc>
          <w:tcPr>
            <w:tcW w:type="dxa" w:w="7272"/>
            <w:vAlign w:val="top"/>
            <w:tcMar>
              <w:top w:w="90" w:type="dxa"/>
              <w:start w:w="110" w:type="dxa"/>
              <w:bottom w:w="90" w:type="dxa"/>
              <w:end w:w="110" w:type="dxa"/>
            </w:tcMar>
          </w:tcPr>
          <w:p>
            <w:r>
              <w:rPr>
                <w:sz w:val="18"/>
              </w:rPr>
              <w:t>Reuse backend validation, consent and submission behavior. Apply the exact institutional fields and copy in this brief.</w:t>
            </w:r>
          </w:p>
        </w:tc>
      </w:tr>
    </w:tbl>
    <w:p/>
    <w:tbl>
      <w:tblPr>
        <w:tblW w:type="auto" w:w="0"/>
        <w:jc w:val="center"/>
        <w:tblLook w:firstColumn="1" w:firstRow="1" w:lastColumn="0" w:lastRow="0" w:noHBand="0" w:noVBand="1" w:val="04A0"/>
      </w:tblPr>
      <w:tblGrid>
        <w:gridCol w:w="10166"/>
      </w:tblGrid>
      <w:tr>
        <w:trPr>
          <w:cantSplit/>
        </w:trPr>
        <w:tc>
          <w:tcPr>
            <w:tcW w:type="dxa" w:w="10166"/>
            <w:shd w:fill="FFF8E1"/>
            <w:tcMar>
              <w:top w:w="150" w:type="dxa"/>
              <w:start w:w="180" w:type="dxa"/>
              <w:bottom w:w="150" w:type="dxa"/>
              <w:end w:w="180" w:type="dxa"/>
            </w:tcMar>
          </w:tcPr>
          <w:p>
            <w:pPr/>
            <w:r>
              <w:rPr>
                <w:b/>
                <w:color w:val="182B4D"/>
                <w:sz w:val="20"/>
              </w:rPr>
              <w:t>ASSET GATE</w:t>
              <w:br/>
            </w:r>
            <w:r>
              <w:rPr>
                <w:sz w:val="21"/>
              </w:rPr>
              <w:t>Actual product evidence is preferred. If Organization Management or Moodle screenshots are unavailable, do not create fictional product UI. Use neutral diagrams, structured copy, icons or abstract workflow visuals until real assets are supplied.</w:t>
            </w:r>
          </w:p>
        </w:tc>
      </w:tr>
    </w:tbl>
    <w:p/>
    <w:p>
      <w:pPr>
        <w:pStyle w:val="Heading1"/>
        <w:keepNext/>
      </w:pPr>
      <w:r>
        <w:rPr>
          <w:i w:val="0"/>
        </w:rPr>
        <w:t>REUSE — CANONICAL VISUAL SOURCES</w:t>
      </w:r>
    </w:p>
    <w:tbl>
      <w:tblPr>
        <w:tblStyle w:val="TableGrid"/>
        <w:tblW w:type="auto" w:w="0"/>
        <w:jc w:val="center"/>
        <w:tblLook w:firstColumn="1" w:firstRow="1" w:lastColumn="0" w:lastRow="0" w:noHBand="0" w:noVBand="1" w:val="04A0"/>
      </w:tblPr>
      <w:tblGrid>
        <w:gridCol w:w="5083"/>
        <w:gridCol w:w="5083"/>
      </w:tblGrid>
      <w:tr>
        <w:trPr>
          <w:cantSplit/>
        </w:trPr>
        <w:tc>
          <w:tcPr>
            <w:tcW w:type="dxa" w:w="3024"/>
            <w:shd w:fill="182B4D"/>
            <w:vAlign w:val="center"/>
            <w:tcMar>
              <w:top w:w="90" w:type="dxa"/>
              <w:start w:w="110" w:type="dxa"/>
              <w:bottom w:w="90" w:type="dxa"/>
              <w:end w:w="110" w:type="dxa"/>
            </w:tcMar>
          </w:tcPr>
          <w:p>
            <w:r>
              <w:rPr>
                <w:b/>
                <w:color w:val="FFFFFF"/>
                <w:sz w:val="19"/>
              </w:rPr>
              <w:t>Block</w:t>
            </w:r>
          </w:p>
        </w:tc>
        <w:tc>
          <w:tcPr>
            <w:tcW w:type="dxa" w:w="7488"/>
            <w:shd w:fill="182B4D"/>
            <w:vAlign w:val="center"/>
            <w:tcMar>
              <w:top w:w="90" w:type="dxa"/>
              <w:start w:w="110" w:type="dxa"/>
              <w:bottom w:w="90" w:type="dxa"/>
              <w:end w:w="110" w:type="dxa"/>
            </w:tcMar>
          </w:tcPr>
          <w:p>
            <w:r>
              <w:rPr>
                <w:b/>
                <w:color w:val="FFFFFF"/>
                <w:sz w:val="19"/>
              </w:rPr>
              <w:t>Canonical reuse rule</w:t>
            </w:r>
          </w:p>
        </w:tc>
      </w:tr>
      <w:tr>
        <w:trPr>
          <w:cantSplit/>
        </w:trPr>
        <w:tc>
          <w:tcPr>
            <w:tcW w:type="dxa" w:w="3024"/>
            <w:vAlign w:val="top"/>
            <w:tcMar>
              <w:top w:w="90" w:type="dxa"/>
              <w:start w:w="110" w:type="dxa"/>
              <w:bottom w:w="90" w:type="dxa"/>
              <w:end w:w="110" w:type="dxa"/>
            </w:tcMar>
          </w:tcPr>
          <w:p>
            <w:r>
              <w:rPr>
                <w:sz w:val="18"/>
              </w:rPr>
              <w:t>Global header/footer</w:t>
            </w:r>
          </w:p>
        </w:tc>
        <w:tc>
          <w:tcPr>
            <w:tcW w:type="dxa" w:w="7488"/>
            <w:vAlign w:val="top"/>
            <w:tcMar>
              <w:top w:w="90" w:type="dxa"/>
              <w:start w:w="110" w:type="dxa"/>
              <w:bottom w:w="90" w:type="dxa"/>
              <w:end w:w="110" w:type="dxa"/>
            </w:tcMar>
          </w:tcPr>
          <w:p>
            <w:r>
              <w:rPr>
                <w:sz w:val="18"/>
              </w:rPr>
              <w:t>Approved homepage/global redesign system.</w:t>
            </w:r>
          </w:p>
        </w:tc>
      </w:tr>
      <w:tr>
        <w:trPr>
          <w:cantSplit/>
        </w:trPr>
        <w:tc>
          <w:tcPr>
            <w:tcW w:type="dxa" w:w="3024"/>
            <w:vAlign w:val="top"/>
            <w:tcMar>
              <w:top w:w="90" w:type="dxa"/>
              <w:start w:w="110" w:type="dxa"/>
              <w:bottom w:w="90" w:type="dxa"/>
              <w:end w:w="110" w:type="dxa"/>
            </w:tcMar>
          </w:tcPr>
          <w:p>
            <w:r>
              <w:rPr>
                <w:sz w:val="18"/>
              </w:rPr>
              <w:t>Real plagiarism report</w:t>
            </w:r>
          </w:p>
        </w:tc>
        <w:tc>
          <w:tcPr>
            <w:tcW w:type="dxa" w:w="7488"/>
            <w:vAlign w:val="top"/>
            <w:tcMar>
              <w:top w:w="90" w:type="dxa"/>
              <w:start w:w="110" w:type="dxa"/>
              <w:bottom w:w="90" w:type="dxa"/>
              <w:end w:w="110" w:type="dxa"/>
            </w:tcMar>
          </w:tcPr>
          <w:p>
            <w:r>
              <w:rPr>
                <w:sz w:val="18"/>
              </w:rPr>
              <w:t>Reuse the approved report behavior/component from the homepage; adapt framing to institutional context, not the report semantics.</w:t>
            </w:r>
          </w:p>
        </w:tc>
      </w:tr>
      <w:tr>
        <w:trPr>
          <w:cantSplit/>
        </w:trPr>
        <w:tc>
          <w:tcPr>
            <w:tcW w:type="dxa" w:w="3024"/>
            <w:vAlign w:val="top"/>
            <w:tcMar>
              <w:top w:w="90" w:type="dxa"/>
              <w:start w:w="110" w:type="dxa"/>
              <w:bottom w:w="90" w:type="dxa"/>
              <w:end w:w="110" w:type="dxa"/>
            </w:tcMar>
          </w:tcPr>
          <w:p>
            <w:r>
              <w:rPr>
                <w:sz w:val="18"/>
              </w:rPr>
              <w:t>Privacy/data-handling treatment</w:t>
            </w:r>
          </w:p>
        </w:tc>
        <w:tc>
          <w:tcPr>
            <w:tcW w:type="dxa" w:w="7488"/>
            <w:vAlign w:val="top"/>
            <w:tcMar>
              <w:top w:w="90" w:type="dxa"/>
              <w:start w:w="110" w:type="dxa"/>
              <w:bottom w:w="90" w:type="dxa"/>
              <w:end w:w="110" w:type="dxa"/>
            </w:tcMar>
          </w:tcPr>
          <w:p>
            <w:r>
              <w:rPr>
                <w:sz w:val="18"/>
              </w:rPr>
              <w:t>May reuse the established lifecycle/callout language of the redesign system, but content on this page must follow the exact institutional Storage semantics below.</w:t>
            </w:r>
          </w:p>
        </w:tc>
      </w:tr>
      <w:tr>
        <w:trPr>
          <w:cantSplit/>
        </w:trPr>
        <w:tc>
          <w:tcPr>
            <w:tcW w:type="dxa" w:w="3024"/>
            <w:vAlign w:val="top"/>
            <w:tcMar>
              <w:top w:w="90" w:type="dxa"/>
              <w:start w:w="110" w:type="dxa"/>
              <w:bottom w:w="90" w:type="dxa"/>
              <w:end w:w="110" w:type="dxa"/>
            </w:tcMar>
          </w:tcPr>
          <w:p>
            <w:r>
              <w:rPr>
                <w:sz w:val="18"/>
              </w:rPr>
              <w:t>FAQ</w:t>
            </w:r>
          </w:p>
        </w:tc>
        <w:tc>
          <w:tcPr>
            <w:tcW w:type="dxa" w:w="7488"/>
            <w:vAlign w:val="top"/>
            <w:tcMar>
              <w:top w:w="90" w:type="dxa"/>
              <w:start w:w="110" w:type="dxa"/>
              <w:bottom w:w="90" w:type="dxa"/>
              <w:end w:w="110" w:type="dxa"/>
            </w:tcMar>
          </w:tcPr>
          <w:p>
            <w:r>
              <w:rPr>
                <w:sz w:val="18"/>
              </w:rPr>
              <w:t>Reuse the approved accessible accordion system. Exact Q&amp;A below.</w:t>
            </w:r>
          </w:p>
        </w:tc>
      </w:tr>
      <w:tr>
        <w:trPr>
          <w:cantSplit/>
        </w:trPr>
        <w:tc>
          <w:tcPr>
            <w:tcW w:type="dxa" w:w="3024"/>
            <w:vAlign w:val="top"/>
            <w:tcMar>
              <w:top w:w="90" w:type="dxa"/>
              <w:start w:w="110" w:type="dxa"/>
              <w:bottom w:w="90" w:type="dxa"/>
              <w:end w:w="110" w:type="dxa"/>
            </w:tcMar>
          </w:tcPr>
          <w:p>
            <w:r>
              <w:rPr>
                <w:sz w:val="18"/>
              </w:rPr>
              <w:t>Inquiry form</w:t>
            </w:r>
          </w:p>
        </w:tc>
        <w:tc>
          <w:tcPr>
            <w:tcW w:type="dxa" w:w="7488"/>
            <w:vAlign w:val="top"/>
            <w:tcMar>
              <w:top w:w="90" w:type="dxa"/>
              <w:start w:w="110" w:type="dxa"/>
              <w:bottom w:w="90" w:type="dxa"/>
              <w:end w:w="110" w:type="dxa"/>
            </w:tcMar>
          </w:tcPr>
          <w:p>
            <w:r>
              <w:rPr>
                <w:sz w:val="18"/>
              </w:rPr>
              <w:t>Reuse shared form styling/interaction from the redesign system or API solution work; fields/copy are page-specific and fixed below.</w:t>
            </w:r>
          </w:p>
        </w:tc>
      </w:tr>
      <w:tr>
        <w:trPr>
          <w:cantSplit/>
        </w:trPr>
        <w:tc>
          <w:tcPr>
            <w:tcW w:type="dxa" w:w="3024"/>
            <w:vAlign w:val="top"/>
            <w:tcMar>
              <w:top w:w="90" w:type="dxa"/>
              <w:start w:w="110" w:type="dxa"/>
              <w:bottom w:w="90" w:type="dxa"/>
              <w:end w:w="110" w:type="dxa"/>
            </w:tcMar>
          </w:tcPr>
          <w:p>
            <w:r>
              <w:rPr>
                <w:sz w:val="18"/>
              </w:rPr>
              <w:t>Product proof / metrics</w:t>
            </w:r>
          </w:p>
        </w:tc>
        <w:tc>
          <w:tcPr>
            <w:tcW w:type="dxa" w:w="7488"/>
            <w:vAlign w:val="top"/>
            <w:tcMar>
              <w:top w:w="90" w:type="dxa"/>
              <w:start w:w="110" w:type="dxa"/>
              <w:bottom w:w="90" w:type="dxa"/>
              <w:end w:w="110" w:type="dxa"/>
            </w:tcMar>
          </w:tcPr>
          <w:p>
            <w:r>
              <w:rPr>
                <w:sz w:val="18"/>
              </w:rPr>
              <w:t>Use only approved facts. 500M+ academic texts is allowed. 500,000+ users is not required and must not imply institutional adoption.</w:t>
            </w:r>
          </w:p>
        </w:tc>
      </w:tr>
    </w:tbl>
    <w:p/>
    <w:p>
      <w:pPr>
        <w:pStyle w:val="Heading1"/>
        <w:keepNext/>
      </w:pPr>
      <w:r>
        <w:rPr>
          <w:i w:val="0"/>
        </w:rPr>
        <w:t>LABELS / COPY REPETITION</w:t>
      </w:r>
    </w:p>
    <w:p>
      <w:pPr/>
      <w:r>
        <w:rPr>
          <w:i w:val="0"/>
        </w:rPr>
        <w:t>Visible structural labels are controlled. Claude may not create new visible eyebrows, badges, plan names, metric labels, card subtitles, CTA labels, trust claims, role labels, integration claims or sales phrases unless this brief explicitly provides them.</w:t>
      </w:r>
    </w:p>
    <w:p>
      <w:pPr>
        <w:pStyle w:val="ListBullet"/>
      </w:pPr>
      <w:r>
        <w:rPr>
          <w:i w:val="0"/>
        </w:rPr>
        <w:t>Approved CTA labels may repeat only where this baseline explicitly repeats them.</w:t>
      </w:r>
    </w:p>
    <w:p>
      <w:pPr>
        <w:pStyle w:val="ListBullet"/>
      </w:pPr>
      <w:r>
        <w:rPr>
          <w:i w:val="0"/>
        </w:rPr>
        <w:t>Use “Organization Storage” consistently for the institutional repository feature. Do not silently rename it “student repository,” “shared student database,” “institution database,” or “global repository.”</w:t>
      </w:r>
    </w:p>
    <w:p>
      <w:pPr>
        <w:pStyle w:val="ListBullet"/>
      </w:pPr>
      <w:r>
        <w:rPr>
          <w:i w:val="0"/>
        </w:rPr>
        <w:t>Use “Moodle” only for the confirmed Moodle workflow. Do not add Canvas, Blackboard, Brightspace, Google Classroom or other LMS logos/claims from this page.</w:t>
      </w:r>
    </w:p>
    <w:p>
      <w:pPr>
        <w:pStyle w:val="ListBullet"/>
      </w:pPr>
      <w:r>
        <w:rPr>
          <w:i w:val="0"/>
        </w:rPr>
        <w:t>Utility/accessibility-only labels may be written as needed (for example standard form validation accessibility labels), but they must not add product or marketing claims.</w:t>
      </w:r>
    </w:p>
    <w:p>
      <w:pPr>
        <w:pStyle w:val="Heading1"/>
        <w:keepNext/>
      </w:pPr>
      <w:r>
        <w:rPr>
          <w:i w:val="0"/>
        </w:rPr>
        <w:t>YOUR DESIGN FREEDOM</w:t>
      </w:r>
    </w:p>
    <w:p>
      <w:pPr/>
      <w:r>
        <w:rPr>
          <w:i w:val="0"/>
        </w:rPr>
        <w:t>Within the established PlagiarismSearch design system, you own visual composition inside each approved semantic section: grid, spacing, typography within the system, responsive stacking, icons, illustrations, subtle motion, transitions, disclosure behavior, real-product screenshot framing and the balance of text versus product evidence.</w:t>
      </w:r>
    </w:p>
    <w:p>
      <w:pPr/>
      <w:r>
        <w:rPr>
          <w:i w:val="0"/>
        </w:rPr>
        <w:t>You do not own the page story, content, claims, URLs, section order, product semantics, form field meaning, institutional roles, Storage logic, deployment paths or the decision to add new features/integrations.</w:t>
      </w:r>
    </w:p>
    <w:p>
      <w:pPr>
        <w:pStyle w:val="Heading1"/>
        <w:keepNext/>
      </w:pPr>
      <w:r>
        <w:rPr>
          <w:i w:val="0"/>
        </w:rPr>
        <w:t>LEGACY PAGE — KEEP FACTS, NOT STRUCTURE</w:t>
      </w:r>
    </w:p>
    <w:p>
      <w:pPr/>
      <w:r>
        <w:rPr>
          <w:i w:val="0"/>
        </w:rPr>
        <w:t>The live page is not a layout/content template. The redesign intentionally retires the legacy sequence and its punitive/dated positioning. Do not carry old sections over simply because they exist today.</w:t>
      </w:r>
    </w:p>
    <w:p>
      <w:pPr>
        <w:pStyle w:val="ListBullet"/>
      </w:pPr>
      <w:r>
        <w:rPr>
          <w:i w:val="0"/>
        </w:rPr>
        <w:t>KEEP as factual inputs only: University category ownership; web + academic source checking; 500M+ academic texts; citation/reference exclusions; Moodle; Organization Storage concept; institutional inquiry intent.</w:t>
      </w:r>
    </w:p>
    <w:p>
      <w:pPr>
        <w:pStyle w:val="ListBullet"/>
      </w:pPr>
      <w:r>
        <w:rPr>
          <w:i w:val="0"/>
        </w:rPr>
        <w:t>REMOVE: “students cheat” framing; “stop cheating”; “most accurate”; “What’s new?”; roadmap/future-cooperation text; legacy institutional price; generic teacher-benefit cards; old trial language; generic reviews as institutional proof.</w:t>
      </w:r>
    </w:p>
    <w:p>
      <w:pPr>
        <w:pStyle w:val="ListBullet"/>
      </w:pPr>
      <w:r>
        <w:rPr>
          <w:i w:val="0"/>
        </w:rPr>
        <w:t>REMOVE or correct legacy metrics: 500,000 Clients; 76.8% Returning Customers; 1000+ Scholarly Journals. Do not reuse without separate validation.</w:t>
      </w:r>
    </w:p>
    <w:p>
      <w:pPr>
        <w:pStyle w:val="ListBullet"/>
      </w:pPr>
      <w:r>
        <w:rPr>
          <w:i w:val="0"/>
        </w:rPr>
        <w:t>Do not treat API/Moodle as new developments.</w:t>
      </w:r>
    </w:p>
    <w:p>
      <w:pPr>
        <w:pStyle w:val="Heading1"/>
        <w:keepNext/>
      </w:pPr>
      <w:r>
        <w:rPr>
          <w:i w:val="0"/>
        </w:rPr>
        <w:t>NON-NEGOTIABLE PAGE STORY</w:t>
      </w:r>
    </w:p>
    <w:p>
      <w:pPr>
        <w:pStyle w:val="ListNumber"/>
      </w:pPr>
      <w:r>
        <w:rPr>
          <w:i w:val="0"/>
        </w:rPr>
        <w:t>Establish the page as the institutional University Plagiarism Checker solution and route the main commercial action to institutional pricing/inquiry.</w:t>
      </w:r>
    </w:p>
    <w:p>
      <w:pPr>
        <w:pStyle w:val="ListNumber"/>
      </w:pPr>
      <w:r>
        <w:rPr>
          <w:i w:val="0"/>
        </w:rPr>
        <w:t>Show real report evidence early so the buyer understands what educators actually review.</w:t>
      </w:r>
    </w:p>
    <w:p>
      <w:pPr>
        <w:pStyle w:val="ListNumber"/>
      </w:pPr>
      <w:r>
        <w:rPr>
          <w:i w:val="0"/>
        </w:rPr>
        <w:t>Explain how administrators manage people, permissions, plagiarism balance, AI balance and Organization Storage access.</w:t>
      </w:r>
    </w:p>
    <w:p>
      <w:pPr>
        <w:pStyle w:val="ListNumber"/>
      </w:pPr>
      <w:r>
        <w:rPr>
          <w:i w:val="0"/>
        </w:rPr>
        <w:t>Explain external source coverage and institution-controlled Storage without implying automatic repository ingestion.</w:t>
      </w:r>
    </w:p>
    <w:p>
      <w:pPr>
        <w:pStyle w:val="ListNumber"/>
      </w:pPr>
      <w:r>
        <w:rPr>
          <w:i w:val="0"/>
        </w:rPr>
        <w:t>Present three deployment paths: Organization workspace, Moodle and API.</w:t>
      </w:r>
    </w:p>
    <w:p>
      <w:pPr>
        <w:pStyle w:val="ListNumber"/>
      </w:pPr>
      <w:r>
        <w:rPr>
          <w:i w:val="0"/>
        </w:rPr>
        <w:t>Give Moodle meaningful depth using confirmed workflow controls, without pretending PlagiarismSearch itself is an LMS.</w:t>
      </w:r>
    </w:p>
    <w:p>
      <w:pPr>
        <w:pStyle w:val="ListNumber"/>
      </w:pPr>
      <w:r>
        <w:rPr>
          <w:i w:val="0"/>
        </w:rPr>
        <w:t>Explain the different responsibilities of administrators, educators and technical/LMS teams.</w:t>
      </w:r>
    </w:p>
    <w:p>
      <w:pPr>
        <w:pStyle w:val="ListNumber"/>
      </w:pPr>
      <w:r>
        <w:rPr>
          <w:i w:val="0"/>
        </w:rPr>
        <w:t>Explain document/report handling and Organization Storage as separate controls.</w:t>
      </w:r>
    </w:p>
    <w:p>
      <w:pPr>
        <w:pStyle w:val="ListNumber"/>
      </w:pPr>
      <w:r>
        <w:rPr>
          <w:i w:val="0"/>
        </w:rPr>
        <w:t>Present AI as a secondary institutional capability, separate from plagiarism checking.</w:t>
      </w:r>
    </w:p>
    <w:p>
      <w:pPr>
        <w:pStyle w:val="ListNumber"/>
      </w:pPr>
      <w:r>
        <w:rPr>
          <w:i w:val="0"/>
        </w:rPr>
        <w:t>Provide a professional institutional inquiry/procurement flow with institution-specific qualification fields.</w:t>
      </w:r>
    </w:p>
    <w:p>
      <w:pPr>
        <w:pStyle w:val="ListNumber"/>
      </w:pPr>
      <w:r>
        <w:rPr>
          <w:i w:val="0"/>
        </w:rPr>
        <w:t>Answer institutional product/procurement questions in a compact FAQ.</w:t>
      </w:r>
    </w:p>
    <w:p>
      <w:pPr>
        <w:pStyle w:val="ListNumber"/>
      </w:pPr>
      <w:r>
        <w:rPr>
          <w:i w:val="0"/>
        </w:rPr>
        <w:t>Finish with a clear institutional CTA back to inquiry, with Moodle as a secondary product-evidence path.</w:t>
      </w:r>
    </w:p>
    <w:tbl>
      <w:tblPr>
        <w:tblW w:type="auto" w:w="0"/>
        <w:jc w:val="center"/>
        <w:tblLook w:firstColumn="1" w:firstRow="1" w:lastColumn="0" w:lastRow="0" w:noHBand="0" w:noVBand="1" w:val="04A0"/>
      </w:tblPr>
      <w:tblGrid>
        <w:gridCol w:w="10166"/>
      </w:tblGrid>
      <w:tr>
        <w:trPr>
          <w:cantSplit/>
        </w:trPr>
        <w:tc>
          <w:tcPr>
            <w:tcW w:type="dxa" w:w="10166"/>
            <w:shd w:fill="EAF1FA"/>
            <w:tcMar>
              <w:top w:w="150" w:type="dxa"/>
              <w:start w:w="180" w:type="dxa"/>
              <w:bottom w:w="150" w:type="dxa"/>
              <w:end w:w="180" w:type="dxa"/>
            </w:tcMar>
          </w:tcPr>
          <w:p>
            <w:pPr/>
            <w:r>
              <w:rPr>
                <w:b/>
                <w:color w:val="182B4D"/>
                <w:sz w:val="20"/>
              </w:rPr>
              <w:t>SIGNATURE SOLUTION MODEL</w:t>
              <w:br/>
            </w:r>
            <w:r>
              <w:rPr>
                <w:sz w:val="21"/>
              </w:rPr>
              <w:t>Evidence → institutional control → source/repository control → deployment choice → Moodle workflow → roles → data handling → optional AI → procurement. The page sells a managed institutional plagiarism-checking workflow, not a bigger version of the consumer checker.</w:t>
            </w:r>
          </w:p>
        </w:tc>
      </w:tr>
    </w:tbl>
    <w:p/>
    <w:p>
      <w:pPr>
        <w:pStyle w:val="Heading1"/>
        <w:keepNext/>
      </w:pPr>
      <w:r>
        <w:rPr>
          <w:i w:val="0"/>
        </w:rPr>
        <w:t>VERIFIED PRODUCT FACTS — DO NOT CHANGE</w:t>
      </w:r>
    </w:p>
    <w:tbl>
      <w:tblPr>
        <w:tblStyle w:val="TableGrid"/>
        <w:tblW w:type="auto" w:w="0"/>
        <w:jc w:val="center"/>
        <w:tblLook w:firstColumn="1" w:firstRow="1" w:lastColumn="0" w:lastRow="0" w:noHBand="0" w:noVBand="1" w:val="04A0"/>
      </w:tblPr>
      <w:tblGrid>
        <w:gridCol w:w="5083"/>
        <w:gridCol w:w="5083"/>
      </w:tblGrid>
      <w:tr>
        <w:trPr>
          <w:cantSplit/>
        </w:trPr>
        <w:tc>
          <w:tcPr>
            <w:tcW w:type="dxa" w:w="3096"/>
            <w:shd w:fill="182B4D"/>
            <w:vAlign w:val="center"/>
            <w:tcMar>
              <w:top w:w="90" w:type="dxa"/>
              <w:start w:w="110" w:type="dxa"/>
              <w:bottom w:w="90" w:type="dxa"/>
              <w:end w:w="110" w:type="dxa"/>
            </w:tcMar>
          </w:tcPr>
          <w:p>
            <w:r>
              <w:rPr>
                <w:b/>
                <w:color w:val="FFFFFF"/>
                <w:sz w:val="19"/>
              </w:rPr>
              <w:t>Fact</w:t>
            </w:r>
          </w:p>
        </w:tc>
        <w:tc>
          <w:tcPr>
            <w:tcW w:type="dxa" w:w="7416"/>
            <w:shd w:fill="182B4D"/>
            <w:vAlign w:val="center"/>
            <w:tcMar>
              <w:top w:w="90" w:type="dxa"/>
              <w:start w:w="110" w:type="dxa"/>
              <w:bottom w:w="90" w:type="dxa"/>
              <w:end w:w="110" w:type="dxa"/>
            </w:tcMar>
          </w:tcPr>
          <w:p>
            <w:r>
              <w:rPr>
                <w:b/>
                <w:color w:val="FFFFFF"/>
                <w:sz w:val="19"/>
              </w:rPr>
              <w:t>Approved truth</w:t>
            </w:r>
          </w:p>
        </w:tc>
      </w:tr>
      <w:tr>
        <w:trPr>
          <w:cantSplit/>
        </w:trPr>
        <w:tc>
          <w:tcPr>
            <w:tcW w:type="dxa" w:w="3096"/>
            <w:vAlign w:val="top"/>
            <w:tcMar>
              <w:top w:w="90" w:type="dxa"/>
              <w:start w:w="110" w:type="dxa"/>
              <w:bottom w:w="90" w:type="dxa"/>
              <w:end w:w="110" w:type="dxa"/>
            </w:tcMar>
          </w:tcPr>
          <w:p>
            <w:r>
              <w:rPr>
                <w:sz w:val="18"/>
              </w:rPr>
              <w:t>Organization workspace</w:t>
            </w:r>
          </w:p>
        </w:tc>
        <w:tc>
          <w:tcPr>
            <w:tcW w:type="dxa" w:w="7416"/>
            <w:vAlign w:val="top"/>
            <w:tcMar>
              <w:top w:w="90" w:type="dxa"/>
              <w:start w:w="110" w:type="dxa"/>
              <w:bottom w:w="90" w:type="dxa"/>
              <w:end w:w="110" w:type="dxa"/>
            </w:tcMar>
          </w:tcPr>
          <w:p>
            <w:r>
              <w:rPr>
                <w:sz w:val="18"/>
              </w:rPr>
              <w:t>Organization Management is a generally available organization/team layer usable by academic and business customers.</w:t>
            </w:r>
          </w:p>
        </w:tc>
      </w:tr>
      <w:tr>
        <w:trPr>
          <w:cantSplit/>
        </w:trPr>
        <w:tc>
          <w:tcPr>
            <w:tcW w:type="dxa" w:w="3096"/>
            <w:vAlign w:val="top"/>
            <w:tcMar>
              <w:top w:w="90" w:type="dxa"/>
              <w:start w:w="110" w:type="dxa"/>
              <w:bottom w:w="90" w:type="dxa"/>
              <w:end w:w="110" w:type="dxa"/>
            </w:tcMar>
          </w:tcPr>
          <w:p>
            <w:r>
              <w:rPr>
                <w:sz w:val="18"/>
              </w:rPr>
              <w:t>Administrator</w:t>
            </w:r>
          </w:p>
        </w:tc>
        <w:tc>
          <w:tcPr>
            <w:tcW w:type="dxa" w:w="7416"/>
            <w:vAlign w:val="top"/>
            <w:tcMar>
              <w:top w:w="90" w:type="dxa"/>
              <w:start w:w="110" w:type="dxa"/>
              <w:bottom w:w="90" w:type="dxa"/>
              <w:end w:w="110" w:type="dxa"/>
            </w:tcMar>
          </w:tcPr>
          <w:p>
            <w:r>
              <w:rPr>
                <w:sz w:val="18"/>
              </w:rPr>
              <w:t>Can create/manage an organization, invite members, block/unblock members, grant permissions and allocate organization resources.</w:t>
            </w:r>
          </w:p>
        </w:tc>
      </w:tr>
      <w:tr>
        <w:trPr>
          <w:cantSplit/>
        </w:trPr>
        <w:tc>
          <w:tcPr>
            <w:tcW w:type="dxa" w:w="3096"/>
            <w:vAlign w:val="top"/>
            <w:tcMar>
              <w:top w:w="90" w:type="dxa"/>
              <w:start w:w="110" w:type="dxa"/>
              <w:bottom w:w="90" w:type="dxa"/>
              <w:end w:w="110" w:type="dxa"/>
            </w:tcMar>
          </w:tcPr>
          <w:p>
            <w:r>
              <w:rPr>
                <w:sz w:val="18"/>
              </w:rPr>
              <w:t>Plagiarism balance</w:t>
            </w:r>
          </w:p>
        </w:tc>
        <w:tc>
          <w:tcPr>
            <w:tcW w:type="dxa" w:w="7416"/>
            <w:vAlign w:val="top"/>
            <w:tcMar>
              <w:top w:w="90" w:type="dxa"/>
              <w:start w:w="110" w:type="dxa"/>
              <w:bottom w:w="90" w:type="dxa"/>
              <w:end w:w="110" w:type="dxa"/>
            </w:tcMar>
          </w:tcPr>
          <w:p>
            <w:r>
              <w:rPr>
                <w:sz w:val="18"/>
              </w:rPr>
              <w:t>Administrator can allocate plagiarism-checking words from the organization balance to members.</w:t>
            </w:r>
          </w:p>
        </w:tc>
      </w:tr>
      <w:tr>
        <w:trPr>
          <w:cantSplit/>
        </w:trPr>
        <w:tc>
          <w:tcPr>
            <w:tcW w:type="dxa" w:w="3096"/>
            <w:vAlign w:val="top"/>
            <w:tcMar>
              <w:top w:w="90" w:type="dxa"/>
              <w:start w:w="110" w:type="dxa"/>
              <w:bottom w:w="90" w:type="dxa"/>
              <w:end w:w="110" w:type="dxa"/>
            </w:tcMar>
          </w:tcPr>
          <w:p>
            <w:r>
              <w:rPr>
                <w:sz w:val="18"/>
              </w:rPr>
              <w:t>AI balance</w:t>
            </w:r>
          </w:p>
        </w:tc>
        <w:tc>
          <w:tcPr>
            <w:tcW w:type="dxa" w:w="7416"/>
            <w:vAlign w:val="top"/>
            <w:tcMar>
              <w:top w:w="90" w:type="dxa"/>
              <w:start w:w="110" w:type="dxa"/>
              <w:bottom w:w="90" w:type="dxa"/>
              <w:end w:w="110" w:type="dxa"/>
            </w:tcMar>
          </w:tcPr>
          <w:p>
            <w:r>
              <w:rPr>
                <w:sz w:val="18"/>
              </w:rPr>
              <w:t>Administrator can allocate AI words separately when AI checking is used.</w:t>
            </w:r>
          </w:p>
        </w:tc>
      </w:tr>
      <w:tr>
        <w:trPr>
          <w:cantSplit/>
        </w:trPr>
        <w:tc>
          <w:tcPr>
            <w:tcW w:type="dxa" w:w="3096"/>
            <w:vAlign w:val="top"/>
            <w:tcMar>
              <w:top w:w="90" w:type="dxa"/>
              <w:start w:w="110" w:type="dxa"/>
              <w:bottom w:w="90" w:type="dxa"/>
              <w:end w:w="110" w:type="dxa"/>
            </w:tcMar>
          </w:tcPr>
          <w:p>
            <w:r>
              <w:rPr>
                <w:sz w:val="18"/>
              </w:rPr>
              <w:t>Personal vs organization balance</w:t>
            </w:r>
          </w:p>
        </w:tc>
        <w:tc>
          <w:tcPr>
            <w:tcW w:type="dxa" w:w="7416"/>
            <w:vAlign w:val="top"/>
            <w:tcMar>
              <w:top w:w="90" w:type="dxa"/>
              <w:start w:w="110" w:type="dxa"/>
              <w:bottom w:w="90" w:type="dxa"/>
              <w:end w:w="110" w:type="dxa"/>
            </w:tcMar>
          </w:tcPr>
          <w:p>
            <w:r>
              <w:rPr>
                <w:sz w:val="18"/>
              </w:rPr>
              <w:t>Members may keep private personal balances separate from organization balance.</w:t>
            </w:r>
          </w:p>
        </w:tc>
      </w:tr>
      <w:tr>
        <w:trPr>
          <w:cantSplit/>
        </w:trPr>
        <w:tc>
          <w:tcPr>
            <w:tcW w:type="dxa" w:w="3096"/>
            <w:vAlign w:val="top"/>
            <w:tcMar>
              <w:top w:w="90" w:type="dxa"/>
              <w:start w:w="110" w:type="dxa"/>
              <w:bottom w:w="90" w:type="dxa"/>
              <w:end w:w="110" w:type="dxa"/>
            </w:tcMar>
          </w:tcPr>
          <w:p>
            <w:r>
              <w:rPr>
                <w:sz w:val="18"/>
              </w:rPr>
              <w:t>Organization Storage permissions</w:t>
            </w:r>
          </w:p>
        </w:tc>
        <w:tc>
          <w:tcPr>
            <w:tcW w:type="dxa" w:w="7416"/>
            <w:vAlign w:val="top"/>
            <w:tcMar>
              <w:top w:w="90" w:type="dxa"/>
              <w:start w:w="110" w:type="dxa"/>
              <w:bottom w:w="90" w:type="dxa"/>
              <w:end w:w="110" w:type="dxa"/>
            </w:tcMar>
          </w:tcPr>
          <w:p>
            <w:r>
              <w:rPr>
                <w:sz w:val="18"/>
              </w:rPr>
              <w:t>Administrator can control use/search/view access for Organization Storage according to permissions.</w:t>
            </w:r>
          </w:p>
        </w:tc>
      </w:tr>
      <w:tr>
        <w:trPr>
          <w:cantSplit/>
        </w:trPr>
        <w:tc>
          <w:tcPr>
            <w:tcW w:type="dxa" w:w="3096"/>
            <w:vAlign w:val="top"/>
            <w:tcMar>
              <w:top w:w="90" w:type="dxa"/>
              <w:start w:w="110" w:type="dxa"/>
              <w:bottom w:w="90" w:type="dxa"/>
              <w:end w:w="110" w:type="dxa"/>
            </w:tcMar>
          </w:tcPr>
          <w:p>
            <w:r>
              <w:rPr>
                <w:sz w:val="18"/>
              </w:rPr>
              <w:t>Native classes/assignments</w:t>
            </w:r>
          </w:p>
        </w:tc>
        <w:tc>
          <w:tcPr>
            <w:tcW w:type="dxa" w:w="7416"/>
            <w:vAlign w:val="top"/>
            <w:tcMar>
              <w:top w:w="90" w:type="dxa"/>
              <w:start w:w="110" w:type="dxa"/>
              <w:bottom w:w="90" w:type="dxa"/>
              <w:end w:w="110" w:type="dxa"/>
            </w:tcMar>
          </w:tcPr>
          <w:p>
            <w:r>
              <w:rPr>
                <w:sz w:val="18"/>
              </w:rPr>
              <w:t>Do NOT exist in standalone PlagiarismSearch outside LMS workflows.</w:t>
            </w:r>
          </w:p>
        </w:tc>
      </w:tr>
      <w:tr>
        <w:trPr>
          <w:cantSplit/>
        </w:trPr>
        <w:tc>
          <w:tcPr>
            <w:tcW w:type="dxa" w:w="3096"/>
            <w:vAlign w:val="top"/>
            <w:tcMar>
              <w:top w:w="90" w:type="dxa"/>
              <w:start w:w="110" w:type="dxa"/>
              <w:bottom w:w="90" w:type="dxa"/>
              <w:end w:w="110" w:type="dxa"/>
            </w:tcMar>
          </w:tcPr>
          <w:p>
            <w:r>
              <w:rPr>
                <w:sz w:val="18"/>
              </w:rPr>
              <w:t>Report behavior</w:t>
            </w:r>
          </w:p>
        </w:tc>
        <w:tc>
          <w:tcPr>
            <w:tcW w:type="dxa" w:w="7416"/>
            <w:vAlign w:val="top"/>
            <w:tcMar>
              <w:top w:w="90" w:type="dxa"/>
              <w:start w:w="110" w:type="dxa"/>
              <w:bottom w:w="90" w:type="dxa"/>
              <w:end w:w="110" w:type="dxa"/>
            </w:tcMar>
          </w:tcPr>
          <w:p>
            <w:r>
              <w:rPr>
                <w:sz w:val="18"/>
              </w:rPr>
              <w:t>Real plagiarism report exposes matching/similar passages and connected sources; selecting a match can highlight the corresponding passage/source context.</w:t>
            </w:r>
          </w:p>
        </w:tc>
      </w:tr>
      <w:tr>
        <w:trPr>
          <w:cantSplit/>
        </w:trPr>
        <w:tc>
          <w:tcPr>
            <w:tcW w:type="dxa" w:w="3096"/>
            <w:vAlign w:val="top"/>
            <w:tcMar>
              <w:top w:w="90" w:type="dxa"/>
              <w:start w:w="110" w:type="dxa"/>
              <w:bottom w:w="90" w:type="dxa"/>
              <w:end w:w="110" w:type="dxa"/>
            </w:tcMar>
          </w:tcPr>
          <w:p>
            <w:r>
              <w:rPr>
                <w:sz w:val="18"/>
              </w:rPr>
              <w:t>Academic database</w:t>
            </w:r>
          </w:p>
        </w:tc>
        <w:tc>
          <w:tcPr>
            <w:tcW w:type="dxa" w:w="7416"/>
            <w:vAlign w:val="top"/>
            <w:tcMar>
              <w:top w:w="90" w:type="dxa"/>
              <w:start w:w="110" w:type="dxa"/>
              <w:bottom w:w="90" w:type="dxa"/>
              <w:end w:w="110" w:type="dxa"/>
            </w:tcMar>
          </w:tcPr>
          <w:p>
            <w:r>
              <w:rPr>
                <w:sz w:val="18"/>
              </w:rPr>
              <w:t>More than 500 million indexed academic texts.</w:t>
            </w:r>
          </w:p>
        </w:tc>
      </w:tr>
      <w:tr>
        <w:trPr>
          <w:cantSplit/>
        </w:trPr>
        <w:tc>
          <w:tcPr>
            <w:tcW w:type="dxa" w:w="3096"/>
            <w:vAlign w:val="top"/>
            <w:tcMar>
              <w:top w:w="90" w:type="dxa"/>
              <w:start w:w="110" w:type="dxa"/>
              <w:bottom w:w="90" w:type="dxa"/>
              <w:end w:w="110" w:type="dxa"/>
            </w:tcMar>
          </w:tcPr>
          <w:p>
            <w:r>
              <w:rPr>
                <w:sz w:val="18"/>
              </w:rPr>
              <w:t>Web checking</w:t>
            </w:r>
          </w:p>
        </w:tc>
        <w:tc>
          <w:tcPr>
            <w:tcW w:type="dxa" w:w="7416"/>
            <w:vAlign w:val="top"/>
            <w:tcMar>
              <w:top w:w="90" w:type="dxa"/>
              <w:start w:w="110" w:type="dxa"/>
              <w:bottom w:w="90" w:type="dxa"/>
              <w:end w:w="110" w:type="dxa"/>
            </w:tcMar>
          </w:tcPr>
          <w:p>
            <w:r>
              <w:rPr>
                <w:sz w:val="18"/>
              </w:rPr>
              <w:t>Web sources can be included in plagiarism checks.</w:t>
            </w:r>
          </w:p>
        </w:tc>
      </w:tr>
      <w:tr>
        <w:trPr>
          <w:cantSplit/>
        </w:trPr>
        <w:tc>
          <w:tcPr>
            <w:tcW w:type="dxa" w:w="3096"/>
            <w:vAlign w:val="top"/>
            <w:tcMar>
              <w:top w:w="90" w:type="dxa"/>
              <w:start w:w="110" w:type="dxa"/>
              <w:bottom w:w="90" w:type="dxa"/>
              <w:end w:w="110" w:type="dxa"/>
            </w:tcMar>
          </w:tcPr>
          <w:p>
            <w:r>
              <w:rPr>
                <w:sz w:val="18"/>
              </w:rPr>
              <w:t>Reference / citation controls</w:t>
            </w:r>
          </w:p>
        </w:tc>
        <w:tc>
          <w:tcPr>
            <w:tcW w:type="dxa" w:w="7416"/>
            <w:vAlign w:val="top"/>
            <w:tcMar>
              <w:top w:w="90" w:type="dxa"/>
              <w:start w:w="110" w:type="dxa"/>
              <w:bottom w:w="90" w:type="dxa"/>
              <w:end w:w="110" w:type="dxa"/>
            </w:tcMar>
          </w:tcPr>
          <w:p>
            <w:r>
              <w:rPr>
                <w:sz w:val="18"/>
              </w:rPr>
              <w:t>Reference exclusion and in-text citation exclusion are supported scan controls.</w:t>
            </w:r>
          </w:p>
        </w:tc>
      </w:tr>
      <w:tr>
        <w:trPr>
          <w:cantSplit/>
        </w:trPr>
        <w:tc>
          <w:tcPr>
            <w:tcW w:type="dxa" w:w="3096"/>
            <w:vAlign w:val="top"/>
            <w:tcMar>
              <w:top w:w="90" w:type="dxa"/>
              <w:start w:w="110" w:type="dxa"/>
              <w:bottom w:w="90" w:type="dxa"/>
              <w:end w:w="110" w:type="dxa"/>
            </w:tcMar>
          </w:tcPr>
          <w:p>
            <w:r>
              <w:rPr>
                <w:sz w:val="18"/>
              </w:rPr>
              <w:t>Organization Storage semantics</w:t>
            </w:r>
          </w:p>
        </w:tc>
        <w:tc>
          <w:tcPr>
            <w:tcW w:type="dxa" w:w="7416"/>
            <w:vAlign w:val="top"/>
            <w:tcMar>
              <w:top w:w="90" w:type="dxa"/>
              <w:start w:w="110" w:type="dxa"/>
              <w:bottom w:w="90" w:type="dxa"/>
              <w:end w:w="110" w:type="dxa"/>
            </w:tcMar>
          </w:tcPr>
          <w:p>
            <w:r>
              <w:rPr>
                <w:sz w:val="18"/>
              </w:rPr>
              <w:t>Checking a document does not automatically mean adding it to Organization Storage. Storage is a separate enabled/permissioned workflow.</w:t>
            </w:r>
          </w:p>
        </w:tc>
      </w:tr>
      <w:tr>
        <w:trPr>
          <w:cantSplit/>
        </w:trPr>
        <w:tc>
          <w:tcPr>
            <w:tcW w:type="dxa" w:w="3096"/>
            <w:vAlign w:val="top"/>
            <w:tcMar>
              <w:top w:w="90" w:type="dxa"/>
              <w:start w:w="110" w:type="dxa"/>
              <w:bottom w:w="90" w:type="dxa"/>
              <w:end w:w="110" w:type="dxa"/>
            </w:tcMar>
          </w:tcPr>
          <w:p>
            <w:r>
              <w:rPr>
                <w:sz w:val="18"/>
              </w:rPr>
              <w:t>Moodle</w:t>
            </w:r>
          </w:p>
        </w:tc>
        <w:tc>
          <w:tcPr>
            <w:tcW w:type="dxa" w:w="7416"/>
            <w:vAlign w:val="top"/>
            <w:tcMar>
              <w:top w:w="90" w:type="dxa"/>
              <w:start w:w="110" w:type="dxa"/>
              <w:bottom w:w="90" w:type="dxa"/>
              <w:end w:w="110" w:type="dxa"/>
            </w:tcMar>
          </w:tcPr>
          <w:p>
            <w:r>
              <w:rPr>
                <w:sz w:val="18"/>
              </w:rPr>
              <w:t>Confirmed workflow supports automatic/manual checking; Web/Storage source controls; Add to Storage; reference/citation exclusions; student report/plagiarism-percentage visibility; student submissions and resubmission controls.</w:t>
            </w:r>
          </w:p>
        </w:tc>
      </w:tr>
      <w:tr>
        <w:trPr>
          <w:cantSplit/>
        </w:trPr>
        <w:tc>
          <w:tcPr>
            <w:tcW w:type="dxa" w:w="3096"/>
            <w:vAlign w:val="top"/>
            <w:tcMar>
              <w:top w:w="90" w:type="dxa"/>
              <w:start w:w="110" w:type="dxa"/>
              <w:bottom w:w="90" w:type="dxa"/>
              <w:end w:w="110" w:type="dxa"/>
            </w:tcMar>
          </w:tcPr>
          <w:p>
            <w:r>
              <w:rPr>
                <w:sz w:val="18"/>
              </w:rPr>
              <w:t>API</w:t>
            </w:r>
          </w:p>
        </w:tc>
        <w:tc>
          <w:tcPr>
            <w:tcW w:type="dxa" w:w="7416"/>
            <w:vAlign w:val="top"/>
            <w:tcMar>
              <w:top w:w="90" w:type="dxa"/>
              <w:start w:w="110" w:type="dxa"/>
              <w:bottom w:w="90" w:type="dxa"/>
              <w:end w:w="110" w:type="dxa"/>
            </w:tcMar>
          </w:tcPr>
          <w:p>
            <w:r>
              <w:rPr>
                <w:sz w:val="18"/>
              </w:rPr>
              <w:t>Custom integration is available through the existing PlagiarismSearch API; University page should link to /plagiarism-api rather than duplicate API documentation.</w:t>
            </w:r>
          </w:p>
        </w:tc>
      </w:tr>
      <w:tr>
        <w:trPr>
          <w:cantSplit/>
        </w:trPr>
        <w:tc>
          <w:tcPr>
            <w:tcW w:type="dxa" w:w="3096"/>
            <w:vAlign w:val="top"/>
            <w:tcMar>
              <w:top w:w="90" w:type="dxa"/>
              <w:start w:w="110" w:type="dxa"/>
              <w:bottom w:w="90" w:type="dxa"/>
              <w:end w:w="110" w:type="dxa"/>
            </w:tcMar>
          </w:tcPr>
          <w:p>
            <w:r>
              <w:rPr>
                <w:sz w:val="18"/>
              </w:rPr>
              <w:t>AI relationship</w:t>
            </w:r>
          </w:p>
        </w:tc>
        <w:tc>
          <w:tcPr>
            <w:tcW w:type="dxa" w:w="7416"/>
            <w:vAlign w:val="top"/>
            <w:tcMar>
              <w:top w:w="90" w:type="dxa"/>
              <w:start w:w="110" w:type="dxa"/>
              <w:bottom w:w="90" w:type="dxa"/>
              <w:end w:w="110" w:type="dxa"/>
            </w:tcMar>
          </w:tcPr>
          <w:p>
            <w:r>
              <w:rPr>
                <w:sz w:val="18"/>
              </w:rPr>
              <w:t>AI checking is a separate analysis. AI-generated text is not automatically plagiarism.</w:t>
            </w:r>
          </w:p>
        </w:tc>
      </w:tr>
      <w:tr>
        <w:trPr>
          <w:cantSplit/>
        </w:trPr>
        <w:tc>
          <w:tcPr>
            <w:tcW w:type="dxa" w:w="3096"/>
            <w:vAlign w:val="top"/>
            <w:tcMar>
              <w:top w:w="90" w:type="dxa"/>
              <w:start w:w="110" w:type="dxa"/>
              <w:bottom w:w="90" w:type="dxa"/>
              <w:end w:w="110" w:type="dxa"/>
            </w:tcMar>
          </w:tcPr>
          <w:p>
            <w:r>
              <w:rPr>
                <w:sz w:val="18"/>
              </w:rPr>
              <w:t>Report retention</w:t>
            </w:r>
          </w:p>
        </w:tc>
        <w:tc>
          <w:tcPr>
            <w:tcW w:type="dxa" w:w="7416"/>
            <w:vAlign w:val="top"/>
            <w:tcMar>
              <w:top w:w="90" w:type="dxa"/>
              <w:start w:w="110" w:type="dxa"/>
              <w:bottom w:w="90" w:type="dxa"/>
              <w:end w:w="110" w:type="dxa"/>
            </w:tcMar>
          </w:tcPr>
          <w:p>
            <w:r>
              <w:rPr>
                <w:sz w:val="18"/>
              </w:rPr>
              <w:t>Generated reports may remain available in account for convenience and can be permanently deleted.</w:t>
            </w:r>
          </w:p>
        </w:tc>
      </w:tr>
      <w:tr>
        <w:trPr>
          <w:cantSplit/>
        </w:trPr>
        <w:tc>
          <w:tcPr>
            <w:tcW w:type="dxa" w:w="3096"/>
            <w:vAlign w:val="top"/>
            <w:tcMar>
              <w:top w:w="90" w:type="dxa"/>
              <w:start w:w="110" w:type="dxa"/>
              <w:bottom w:w="90" w:type="dxa"/>
              <w:end w:w="110" w:type="dxa"/>
            </w:tcMar>
          </w:tcPr>
          <w:p>
            <w:r>
              <w:rPr>
                <w:sz w:val="18"/>
              </w:rPr>
              <w:t>Commercial model</w:t>
            </w:r>
          </w:p>
        </w:tc>
        <w:tc>
          <w:tcPr>
            <w:tcW w:type="dxa" w:w="7416"/>
            <w:vAlign w:val="top"/>
            <w:tcMar>
              <w:top w:w="90" w:type="dxa"/>
              <w:start w:w="110" w:type="dxa"/>
              <w:bottom w:w="90" w:type="dxa"/>
              <w:end w:w="110" w:type="dxa"/>
            </w:tcMar>
          </w:tcPr>
          <w:p>
            <w:r>
              <w:rPr>
                <w:sz w:val="18"/>
              </w:rPr>
              <w:t>Large institutional/business customers may use custom contracts/pricing. Do not publish the legacy $145.95/month as an institutional minimum.</w:t>
            </w:r>
          </w:p>
        </w:tc>
      </w:tr>
    </w:tbl>
    <w:p/>
    <w:p>
      <w:pPr>
        <w:pStyle w:val="Heading1"/>
        <w:keepNext/>
      </w:pPr>
      <w:r>
        <w:rPr>
          <w:i w:val="0"/>
        </w:rPr>
        <w:t>DYNAMIC / GATED / UNKNOWN ITEMS</w:t>
      </w:r>
    </w:p>
    <w:tbl>
      <w:tblPr>
        <w:tblStyle w:val="TableGrid"/>
        <w:tblW w:type="auto" w:w="0"/>
        <w:jc w:val="center"/>
        <w:tblLook w:firstColumn="1" w:firstRow="1" w:lastColumn="0" w:lastRow="0" w:noHBand="0" w:noVBand="1" w:val="04A0"/>
      </w:tblPr>
      <w:tblGrid>
        <w:gridCol w:w="5083"/>
        <w:gridCol w:w="5083"/>
      </w:tblGrid>
      <w:tr>
        <w:trPr>
          <w:cantSplit/>
        </w:trPr>
        <w:tc>
          <w:tcPr>
            <w:tcW w:type="dxa" w:w="3456"/>
            <w:shd w:fill="182B4D"/>
            <w:vAlign w:val="center"/>
            <w:tcMar>
              <w:top w:w="90" w:type="dxa"/>
              <w:start w:w="110" w:type="dxa"/>
              <w:bottom w:w="90" w:type="dxa"/>
              <w:end w:w="110" w:type="dxa"/>
            </w:tcMar>
          </w:tcPr>
          <w:p>
            <w:r>
              <w:rPr>
                <w:b/>
                <w:color w:val="FFFFFF"/>
                <w:sz w:val="19"/>
              </w:rPr>
              <w:t>Item</w:t>
            </w:r>
          </w:p>
        </w:tc>
        <w:tc>
          <w:tcPr>
            <w:tcW w:type="dxa" w:w="7056"/>
            <w:shd w:fill="182B4D"/>
            <w:vAlign w:val="center"/>
            <w:tcMar>
              <w:top w:w="90" w:type="dxa"/>
              <w:start w:w="110" w:type="dxa"/>
              <w:bottom w:w="90" w:type="dxa"/>
              <w:end w:w="110" w:type="dxa"/>
            </w:tcMar>
          </w:tcPr>
          <w:p>
            <w:r>
              <w:rPr>
                <w:b/>
                <w:color w:val="FFFFFF"/>
                <w:sz w:val="19"/>
              </w:rPr>
              <w:t>Implementation rule</w:t>
            </w:r>
          </w:p>
        </w:tc>
      </w:tr>
      <w:tr>
        <w:trPr>
          <w:cantSplit/>
        </w:trPr>
        <w:tc>
          <w:tcPr>
            <w:tcW w:type="dxa" w:w="3456"/>
            <w:vAlign w:val="top"/>
            <w:tcMar>
              <w:top w:w="90" w:type="dxa"/>
              <w:start w:w="110" w:type="dxa"/>
              <w:bottom w:w="90" w:type="dxa"/>
              <w:end w:w="110" w:type="dxa"/>
            </w:tcMar>
          </w:tcPr>
          <w:p>
            <w:r>
              <w:rPr>
                <w:sz w:val="18"/>
              </w:rPr>
              <w:t>Institutional price / discount / contract terms</w:t>
            </w:r>
          </w:p>
        </w:tc>
        <w:tc>
          <w:tcPr>
            <w:tcW w:type="dxa" w:w="7056"/>
            <w:vAlign w:val="top"/>
            <w:tcMar>
              <w:top w:w="90" w:type="dxa"/>
              <w:start w:w="110" w:type="dxa"/>
              <w:bottom w:w="90" w:type="dxa"/>
              <w:end w:w="110" w:type="dxa"/>
            </w:tcMar>
          </w:tcPr>
          <w:p>
            <w:r>
              <w:rPr>
                <w:sz w:val="18"/>
              </w:rPr>
              <w:t>Not fixed on this page. Use the inquiry flow; no legacy price.</w:t>
            </w:r>
          </w:p>
        </w:tc>
      </w:tr>
      <w:tr>
        <w:trPr>
          <w:cantSplit/>
        </w:trPr>
        <w:tc>
          <w:tcPr>
            <w:tcW w:type="dxa" w:w="3456"/>
            <w:vAlign w:val="top"/>
            <w:tcMar>
              <w:top w:w="90" w:type="dxa"/>
              <w:start w:w="110" w:type="dxa"/>
              <w:bottom w:w="90" w:type="dxa"/>
              <w:end w:w="110" w:type="dxa"/>
            </w:tcMar>
          </w:tcPr>
          <w:p>
            <w:r>
              <w:rPr>
                <w:sz w:val="18"/>
              </w:rPr>
              <w:t>Institutional trial</w:t>
            </w:r>
          </w:p>
        </w:tc>
        <w:tc>
          <w:tcPr>
            <w:tcW w:type="dxa" w:w="7056"/>
            <w:vAlign w:val="top"/>
            <w:tcMar>
              <w:top w:w="90" w:type="dxa"/>
              <w:start w:w="110" w:type="dxa"/>
              <w:bottom w:w="90" w:type="dxa"/>
              <w:end w:w="110" w:type="dxa"/>
            </w:tcMar>
          </w:tcPr>
          <w:p>
            <w:r>
              <w:rPr>
                <w:sz w:val="18"/>
              </w:rPr>
              <w:t>May exist through supported commercial flow, but do not promise a universal free trial.</w:t>
            </w:r>
          </w:p>
        </w:tc>
      </w:tr>
      <w:tr>
        <w:trPr>
          <w:cantSplit/>
        </w:trPr>
        <w:tc>
          <w:tcPr>
            <w:tcW w:type="dxa" w:w="3456"/>
            <w:vAlign w:val="top"/>
            <w:tcMar>
              <w:top w:w="90" w:type="dxa"/>
              <w:start w:w="110" w:type="dxa"/>
              <w:bottom w:w="90" w:type="dxa"/>
              <w:end w:w="110" w:type="dxa"/>
            </w:tcMar>
          </w:tcPr>
          <w:p>
            <w:r>
              <w:rPr>
                <w:sz w:val="18"/>
              </w:rPr>
              <w:t>SSO</w:t>
            </w:r>
          </w:p>
        </w:tc>
        <w:tc>
          <w:tcPr>
            <w:tcW w:type="dxa" w:w="7056"/>
            <w:vAlign w:val="top"/>
            <w:tcMar>
              <w:top w:w="90" w:type="dxa"/>
              <w:start w:w="110" w:type="dxa"/>
              <w:bottom w:w="90" w:type="dxa"/>
              <w:end w:w="110" w:type="dxa"/>
            </w:tcMar>
          </w:tcPr>
          <w:p>
            <w:r>
              <w:rPr>
                <w:sz w:val="18"/>
              </w:rPr>
              <w:t>Unconfirmed. Do not render.</w:t>
            </w:r>
          </w:p>
        </w:tc>
      </w:tr>
      <w:tr>
        <w:trPr>
          <w:cantSplit/>
        </w:trPr>
        <w:tc>
          <w:tcPr>
            <w:tcW w:type="dxa" w:w="3456"/>
            <w:vAlign w:val="top"/>
            <w:tcMar>
              <w:top w:w="90" w:type="dxa"/>
              <w:start w:w="110" w:type="dxa"/>
              <w:bottom w:w="90" w:type="dxa"/>
              <w:end w:w="110" w:type="dxa"/>
            </w:tcMar>
          </w:tcPr>
          <w:p>
            <w:r>
              <w:rPr>
                <w:sz w:val="18"/>
              </w:rPr>
              <w:t>Institution-wide analytics dashboard</w:t>
            </w:r>
          </w:p>
        </w:tc>
        <w:tc>
          <w:tcPr>
            <w:tcW w:type="dxa" w:w="7056"/>
            <w:vAlign w:val="top"/>
            <w:tcMar>
              <w:top w:w="90" w:type="dxa"/>
              <w:start w:w="110" w:type="dxa"/>
              <w:bottom w:w="90" w:type="dxa"/>
              <w:end w:w="110" w:type="dxa"/>
            </w:tcMar>
          </w:tcPr>
          <w:p>
            <w:r>
              <w:rPr>
                <w:sz w:val="18"/>
              </w:rPr>
              <w:t>Unconfirmed. Do not render.</w:t>
            </w:r>
          </w:p>
        </w:tc>
      </w:tr>
      <w:tr>
        <w:trPr>
          <w:cantSplit/>
        </w:trPr>
        <w:tc>
          <w:tcPr>
            <w:tcW w:type="dxa" w:w="3456"/>
            <w:vAlign w:val="top"/>
            <w:tcMar>
              <w:top w:w="90" w:type="dxa"/>
              <w:start w:w="110" w:type="dxa"/>
              <w:bottom w:w="90" w:type="dxa"/>
              <w:end w:w="110" w:type="dxa"/>
            </w:tcMar>
          </w:tcPr>
          <w:p>
            <w:r>
              <w:rPr>
                <w:sz w:val="18"/>
              </w:rPr>
              <w:t>Security certifications / FERPA / SOC / ISO</w:t>
            </w:r>
          </w:p>
        </w:tc>
        <w:tc>
          <w:tcPr>
            <w:tcW w:type="dxa" w:w="7056"/>
            <w:vAlign w:val="top"/>
            <w:tcMar>
              <w:top w:w="90" w:type="dxa"/>
              <w:start w:w="110" w:type="dxa"/>
              <w:bottom w:w="90" w:type="dxa"/>
              <w:end w:w="110" w:type="dxa"/>
            </w:tcMar>
          </w:tcPr>
          <w:p>
            <w:r>
              <w:rPr>
                <w:sz w:val="18"/>
              </w:rPr>
              <w:t>Unconfirmed. Do not render.</w:t>
            </w:r>
          </w:p>
        </w:tc>
      </w:tr>
      <w:tr>
        <w:trPr>
          <w:cantSplit/>
        </w:trPr>
        <w:tc>
          <w:tcPr>
            <w:tcW w:type="dxa" w:w="3456"/>
            <w:vAlign w:val="top"/>
            <w:tcMar>
              <w:top w:w="90" w:type="dxa"/>
              <w:start w:w="110" w:type="dxa"/>
              <w:bottom w:w="90" w:type="dxa"/>
              <w:end w:w="110" w:type="dxa"/>
            </w:tcMar>
          </w:tcPr>
          <w:p>
            <w:r>
              <w:rPr>
                <w:sz w:val="18"/>
              </w:rPr>
              <w:t>Institutional support SLA / response time</w:t>
            </w:r>
          </w:p>
        </w:tc>
        <w:tc>
          <w:tcPr>
            <w:tcW w:type="dxa" w:w="7056"/>
            <w:vAlign w:val="top"/>
            <w:tcMar>
              <w:top w:w="90" w:type="dxa"/>
              <w:start w:w="110" w:type="dxa"/>
              <w:bottom w:w="90" w:type="dxa"/>
              <w:end w:w="110" w:type="dxa"/>
            </w:tcMar>
          </w:tcPr>
          <w:p>
            <w:r>
              <w:rPr>
                <w:sz w:val="18"/>
              </w:rPr>
              <w:t>Unconfirmed. Do not render.</w:t>
            </w:r>
          </w:p>
        </w:tc>
      </w:tr>
      <w:tr>
        <w:trPr>
          <w:cantSplit/>
        </w:trPr>
        <w:tc>
          <w:tcPr>
            <w:tcW w:type="dxa" w:w="3456"/>
            <w:vAlign w:val="top"/>
            <w:tcMar>
              <w:top w:w="90" w:type="dxa"/>
              <w:start w:w="110" w:type="dxa"/>
              <w:bottom w:w="90" w:type="dxa"/>
              <w:end w:w="110" w:type="dxa"/>
            </w:tcMar>
          </w:tcPr>
          <w:p>
            <w:r>
              <w:rPr>
                <w:sz w:val="18"/>
              </w:rPr>
              <w:t>Canvas / other LMS availability</w:t>
            </w:r>
          </w:p>
        </w:tc>
        <w:tc>
          <w:tcPr>
            <w:tcW w:type="dxa" w:w="7056"/>
            <w:vAlign w:val="top"/>
            <w:tcMar>
              <w:top w:w="90" w:type="dxa"/>
              <w:start w:w="110" w:type="dxa"/>
              <w:bottom w:w="90" w:type="dxa"/>
              <w:end w:w="110" w:type="dxa"/>
            </w:tcMar>
          </w:tcPr>
          <w:p>
            <w:r>
              <w:rPr>
                <w:sz w:val="18"/>
              </w:rPr>
              <w:t>Not approved as current production fact for this page. Do not render.</w:t>
            </w:r>
          </w:p>
        </w:tc>
      </w:tr>
      <w:tr>
        <w:trPr>
          <w:cantSplit/>
        </w:trPr>
        <w:tc>
          <w:tcPr>
            <w:tcW w:type="dxa" w:w="3456"/>
            <w:vAlign w:val="top"/>
            <w:tcMar>
              <w:top w:w="90" w:type="dxa"/>
              <w:start w:w="110" w:type="dxa"/>
              <w:bottom w:w="90" w:type="dxa"/>
              <w:end w:w="110" w:type="dxa"/>
            </w:tcMar>
          </w:tcPr>
          <w:p>
            <w:r>
              <w:rPr>
                <w:sz w:val="18"/>
              </w:rPr>
              <w:t>Exact language count</w:t>
            </w:r>
          </w:p>
        </w:tc>
        <w:tc>
          <w:tcPr>
            <w:tcW w:type="dxa" w:w="7056"/>
            <w:vAlign w:val="top"/>
            <w:tcMar>
              <w:top w:w="90" w:type="dxa"/>
              <w:start w:w="110" w:type="dxa"/>
              <w:bottom w:w="90" w:type="dxa"/>
              <w:end w:w="110" w:type="dxa"/>
            </w:tcMar>
          </w:tcPr>
          <w:p>
            <w:r>
              <w:rPr>
                <w:sz w:val="18"/>
              </w:rPr>
              <w:t>Do not publish an unverified numeric language count.</w:t>
            </w:r>
          </w:p>
        </w:tc>
      </w:tr>
      <w:tr>
        <w:trPr>
          <w:cantSplit/>
        </w:trPr>
        <w:tc>
          <w:tcPr>
            <w:tcW w:type="dxa" w:w="3456"/>
            <w:vAlign w:val="top"/>
            <w:tcMar>
              <w:top w:w="90" w:type="dxa"/>
              <w:start w:w="110" w:type="dxa"/>
              <w:bottom w:w="90" w:type="dxa"/>
              <w:end w:w="110" w:type="dxa"/>
            </w:tcMar>
          </w:tcPr>
          <w:p>
            <w:r>
              <w:rPr>
                <w:sz w:val="18"/>
              </w:rPr>
              <w:t>Institutional case studies/logos</w:t>
            </w:r>
          </w:p>
        </w:tc>
        <w:tc>
          <w:tcPr>
            <w:tcW w:type="dxa" w:w="7056"/>
            <w:vAlign w:val="top"/>
            <w:tcMar>
              <w:top w:w="90" w:type="dxa"/>
              <w:start w:w="110" w:type="dxa"/>
              <w:bottom w:w="90" w:type="dxa"/>
              <w:end w:w="110" w:type="dxa"/>
            </w:tcMar>
          </w:tcPr>
          <w:p>
            <w:r>
              <w:rPr>
                <w:sz w:val="18"/>
              </w:rPr>
              <w:t>Use only if separately approved with source. Do not fabricate.</w:t>
            </w:r>
          </w:p>
        </w:tc>
      </w:tr>
      <w:tr>
        <w:trPr>
          <w:cantSplit/>
        </w:trPr>
        <w:tc>
          <w:tcPr>
            <w:tcW w:type="dxa" w:w="3456"/>
            <w:vAlign w:val="top"/>
            <w:tcMar>
              <w:top w:w="90" w:type="dxa"/>
              <w:start w:w="110" w:type="dxa"/>
              <w:bottom w:w="90" w:type="dxa"/>
              <w:end w:w="110" w:type="dxa"/>
            </w:tcMar>
          </w:tcPr>
          <w:p>
            <w:r>
              <w:rPr>
                <w:sz w:val="18"/>
              </w:rPr>
              <w:t>GSC exact-query refinement</w:t>
            </w:r>
          </w:p>
        </w:tc>
        <w:tc>
          <w:tcPr>
            <w:tcW w:type="dxa" w:w="7056"/>
            <w:vAlign w:val="top"/>
            <w:tcMar>
              <w:top w:w="90" w:type="dxa"/>
              <w:start w:w="110" w:type="dxa"/>
              <w:bottom w:w="90" w:type="dxa"/>
              <w:end w:w="110" w:type="dxa"/>
            </w:tcMar>
          </w:tcPr>
          <w:p>
            <w:r>
              <w:rPr>
                <w:sz w:val="18"/>
              </w:rPr>
              <w:t>A later exact-page query export may refine SEO Title/Meta/H1 only through an explicit approved change; do not change page story automatically.</w:t>
            </w:r>
          </w:p>
        </w:tc>
      </w:tr>
    </w:tbl>
    <w:p/>
    <w:p>
      <w:pPr>
        <w:pStyle w:val="Heading1"/>
        <w:keepNext/>
      </w:pPr>
      <w:r>
        <w:rPr>
          <w:i w:val="0"/>
        </w:rPr>
        <w:t>GLOBAL FORBIDDEN CLAIMS / ARTIFACTS</w:t>
      </w:r>
    </w:p>
    <w:p>
      <w:pPr>
        <w:pStyle w:val="ListBullet"/>
      </w:pPr>
      <w:r>
        <w:rPr>
          <w:i w:val="0"/>
        </w:rPr>
        <w:t>Catch cheaters / stop cheating / students always copy work / punitive misconduct framing.</w:t>
      </w:r>
    </w:p>
    <w:p>
      <w:pPr>
        <w:pStyle w:val="ListBullet"/>
      </w:pPr>
      <w:r>
        <w:rPr>
          <w:i w:val="0"/>
        </w:rPr>
        <w:t>Most accurate / highest accuracy / guaranteed detection / perfect plagiarism detection.</w:t>
      </w:r>
    </w:p>
    <w:p>
      <w:pPr>
        <w:pStyle w:val="ListBullet"/>
      </w:pPr>
      <w:r>
        <w:rPr>
          <w:i w:val="0"/>
        </w:rPr>
        <w:t>Automatic disciplinary or misconduct verdicts based on similarity/plagiarism percentage.</w:t>
      </w:r>
    </w:p>
    <w:p>
      <w:pPr>
        <w:pStyle w:val="ListBullet"/>
      </w:pPr>
      <w:r>
        <w:rPr>
          <w:i w:val="0"/>
        </w:rPr>
        <w:t>Every checked student paper automatically enters Organization Storage or a global student-paper database.</w:t>
      </w:r>
    </w:p>
    <w:p>
      <w:pPr>
        <w:pStyle w:val="ListBullet"/>
      </w:pPr>
      <w:r>
        <w:rPr>
          <w:i w:val="0"/>
        </w:rPr>
        <w:t>Cross-institution shared student-paper corpus unless separately confirmed.</w:t>
      </w:r>
    </w:p>
    <w:p>
      <w:pPr>
        <w:pStyle w:val="ListBullet"/>
      </w:pPr>
      <w:r>
        <w:rPr>
          <w:i w:val="0"/>
        </w:rPr>
        <w:t>Native classes, assignments, gradebook or standalone student-submission dashboard in PlagiarismSearch outside LMS.</w:t>
      </w:r>
    </w:p>
    <w:p>
      <w:pPr>
        <w:pStyle w:val="ListBullet"/>
      </w:pPr>
      <w:r>
        <w:rPr>
          <w:i w:val="0"/>
        </w:rPr>
        <w:t>SSO, institutional analytics dashboard, faculty training program, SOC/FEDRAMP/FERPA/ISO certifications, regional hosting or other unverified enterprise/security claims.</w:t>
      </w:r>
    </w:p>
    <w:p>
      <w:pPr>
        <w:pStyle w:val="ListBullet"/>
      </w:pPr>
      <w:r>
        <w:rPr>
          <w:i w:val="0"/>
        </w:rPr>
        <w:t>Canvas, Blackboard, Brightspace, Google Classroom or other LMS integrations not approved for this page.</w:t>
      </w:r>
    </w:p>
    <w:p>
      <w:pPr>
        <w:pStyle w:val="ListBullet"/>
      </w:pPr>
      <w:r>
        <w:rPr>
          <w:i w:val="0"/>
        </w:rPr>
        <w:t>150+ languages or any unverified numeric language claim.</w:t>
      </w:r>
    </w:p>
    <w:p>
      <w:pPr>
        <w:pStyle w:val="ListBullet"/>
      </w:pPr>
      <w:r>
        <w:rPr>
          <w:i w:val="0"/>
        </w:rPr>
        <w:t>1–5 minute processing, 24/7 support, instant help or other unverified SLA/performance claim.</w:t>
      </w:r>
    </w:p>
    <w:p>
      <w:pPr>
        <w:pStyle w:val="ListBullet"/>
      </w:pPr>
      <w:r>
        <w:rPr>
          <w:i w:val="0"/>
        </w:rPr>
        <w:t>$145.95/month or any fixed legacy institutional price.</w:t>
      </w:r>
    </w:p>
    <w:p>
      <w:pPr>
        <w:pStyle w:val="ListBullet"/>
      </w:pPr>
      <w:r>
        <w:rPr>
          <w:i w:val="0"/>
        </w:rPr>
        <w:t>Free API trial for every university or any universal trial entitlement.</w:t>
      </w:r>
    </w:p>
    <w:p>
      <w:pPr>
        <w:pStyle w:val="ListBullet"/>
      </w:pPr>
      <w:r>
        <w:rPr>
          <w:i w:val="0"/>
        </w:rPr>
        <w:t>500,000 Clients; 76.8% Returning Customers; 1000+ Scholarly Journals without separate evidence.</w:t>
      </w:r>
    </w:p>
    <w:p>
      <w:pPr>
        <w:pStyle w:val="ListBullet"/>
      </w:pPr>
      <w:r>
        <w:rPr>
          <w:i w:val="0"/>
        </w:rPr>
        <w:t>AI accuracy claims or named AI-model detection coverage.</w:t>
      </w:r>
    </w:p>
    <w:p>
      <w:pPr>
        <w:pStyle w:val="ListBullet"/>
      </w:pPr>
      <w:r>
        <w:rPr>
          <w:i w:val="0"/>
        </w:rPr>
        <w:t>Generic “future cooperation,” “innovative algorithm,” “extended functionality” or similar filler in place of product evidence.</w:t>
      </w:r>
    </w:p>
    <w:p>
      <w:pPr>
        <w:pStyle w:val="ListBullet"/>
      </w:pPr>
      <w:r>
        <w:rPr>
          <w:i w:val="0"/>
        </w:rPr>
        <w:t>Stock education photography used as the main proof when real report/Organization/Moodle evidence can be shown.</w:t>
      </w:r>
    </w:p>
    <w:p>
      <w:pPr>
        <w:pStyle w:val="Heading1"/>
        <w:keepNext/>
      </w:pPr>
      <w:r>
        <w:rPr>
          <w:i w:val="0"/>
        </w:rPr>
        <w:t>ACTUAL PRODUCT EVIDENCE RULE</w:t>
      </w:r>
    </w:p>
    <w:p>
      <w:pPr/>
      <w:r>
        <w:rPr>
          <w:i w:val="0"/>
        </w:rPr>
        <w:t>Institutional credibility should come primarily from real product behavior: the plagiarism report, Organization Management, Organization Storage semantics, Moodle controls and the API path. Decorative educational imagery may be used as secondary atmosphere, but it must not replace or contradict real product evidence.</w:t>
      </w:r>
    </w:p>
    <w:p>
      <w:pPr>
        <w:pStyle w:val="ListBullet"/>
      </w:pPr>
      <w:r>
        <w:rPr>
          <w:i w:val="0"/>
        </w:rPr>
        <w:t>Do not invent a university dashboard.</w:t>
      </w:r>
    </w:p>
    <w:p>
      <w:pPr>
        <w:pStyle w:val="ListBullet"/>
      </w:pPr>
      <w:r>
        <w:rPr>
          <w:i w:val="0"/>
        </w:rPr>
        <w:t>Do not fabricate student lists, courses, assignments, grades, analytics or admin KPIs.</w:t>
      </w:r>
    </w:p>
    <w:p>
      <w:pPr>
        <w:pStyle w:val="ListBullet"/>
      </w:pPr>
      <w:r>
        <w:rPr>
          <w:i w:val="0"/>
        </w:rPr>
        <w:t>If a real Organization Management screenshot is used, crop/frame it without changing its real labels or inventing extra controls.</w:t>
      </w:r>
    </w:p>
    <w:p>
      <w:pPr>
        <w:pStyle w:val="ListBullet"/>
      </w:pPr>
      <w:r>
        <w:rPr>
          <w:i w:val="0"/>
        </w:rPr>
        <w:t>If a real Moodle screenshot is used, preserve actual control labels/state. Do not create fake Moodle screens.</w:t>
      </w:r>
    </w:p>
    <w:p>
      <w:pPr>
        <w:pStyle w:val="ListBullet"/>
      </w:pPr>
      <w:r>
        <w:rPr>
          <w:i w:val="0"/>
        </w:rPr>
        <w:t>Real report semantics must remain unchanged from the approved product component.</w:t>
      </w:r>
    </w:p>
    <w:p>
      <w:pPr>
        <w:pStyle w:val="Heading1"/>
        <w:keepNext/>
      </w:pPr>
      <w:r>
        <w:rPr>
          <w:i w:val="0"/>
        </w:rPr>
        <w:t>RESPONSIVE RULES</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shd w:fill="182B4D"/>
            <w:vAlign w:val="center"/>
            <w:tcMar>
              <w:top w:w="90" w:type="dxa"/>
              <w:start w:w="110" w:type="dxa"/>
              <w:bottom w:w="90" w:type="dxa"/>
              <w:end w:w="110" w:type="dxa"/>
            </w:tcMar>
          </w:tcPr>
          <w:p>
            <w:r>
              <w:rPr>
                <w:b/>
                <w:color w:val="FFFFFF"/>
                <w:sz w:val="19"/>
              </w:rPr>
              <w:t>Breakpoint / element</w:t>
            </w:r>
          </w:p>
        </w:tc>
        <w:tc>
          <w:tcPr>
            <w:tcW w:type="dxa" w:w="7632"/>
            <w:shd w:fill="182B4D"/>
            <w:vAlign w:val="center"/>
            <w:tcMar>
              <w:top w:w="90" w:type="dxa"/>
              <w:start w:w="110" w:type="dxa"/>
              <w:bottom w:w="90" w:type="dxa"/>
              <w:end w:w="110" w:type="dxa"/>
            </w:tcMar>
          </w:tcPr>
          <w:p>
            <w:r>
              <w:rPr>
                <w:b/>
                <w:color w:val="FFFFFF"/>
                <w:sz w:val="19"/>
              </w:rPr>
              <w:t>Requirement</w:t>
            </w:r>
          </w:p>
        </w:tc>
      </w:tr>
      <w:tr>
        <w:trPr>
          <w:cantSplit/>
        </w:trPr>
        <w:tc>
          <w:tcPr>
            <w:tcW w:type="dxa" w:w="2880"/>
            <w:vAlign w:val="top"/>
            <w:tcMar>
              <w:top w:w="90" w:type="dxa"/>
              <w:start w:w="110" w:type="dxa"/>
              <w:bottom w:w="90" w:type="dxa"/>
              <w:end w:w="110" w:type="dxa"/>
            </w:tcMar>
          </w:tcPr>
          <w:p>
            <w:r>
              <w:rPr>
                <w:sz w:val="18"/>
              </w:rPr>
              <w:t>DOM / reading order</w:t>
            </w:r>
          </w:p>
        </w:tc>
        <w:tc>
          <w:tcPr>
            <w:tcW w:type="dxa" w:w="7632"/>
            <w:vAlign w:val="top"/>
            <w:tcMar>
              <w:top w:w="90" w:type="dxa"/>
              <w:start w:w="110" w:type="dxa"/>
              <w:bottom w:w="90" w:type="dxa"/>
              <w:end w:w="110" w:type="dxa"/>
            </w:tcMar>
          </w:tcPr>
          <w:p>
            <w:r>
              <w:rPr>
                <w:sz w:val="18"/>
              </w:rPr>
              <w:t>The 12 semantic sections must remain in the approved order in the DOM. Visual side-by-side arrangements may not change semantic order.</w:t>
            </w:r>
          </w:p>
        </w:tc>
      </w:tr>
      <w:tr>
        <w:trPr>
          <w:cantSplit/>
        </w:trPr>
        <w:tc>
          <w:tcPr>
            <w:tcW w:type="dxa" w:w="2880"/>
            <w:vAlign w:val="top"/>
            <w:tcMar>
              <w:top w:w="90" w:type="dxa"/>
              <w:start w:w="110" w:type="dxa"/>
              <w:bottom w:w="90" w:type="dxa"/>
              <w:end w:w="110" w:type="dxa"/>
            </w:tcMar>
          </w:tcPr>
          <w:p>
            <w:r>
              <w:rPr>
                <w:sz w:val="18"/>
              </w:rPr>
              <w:t>Hero ≥1024px</w:t>
            </w:r>
          </w:p>
        </w:tc>
        <w:tc>
          <w:tcPr>
            <w:tcW w:type="dxa" w:w="7632"/>
            <w:vAlign w:val="top"/>
            <w:tcMar>
              <w:top w:w="90" w:type="dxa"/>
              <w:start w:w="110" w:type="dxa"/>
              <w:bottom w:w="90" w:type="dxa"/>
              <w:end w:w="110" w:type="dxa"/>
            </w:tcMar>
          </w:tcPr>
          <w:p>
            <w:r>
              <w:rPr>
                <w:sz w:val="18"/>
              </w:rPr>
              <w:t>May use a two-column Solution Hero or other established system composition. Primary institutional CTA and category must remain immediately clear.</w:t>
            </w:r>
          </w:p>
        </w:tc>
      </w:tr>
      <w:tr>
        <w:trPr>
          <w:cantSplit/>
        </w:trPr>
        <w:tc>
          <w:tcPr>
            <w:tcW w:type="dxa" w:w="2880"/>
            <w:vAlign w:val="top"/>
            <w:tcMar>
              <w:top w:w="90" w:type="dxa"/>
              <w:start w:w="110" w:type="dxa"/>
              <w:bottom w:w="90" w:type="dxa"/>
              <w:end w:w="110" w:type="dxa"/>
            </w:tcMar>
          </w:tcPr>
          <w:p>
            <w:r>
              <w:rPr>
                <w:sz w:val="18"/>
              </w:rPr>
              <w:t>Hero &lt;1024px</w:t>
            </w:r>
          </w:p>
        </w:tc>
        <w:tc>
          <w:tcPr>
            <w:tcW w:type="dxa" w:w="7632"/>
            <w:vAlign w:val="top"/>
            <w:tcMar>
              <w:top w:w="90" w:type="dxa"/>
              <w:start w:w="110" w:type="dxa"/>
              <w:bottom w:w="90" w:type="dxa"/>
              <w:end w:w="110" w:type="dxa"/>
            </w:tcMar>
          </w:tcPr>
          <w:p>
            <w:r>
              <w:rPr>
                <w:sz w:val="18"/>
              </w:rPr>
              <w:t>Stack content without hiding either CTA. H1/supporting copy must not become image text.</w:t>
            </w:r>
          </w:p>
        </w:tc>
      </w:tr>
      <w:tr>
        <w:trPr>
          <w:cantSplit/>
        </w:trPr>
        <w:tc>
          <w:tcPr>
            <w:tcW w:type="dxa" w:w="2880"/>
            <w:vAlign w:val="top"/>
            <w:tcMar>
              <w:top w:w="90" w:type="dxa"/>
              <w:start w:w="110" w:type="dxa"/>
              <w:bottom w:w="90" w:type="dxa"/>
              <w:end w:w="110" w:type="dxa"/>
            </w:tcMar>
          </w:tcPr>
          <w:p>
            <w:r>
              <w:rPr>
                <w:sz w:val="18"/>
              </w:rPr>
              <w:t>Report evidence</w:t>
            </w:r>
          </w:p>
        </w:tc>
        <w:tc>
          <w:tcPr>
            <w:tcW w:type="dxa" w:w="7632"/>
            <w:vAlign w:val="top"/>
            <w:tcMar>
              <w:top w:w="90" w:type="dxa"/>
              <w:start w:w="110" w:type="dxa"/>
              <w:bottom w:w="90" w:type="dxa"/>
              <w:end w:w="110" w:type="dxa"/>
            </w:tcMar>
          </w:tcPr>
          <w:p>
            <w:r>
              <w:rPr>
                <w:sz w:val="18"/>
              </w:rPr>
              <w:t>Desktop may use the approved interactive/side-by-side report. Mobile must preserve readable report evidence; use responsive crop, stacked detail or existing mobile report treatment rather than shrinking to illegibility.</w:t>
            </w:r>
          </w:p>
        </w:tc>
      </w:tr>
      <w:tr>
        <w:trPr>
          <w:cantSplit/>
        </w:trPr>
        <w:tc>
          <w:tcPr>
            <w:tcW w:type="dxa" w:w="2880"/>
            <w:vAlign w:val="top"/>
            <w:tcMar>
              <w:top w:w="90" w:type="dxa"/>
              <w:start w:w="110" w:type="dxa"/>
              <w:bottom w:w="90" w:type="dxa"/>
              <w:end w:w="110" w:type="dxa"/>
            </w:tcMar>
          </w:tcPr>
          <w:p>
            <w:r>
              <w:rPr>
                <w:sz w:val="18"/>
              </w:rPr>
              <w:t>Organization management</w:t>
            </w:r>
          </w:p>
        </w:tc>
        <w:tc>
          <w:tcPr>
            <w:tcW w:type="dxa" w:w="7632"/>
            <w:vAlign w:val="top"/>
            <w:tcMar>
              <w:top w:w="90" w:type="dxa"/>
              <w:start w:w="110" w:type="dxa"/>
              <w:bottom w:w="90" w:type="dxa"/>
              <w:end w:w="110" w:type="dxa"/>
            </w:tcMar>
          </w:tcPr>
          <w:p>
            <w:r>
              <w:rPr>
                <w:sz w:val="18"/>
              </w:rPr>
              <w:t>Capability items may become stacked cards/rows. Permission/balance/Storage distinctions must remain explicit.</w:t>
            </w:r>
          </w:p>
        </w:tc>
      </w:tr>
      <w:tr>
        <w:trPr>
          <w:cantSplit/>
        </w:trPr>
        <w:tc>
          <w:tcPr>
            <w:tcW w:type="dxa" w:w="2880"/>
            <w:vAlign w:val="top"/>
            <w:tcMar>
              <w:top w:w="90" w:type="dxa"/>
              <w:start w:w="110" w:type="dxa"/>
              <w:bottom w:w="90" w:type="dxa"/>
              <w:end w:w="110" w:type="dxa"/>
            </w:tcMar>
          </w:tcPr>
          <w:p>
            <w:r>
              <w:rPr>
                <w:sz w:val="18"/>
              </w:rPr>
              <w:t>Sources / Storage</w:t>
            </w:r>
          </w:p>
        </w:tc>
        <w:tc>
          <w:tcPr>
            <w:tcW w:type="dxa" w:w="7632"/>
            <w:vAlign w:val="top"/>
            <w:tcMar>
              <w:top w:w="90" w:type="dxa"/>
              <w:start w:w="110" w:type="dxa"/>
              <w:bottom w:w="90" w:type="dxa"/>
              <w:end w:w="110" w:type="dxa"/>
            </w:tcMar>
          </w:tcPr>
          <w:p>
            <w:r>
              <w:rPr>
                <w:sz w:val="18"/>
              </w:rPr>
              <w:t>External versus institution-controlled sources must remain understandable on narrow screens; do not merge them into one generic source card.</w:t>
            </w:r>
          </w:p>
        </w:tc>
      </w:tr>
      <w:tr>
        <w:trPr>
          <w:cantSplit/>
        </w:trPr>
        <w:tc>
          <w:tcPr>
            <w:tcW w:type="dxa" w:w="2880"/>
            <w:vAlign w:val="top"/>
            <w:tcMar>
              <w:top w:w="90" w:type="dxa"/>
              <w:start w:w="110" w:type="dxa"/>
              <w:bottom w:w="90" w:type="dxa"/>
              <w:end w:w="110" w:type="dxa"/>
            </w:tcMar>
          </w:tcPr>
          <w:p>
            <w:r>
              <w:rPr>
                <w:sz w:val="18"/>
              </w:rPr>
              <w:t>Deployment paths</w:t>
            </w:r>
          </w:p>
        </w:tc>
        <w:tc>
          <w:tcPr>
            <w:tcW w:type="dxa" w:w="7632"/>
            <w:vAlign w:val="top"/>
            <w:tcMar>
              <w:top w:w="90" w:type="dxa"/>
              <w:start w:w="110" w:type="dxa"/>
              <w:bottom w:w="90" w:type="dxa"/>
              <w:end w:w="110" w:type="dxa"/>
            </w:tcMar>
          </w:tcPr>
          <w:p>
            <w:r>
              <w:rPr>
                <w:sz w:val="18"/>
              </w:rPr>
              <w:t>Workspace / Moodle / API may stack. Each path retains its label, body copy and approved CTA where specified.</w:t>
            </w:r>
          </w:p>
        </w:tc>
      </w:tr>
      <w:tr>
        <w:trPr>
          <w:cantSplit/>
        </w:trPr>
        <w:tc>
          <w:tcPr>
            <w:tcW w:type="dxa" w:w="2880"/>
            <w:vAlign w:val="top"/>
            <w:tcMar>
              <w:top w:w="90" w:type="dxa"/>
              <w:start w:w="110" w:type="dxa"/>
              <w:bottom w:w="90" w:type="dxa"/>
              <w:end w:w="110" w:type="dxa"/>
            </w:tcMar>
          </w:tcPr>
          <w:p>
            <w:r>
              <w:rPr>
                <w:sz w:val="18"/>
              </w:rPr>
              <w:t>Moodle controls</w:t>
            </w:r>
          </w:p>
        </w:tc>
        <w:tc>
          <w:tcPr>
            <w:tcW w:type="dxa" w:w="7632"/>
            <w:vAlign w:val="top"/>
            <w:tcMar>
              <w:top w:w="90" w:type="dxa"/>
              <w:start w:w="110" w:type="dxa"/>
              <w:bottom w:w="90" w:type="dxa"/>
              <w:end w:w="110" w:type="dxa"/>
            </w:tcMar>
          </w:tcPr>
          <w:p>
            <w:r>
              <w:rPr>
                <w:sz w:val="18"/>
              </w:rPr>
              <w:t>All six controls remain present. Layout may change, copy may not be removed for mobile.</w:t>
            </w:r>
          </w:p>
        </w:tc>
      </w:tr>
      <w:tr>
        <w:trPr>
          <w:cantSplit/>
        </w:trPr>
        <w:tc>
          <w:tcPr>
            <w:tcW w:type="dxa" w:w="2880"/>
            <w:vAlign w:val="top"/>
            <w:tcMar>
              <w:top w:w="90" w:type="dxa"/>
              <w:start w:w="110" w:type="dxa"/>
              <w:bottom w:w="90" w:type="dxa"/>
              <w:end w:w="110" w:type="dxa"/>
            </w:tcMar>
          </w:tcPr>
          <w:p>
            <w:r>
              <w:rPr>
                <w:sz w:val="18"/>
              </w:rPr>
              <w:t>Roles</w:t>
            </w:r>
          </w:p>
        </w:tc>
        <w:tc>
          <w:tcPr>
            <w:tcW w:type="dxa" w:w="7632"/>
            <w:vAlign w:val="top"/>
            <w:tcMar>
              <w:top w:w="90" w:type="dxa"/>
              <w:start w:w="110" w:type="dxa"/>
              <w:bottom w:w="90" w:type="dxa"/>
              <w:end w:w="110" w:type="dxa"/>
            </w:tcMar>
          </w:tcPr>
          <w:p>
            <w:r>
              <w:rPr>
                <w:sz w:val="18"/>
              </w:rPr>
              <w:t>Administrator / Educator / Technical and LMS teams remain distinct and accessible.</w:t>
            </w:r>
          </w:p>
        </w:tc>
      </w:tr>
      <w:tr>
        <w:trPr>
          <w:cantSplit/>
        </w:trPr>
        <w:tc>
          <w:tcPr>
            <w:tcW w:type="dxa" w:w="2880"/>
            <w:vAlign w:val="top"/>
            <w:tcMar>
              <w:top w:w="90" w:type="dxa"/>
              <w:start w:w="110" w:type="dxa"/>
              <w:bottom w:w="90" w:type="dxa"/>
              <w:end w:w="110" w:type="dxa"/>
            </w:tcMar>
          </w:tcPr>
          <w:p>
            <w:r>
              <w:rPr>
                <w:sz w:val="18"/>
              </w:rPr>
              <w:t>Inquiry form</w:t>
            </w:r>
          </w:p>
        </w:tc>
        <w:tc>
          <w:tcPr>
            <w:tcW w:type="dxa" w:w="7632"/>
            <w:vAlign w:val="top"/>
            <w:tcMar>
              <w:top w:w="90" w:type="dxa"/>
              <w:start w:w="110" w:type="dxa"/>
              <w:bottom w:w="90" w:type="dxa"/>
              <w:end w:w="110" w:type="dxa"/>
            </w:tcMar>
          </w:tcPr>
          <w:p>
            <w:r>
              <w:rPr>
                <w:sz w:val="18"/>
              </w:rPr>
              <w:t>Single-column on small screens. Conditional Moodle URL should reveal without layout jump that hides context. Required/optional status must remain clear.</w:t>
            </w:r>
          </w:p>
        </w:tc>
      </w:tr>
      <w:tr>
        <w:trPr>
          <w:cantSplit/>
        </w:trPr>
        <w:tc>
          <w:tcPr>
            <w:tcW w:type="dxa" w:w="2880"/>
            <w:vAlign w:val="top"/>
            <w:tcMar>
              <w:top w:w="90" w:type="dxa"/>
              <w:start w:w="110" w:type="dxa"/>
              <w:bottom w:w="90" w:type="dxa"/>
              <w:end w:w="110" w:type="dxa"/>
            </w:tcMar>
          </w:tcPr>
          <w:p>
            <w:r>
              <w:rPr>
                <w:sz w:val="18"/>
              </w:rPr>
              <w:t>FAQ</w:t>
            </w:r>
          </w:p>
        </w:tc>
        <w:tc>
          <w:tcPr>
            <w:tcW w:type="dxa" w:w="7632"/>
            <w:vAlign w:val="top"/>
            <w:tcMar>
              <w:top w:w="90" w:type="dxa"/>
              <w:start w:w="110" w:type="dxa"/>
              <w:bottom w:w="90" w:type="dxa"/>
              <w:end w:w="110" w:type="dxa"/>
            </w:tcMar>
          </w:tcPr>
          <w:p>
            <w:r>
              <w:rPr>
                <w:sz w:val="18"/>
              </w:rPr>
              <w:t>Accordion controls require accessible focus, labels and comfortable tap targets. FAQ answers must remain in rendered HTML.</w:t>
            </w:r>
          </w:p>
        </w:tc>
      </w:tr>
    </w:tbl>
    <w:p/>
    <w:p>
      <w:pPr>
        <w:pStyle w:val="Heading1"/>
        <w:keepNext/>
      </w:pPr>
      <w:r>
        <w:rPr>
          <w:i w:val="0"/>
        </w:rPr>
        <w:t>SEO / HTML REQUIREMENTS</w:t>
      </w:r>
    </w:p>
    <w:p>
      <w:pPr>
        <w:pStyle w:val="ListBullet"/>
      </w:pPr>
      <w:r>
        <w:rPr>
          <w:i w:val="0"/>
        </w:rPr>
        <w:t>Exactly one visible H1: University Plagiarism Checker.</w:t>
      </w:r>
    </w:p>
    <w:p>
      <w:pPr>
        <w:pStyle w:val="ListBullet"/>
      </w:pPr>
      <w:r>
        <w:rPr>
          <w:i w:val="0"/>
        </w:rPr>
        <w:t>Use the exact Title and Meta description in the approved baseline below unless an explicit later SEO decision replaces them.</w:t>
      </w:r>
    </w:p>
    <w:p>
      <w:pPr>
        <w:pStyle w:val="ListBullet"/>
      </w:pPr>
      <w:r>
        <w:rPr>
          <w:i w:val="0"/>
        </w:rPr>
        <w:t>Self-canonical to https://plagiarismsearch.com/university-plagiarism-checker.</w:t>
      </w:r>
    </w:p>
    <w:p>
      <w:pPr>
        <w:pStyle w:val="ListBullet"/>
      </w:pPr>
      <w:r>
        <w:rPr>
          <w:i w:val="0"/>
        </w:rPr>
        <w:t>Keep important institutional/product copy in rendered, indexable HTML. Do not hide core copy in images or require client-side fetches for essential text.</w:t>
      </w:r>
    </w:p>
    <w:p>
      <w:pPr>
        <w:pStyle w:val="ListBullet"/>
      </w:pPr>
      <w:r>
        <w:rPr>
          <w:i w:val="0"/>
        </w:rPr>
        <w:t>FAQ questions and answers must exist in rendered HTML even when visually collapsed.</w:t>
      </w:r>
    </w:p>
    <w:p>
      <w:pPr>
        <w:pStyle w:val="ListBullet"/>
      </w:pPr>
      <w:r>
        <w:rPr>
          <w:i w:val="0"/>
        </w:rPr>
        <w:t>Use clean production routes in all links. Do not ship .html prototype links.</w:t>
      </w:r>
    </w:p>
    <w:p>
      <w:pPr>
        <w:pStyle w:val="ListBullet"/>
      </w:pPr>
      <w:r>
        <w:rPr>
          <w:i w:val="0"/>
        </w:rPr>
        <w:t>Approved internal links must use real crawlable &lt;a href&gt; destinations, not click handlers as the only navigation mechanism.</w:t>
      </w:r>
    </w:p>
    <w:p>
      <w:pPr>
        <w:pStyle w:val="ListBullet"/>
      </w:pPr>
      <w:r>
        <w:rPr>
          <w:i w:val="0"/>
        </w:rPr>
        <w:t>Do not create hidden SEO paragraphs, duplicated persona blocks, keyword-swapped university/college/school variants or new locale URLs from this task.</w:t>
      </w:r>
    </w:p>
    <w:p>
      <w:pPr>
        <w:pStyle w:val="ListBullet"/>
      </w:pPr>
      <w:r>
        <w:rPr>
          <w:i w:val="0"/>
        </w:rPr>
        <w:t>Do not change the route/canonical because the content broadens to higher-education institutions. URL migration is separate work.</w:t>
      </w:r>
    </w:p>
    <w:p>
      <w:pPr>
        <w:pStyle w:val="ListBullet"/>
      </w:pPr>
      <w:r>
        <w:rPr>
          <w:i w:val="0"/>
        </w:rPr>
        <w:t>Do not add FAQ structured data unless the site-wide strategy permits it; if used, schema must exactly match visible FAQ content.</w:t>
      </w:r>
    </w:p>
    <w:p>
      <w:pPr>
        <w:pStyle w:val="Heading1"/>
        <w:keepNext/>
      </w:pPr>
      <w:r>
        <w:rPr>
          <w:i w:val="0"/>
        </w:rPr>
        <w:t>HEADER / FOOTER</w:t>
      </w:r>
    </w:p>
    <w:p>
      <w:pPr/>
      <w:r>
        <w:rPr>
          <w:i w:val="0"/>
        </w:rPr>
        <w:t>Out of scope. Reuse the separately approved global navigation/header/footer system. Do not create University-specific navigation or modify the global Solutions architecture from this task. Body links in this brief are the approved page-specific destinations.</w:t>
      </w:r>
    </w:p>
    <w:p>
      <w:pPr>
        <w:pStyle w:val="Heading1"/>
        <w:keepNext/>
      </w:pPr>
      <w:r>
        <w:rPr>
          <w:i w:val="0"/>
        </w:rPr>
        <w:t>OUT OF SCOPE / ADJACENT QA</w:t>
      </w:r>
    </w:p>
    <w:p>
      <w:pPr>
        <w:pStyle w:val="ListBullet"/>
      </w:pPr>
      <w:r>
        <w:rPr>
          <w:i w:val="0"/>
        </w:rPr>
        <w:t>Do not redesign /organization-management from this task.</w:t>
      </w:r>
    </w:p>
    <w:p>
      <w:pPr>
        <w:pStyle w:val="ListBullet"/>
      </w:pPr>
      <w:r>
        <w:rPr>
          <w:i w:val="0"/>
        </w:rPr>
        <w:t>Do not redesign /integration-guide from this task.</w:t>
      </w:r>
    </w:p>
    <w:p>
      <w:pPr>
        <w:pStyle w:val="ListBullet"/>
      </w:pPr>
      <w:r>
        <w:rPr>
          <w:i w:val="0"/>
        </w:rPr>
        <w:t>Do not redesign /plagiarism-api from this task.</w:t>
      </w:r>
    </w:p>
    <w:p>
      <w:pPr>
        <w:pStyle w:val="ListBullet"/>
      </w:pPr>
      <w:r>
        <w:rPr>
          <w:i w:val="0"/>
        </w:rPr>
        <w:t>Do not redesign /ai-content-detector from this task.</w:t>
      </w:r>
    </w:p>
    <w:p>
      <w:pPr>
        <w:pStyle w:val="ListBullet"/>
      </w:pPr>
      <w:r>
        <w:rPr>
          <w:i w:val="0"/>
        </w:rPr>
        <w:t>Do not redesign /plagiarism-checker-for-students or create a student section to absorb its intent.</w:t>
      </w:r>
    </w:p>
    <w:p>
      <w:pPr>
        <w:pStyle w:val="ListBullet"/>
      </w:pPr>
      <w:r>
        <w:rPr>
          <w:i w:val="0"/>
        </w:rPr>
        <w:t>Do not build a new pricing widget or publish an institutional price matrix.</w:t>
      </w:r>
    </w:p>
    <w:p>
      <w:pPr>
        <w:pStyle w:val="ListBullet"/>
      </w:pPr>
      <w:r>
        <w:rPr>
          <w:i w:val="0"/>
        </w:rPr>
        <w:t>Do not create native classroom/assignment functionality in design mocks.</w:t>
      </w:r>
    </w:p>
    <w:p>
      <w:pPr>
        <w:pStyle w:val="ListBullet"/>
      </w:pPr>
      <w:r>
        <w:rPr>
          <w:i w:val="0"/>
        </w:rPr>
        <w:t>Legacy /university-plagiarism-checker.html backlink/status reclamation is migration/SEO QA, not a Claude layout action. Do not add a redirect without a separately approved migration decision.</w:t>
      </w:r>
    </w:p>
    <w:p>
      <w:pPr>
        <w:pStyle w:val="Heading1"/>
        <w:keepNext/>
      </w:pPr>
      <w:r>
        <w:rPr>
          <w:i w:val="0"/>
        </w:rPr>
        <w:t>DEVIATIONS PROTOCOL</w:t>
      </w:r>
    </w:p>
    <w:p>
      <w:pPr/>
      <w:r>
        <w:rPr>
          <w:i w:val="0"/>
        </w:rPr>
        <w:t>Only the user/product owner may approve a deviation from fixed copy, section order, claim rules, destination URLs, product semantics, Storage behavior, Moodle behavior, form fields or CTA hierarchy. Claude may make normal visual/layout decisions without approval. If a fixed requirement is impossible, mark it NEEDS INPUT rather than improvising.</w:t>
      </w:r>
    </w:p>
    <w:p>
      <w:pPr/>
      <w:r>
        <w:rPr>
          <w:i w:val="0"/>
        </w:rPr>
        <w:t>Any approved deviation must be recorded in implementation notes as: WAIVED — [brief clause / exact item] — [date] — approved by user/product owner — [replacement decision]. Do not silently reverse or override DEC-0043.</w:t>
      </w:r>
    </w:p>
    <w:p>
      <w:pPr>
        <w:pStyle w:val="Heading1"/>
        <w:keepNext/>
      </w:pPr>
      <w:r>
        <w:rPr>
          <w:i w:val="0"/>
        </w:rPr>
        <w:t>PAGE-LEVEL DEFINITION OF DONE</w:t>
      </w:r>
    </w:p>
    <w:p>
      <w:pPr>
        <w:pStyle w:val="ListBullet"/>
      </w:pPr>
      <w:r>
        <w:rPr>
          <w:i w:val="0"/>
        </w:rPr>
        <w:t>The page is unmistakably an institutional university/higher-education solution, not a generic checker or student page.</w:t>
      </w:r>
    </w:p>
    <w:p>
      <w:pPr>
        <w:pStyle w:val="ListBullet"/>
      </w:pPr>
      <w:r>
        <w:rPr>
          <w:i w:val="0"/>
        </w:rPr>
        <w:t>The live URL is preserved and the exact approved H1/title/meta are used.</w:t>
      </w:r>
    </w:p>
    <w:p>
      <w:pPr>
        <w:pStyle w:val="ListBullet"/>
      </w:pPr>
      <w:r>
        <w:rPr>
          <w:i w:val="0"/>
        </w:rPr>
        <w:t>The page leads with institutional value and real report evidence, not punitive cheating language or generic marketing.</w:t>
      </w:r>
    </w:p>
    <w:p>
      <w:pPr>
        <w:pStyle w:val="ListBullet"/>
      </w:pPr>
      <w:r>
        <w:rPr>
          <w:i w:val="0"/>
        </w:rPr>
        <w:t>Organization Management accurately explains members, permissions, plagiarism balance, AI balance and Organization Storage access.</w:t>
      </w:r>
    </w:p>
    <w:p>
      <w:pPr>
        <w:pStyle w:val="ListBullet"/>
      </w:pPr>
      <w:r>
        <w:rPr>
          <w:i w:val="0"/>
        </w:rPr>
        <w:t>Organization Storage is never presented as automatic ingestion of every checked document.</w:t>
      </w:r>
    </w:p>
    <w:p>
      <w:pPr>
        <w:pStyle w:val="ListBullet"/>
      </w:pPr>
      <w:r>
        <w:rPr>
          <w:i w:val="0"/>
        </w:rPr>
        <w:t>The three deployment paths are exactly Organization workspace, Moodle integration and API integration.</w:t>
      </w:r>
    </w:p>
    <w:p>
      <w:pPr>
        <w:pStyle w:val="ListBullet"/>
      </w:pPr>
      <w:r>
        <w:rPr>
          <w:i w:val="0"/>
        </w:rPr>
        <w:t>Moodle uses only the confirmed workflow controls and does not imply standalone PlagiarismSearch classes/assignments.</w:t>
      </w:r>
    </w:p>
    <w:p>
      <w:pPr>
        <w:pStyle w:val="ListBullet"/>
      </w:pPr>
      <w:r>
        <w:rPr>
          <w:i w:val="0"/>
        </w:rPr>
        <w:t>Data handling distinguishes report retention from Organization Storage.</w:t>
      </w:r>
    </w:p>
    <w:p>
      <w:pPr>
        <w:pStyle w:val="ListBullet"/>
      </w:pPr>
      <w:r>
        <w:rPr>
          <w:i w:val="0"/>
        </w:rPr>
        <w:t>AI remains secondary and separate from plagiarism checking.</w:t>
      </w:r>
    </w:p>
    <w:p>
      <w:pPr>
        <w:pStyle w:val="ListBullet"/>
      </w:pPr>
      <w:r>
        <w:rPr>
          <w:i w:val="0"/>
        </w:rPr>
        <w:t>Institutional pricing/trial/security/SLA claims are not invented.</w:t>
      </w:r>
    </w:p>
    <w:p>
      <w:pPr>
        <w:pStyle w:val="ListBullet"/>
      </w:pPr>
      <w:r>
        <w:rPr>
          <w:i w:val="0"/>
        </w:rPr>
        <w:t>The inquiry form uses the exact institutional fields and does not contain Facebook/LinkedIn or response-time promises.</w:t>
      </w:r>
    </w:p>
    <w:p>
      <w:pPr>
        <w:pStyle w:val="ListBullet"/>
      </w:pPr>
      <w:r>
        <w:rPr>
          <w:i w:val="0"/>
        </w:rPr>
        <w:t>FAQ content is exact and addresses institutional procurement/workflow questions.</w:t>
      </w:r>
    </w:p>
    <w:p>
      <w:pPr>
        <w:pStyle w:val="ListBullet"/>
      </w:pPr>
      <w:r>
        <w:rPr>
          <w:i w:val="0"/>
        </w:rPr>
        <w:t>All approved links use clean routes and all core copy is rendered/indexable.</w:t>
      </w:r>
    </w:p>
    <w:p>
      <w:pPr>
        <w:pStyle w:val="ListBullet"/>
      </w:pPr>
      <w:r>
        <w:rPr>
          <w:i w:val="0"/>
        </w:rPr>
        <w:t>No new design system is created; the implementation fits the established redesign and yields reusable Solution-family candidates for later QA.</w:t>
      </w:r>
    </w:p>
    <w:p>
      <w:r>
        <w:br/>
        <w:br w:type="page"/>
      </w:r>
    </w:p>
    <w:p>
      <w:pPr>
        <w:pStyle w:val="Kicker"/>
        <w:keepNext/>
      </w:pPr>
      <w:r>
        <w:rPr>
          <w:i w:val="0"/>
        </w:rPr>
        <w:t>APPROVED CONTENT BASELINE</w:t>
      </w:r>
    </w:p>
    <w:p>
      <w:pPr>
        <w:pStyle w:val="Small"/>
      </w:pPr>
      <w:r>
        <w:rPr>
          <w:i w:val="0"/>
        </w:rPr>
        <w:t>Everything below is visible-page content or an explicit implementation note. Static copy is frozen. Dynamic/gated items are labelled. Do not rewrite visible copy.</w:t>
      </w:r>
    </w:p>
    <w:p>
      <w:pPr>
        <w:pStyle w:val="Heading1"/>
        <w:keepNext/>
      </w:pPr>
      <w:r>
        <w:rPr>
          <w:i w:val="0"/>
        </w:rPr>
        <w:t>PAGE-LEVEL SEO</w:t>
      </w:r>
    </w:p>
    <w:p>
      <w:pPr>
        <w:pStyle w:val="FixedCopy"/>
      </w:pPr>
      <w:r>
        <w:rPr>
          <w:i w:val="0"/>
        </w:rPr>
        <w:t>URL: https://plagiarismsearch.com/university-plagiarism-checker</w:t>
      </w:r>
    </w:p>
    <w:p>
      <w:pPr>
        <w:pStyle w:val="FixedCopy"/>
      </w:pPr>
      <w:r>
        <w:rPr>
          <w:i w:val="0"/>
        </w:rPr>
        <w:t>Title: University Plagiarism Checker for Higher Education | PlagiarismSearch</w:t>
      </w:r>
    </w:p>
    <w:p>
      <w:pPr>
        <w:pStyle w:val="FixedCopy"/>
      </w:pPr>
      <w:r>
        <w:rPr>
          <w:i w:val="0"/>
        </w:rPr>
        <w:t>Meta description: Manage plagiarism checking across your institution with source reports, organization permissions, shared Storage, Moodle workflows, and API integration.</w:t>
      </w:r>
    </w:p>
    <w:p>
      <w:pPr>
        <w:pStyle w:val="FixedCopy"/>
      </w:pPr>
      <w:r>
        <w:rPr>
          <w:i w:val="0"/>
        </w:rPr>
        <w:t>Canonical: https://plagiarismsearch.com/university-plagiarism-checker</w:t>
      </w:r>
    </w:p>
    <w:p>
      <w:pPr>
        <w:pStyle w:val="Heading1"/>
        <w:keepNext/>
      </w:pPr>
      <w:r>
        <w:rPr>
          <w:i w:val="0"/>
        </w:rPr>
        <w:t>SECTION 1 — INSTITUTIONAL HERO</w:t>
      </w:r>
    </w:p>
    <w:p>
      <w:pPr>
        <w:pStyle w:val="FixedCopy"/>
      </w:pPr>
      <w:r>
        <w:rPr>
          <w:i w:val="0"/>
        </w:rPr>
        <w:t>Anchor: #university-plagiarism-checker</w:t>
      </w:r>
    </w:p>
    <w:p>
      <w:pPr>
        <w:pStyle w:val="FixedCopy"/>
      </w:pPr>
      <w:r>
        <w:rPr>
          <w:i w:val="0"/>
        </w:rPr>
        <w:t>Eyebrow: FOR UNIVERSITIES &amp; HIGHER EDUCATION</w:t>
      </w:r>
    </w:p>
    <w:p>
      <w:pPr>
        <w:pStyle w:val="FixedCopy"/>
      </w:pPr>
      <w:r>
        <w:rPr>
          <w:i w:val="0"/>
        </w:rPr>
        <w:t>H1: University Plagiarism Checker</w:t>
      </w:r>
    </w:p>
    <w:p>
      <w:pPr>
        <w:pStyle w:val="FixedCopy"/>
      </w:pPr>
      <w:r>
        <w:rPr>
          <w:i w:val="0"/>
        </w:rPr>
        <w:t>Supporting copy: Support academic integrity with plagiarism checking your institution can manage. Give educators source evidence they can review, let administrators control access and checking balances, and choose the workflow that fits your institution — the PlagiarismSearch organization workspace, Moodle, or API.</w:t>
      </w:r>
    </w:p>
    <w:p>
      <w:pPr>
        <w:pStyle w:val="Kicker"/>
        <w:keepNext/>
      </w:pPr>
      <w:r>
        <w:rPr>
          <w:i w:val="0"/>
        </w:rPr>
        <w:t>PRIMARY CTA</w:t>
      </w:r>
    </w:p>
    <w:p>
      <w:pPr>
        <w:pStyle w:val="FixedCopy"/>
      </w:pPr>
      <w:r>
        <w:rPr>
          <w:i w:val="0"/>
        </w:rPr>
        <w:t>Request institutional pricing</w:t>
      </w:r>
    </w:p>
    <w:p>
      <w:pPr>
        <w:pStyle w:val="Small"/>
      </w:pPr>
      <w:r>
        <w:rPr>
          <w:i w:val="0"/>
        </w:rPr>
        <w:t>Destination: #institutional-inquiry</w:t>
      </w:r>
    </w:p>
    <w:p>
      <w:pPr>
        <w:pStyle w:val="Kicker"/>
        <w:keepNext/>
      </w:pPr>
      <w:r>
        <w:rPr>
          <w:i w:val="0"/>
        </w:rPr>
        <w:t>SECONDARY CTA</w:t>
      </w:r>
    </w:p>
    <w:p>
      <w:pPr>
        <w:pStyle w:val="FixedCopy"/>
      </w:pPr>
      <w:r>
        <w:rPr>
          <w:i w:val="0"/>
        </w:rPr>
        <w:t>See how it works</w:t>
      </w:r>
    </w:p>
    <w:p>
      <w:pPr>
        <w:pStyle w:val="Small"/>
      </w:pPr>
      <w:r>
        <w:rPr>
          <w:i w:val="0"/>
        </w:rPr>
        <w:t>Destination: #institutional-report</w:t>
      </w:r>
    </w:p>
    <w:p>
      <w:pPr>
        <w:pStyle w:val="FixedCopy"/>
      </w:pPr>
      <w:r>
        <w:rPr>
          <w:i w:val="0"/>
        </w:rPr>
        <w:t>Compact supporting line: For universities, colleges, academic departments, and other educational institutions.</w:t>
      </w:r>
    </w:p>
    <w:p>
      <w:pPr>
        <w:pStyle w:val="Kicker"/>
        <w:keepNext/>
      </w:pPr>
      <w:r>
        <w:rPr>
          <w:i w:val="0"/>
        </w:rPr>
        <w:t>IMPLEMENTATION NOTE</w:t>
      </w:r>
    </w:p>
    <w:p>
      <w:pPr/>
      <w:r>
        <w:rPr>
          <w:i w:val="0"/>
        </w:rPr>
        <w:t>Do not place an individual plagiarism-checker input in this hero. This is an institutional procurement/solution page.</w:t>
      </w:r>
    </w:p>
    <w:p>
      <w:pPr>
        <w:pStyle w:val="Kicker"/>
        <w:keepNext/>
      </w:pPr>
      <w:r>
        <w:rPr>
          <w:i w:val="0"/>
        </w:rPr>
        <w:t>PER-BLOCK ACCEPTANCE</w:t>
      </w:r>
    </w:p>
    <w:p>
      <w:pPr>
        <w:pStyle w:val="ListBullet"/>
      </w:pPr>
      <w:r>
        <w:rPr>
          <w:i w:val="0"/>
        </w:rPr>
        <w:t>H1 and primary institutional CTA are visible without requiring interaction.</w:t>
      </w:r>
    </w:p>
    <w:p>
      <w:pPr>
        <w:pStyle w:val="ListBullet"/>
      </w:pPr>
      <w:r>
        <w:rPr>
          <w:i w:val="0"/>
        </w:rPr>
        <w:t>Hero does not use “catch cheaters,” “most accurate,” fixed price, universal trial or consumer-plan language.</w:t>
      </w:r>
    </w:p>
    <w:p>
      <w:pPr>
        <w:pStyle w:val="ListBullet"/>
      </w:pPr>
      <w:r>
        <w:rPr>
          <w:i w:val="0"/>
        </w:rPr>
        <w:t>Hero may use real institutional/product visual evidence, but no fake university dashboard or fake LMS screen.</w:t>
      </w:r>
    </w:p>
    <w:p>
      <w:pPr>
        <w:pStyle w:val="Heading1"/>
        <w:keepNext/>
      </w:pPr>
      <w:r>
        <w:rPr>
          <w:i w:val="0"/>
        </w:rPr>
        <w:t>SECTION 2 — REAL REPORT / FACULTY EVIDENCE</w:t>
      </w:r>
    </w:p>
    <w:p>
      <w:pPr>
        <w:pStyle w:val="FixedCopy"/>
      </w:pPr>
      <w:r>
        <w:rPr>
          <w:i w:val="0"/>
        </w:rPr>
        <w:t>Anchor: #institutional-report</w:t>
      </w:r>
    </w:p>
    <w:p>
      <w:pPr>
        <w:pStyle w:val="FixedCopy"/>
      </w:pPr>
      <w:r>
        <w:rPr>
          <w:i w:val="0"/>
        </w:rPr>
        <w:t>H2: Give educators evidence they can review</w:t>
      </w:r>
    </w:p>
    <w:p>
      <w:pPr>
        <w:pStyle w:val="FixedCopy"/>
      </w:pPr>
      <w:r>
        <w:rPr>
          <w:i w:val="0"/>
        </w:rPr>
        <w:t>Intro: After a plagiarism check, the report highlights matching and similar passages and links them to detected sources. Educators can inspect the matched text, review the source context, and consider citations and references before reaching a conclusion.</w:t>
      </w:r>
    </w:p>
    <w:p>
      <w:pPr>
        <w:pStyle w:val="FixedCopy"/>
      </w:pPr>
      <w:r>
        <w:rPr>
          <w:i w:val="0"/>
        </w:rPr>
        <w:t>Supporting paragraph: A similarity result is evidence for review, not an automatic decision that academic misconduct occurred. The report helps educators understand where a match comes from and evaluate it in context.</w:t>
      </w:r>
    </w:p>
    <w:p>
      <w:pPr>
        <w:pStyle w:val="Heading3"/>
        <w:keepNext/>
      </w:pPr>
      <w:r>
        <w:rPr>
          <w:i w:val="0"/>
        </w:rPr>
        <w:t>Matched passages</w:t>
      </w:r>
    </w:p>
    <w:p>
      <w:pPr/>
      <w:r>
        <w:rPr>
          <w:i w:val="0"/>
        </w:rPr>
        <w:t>See where matching or similar text appears in the submitted document.</w:t>
      </w:r>
    </w:p>
    <w:p>
      <w:pPr>
        <w:pStyle w:val="Heading3"/>
        <w:keepNext/>
      </w:pPr>
      <w:r>
        <w:rPr>
          <w:i w:val="0"/>
        </w:rPr>
        <w:t>Detected sources</w:t>
      </w:r>
    </w:p>
    <w:p>
      <w:pPr/>
      <w:r>
        <w:rPr>
          <w:i w:val="0"/>
        </w:rPr>
        <w:t>Review the sources connected to individual matches.</w:t>
      </w:r>
    </w:p>
    <w:p>
      <w:pPr>
        <w:pStyle w:val="Heading3"/>
        <w:keepNext/>
      </w:pPr>
      <w:r>
        <w:rPr>
          <w:i w:val="0"/>
        </w:rPr>
        <w:t>Interactive review</w:t>
      </w:r>
    </w:p>
    <w:p>
      <w:pPr/>
      <w:r>
        <w:rPr>
          <w:i w:val="0"/>
        </w:rPr>
        <w:t>Select a match to highlight the corresponding passage and inspect its source.</w:t>
      </w:r>
    </w:p>
    <w:p>
      <w:pPr>
        <w:pStyle w:val="FixedCopy"/>
      </w:pPr>
      <w:r>
        <w:rPr>
          <w:i w:val="0"/>
        </w:rPr>
        <w:t>Signature callout: A similarity percentage should be interpreted together with the underlying matches, sources, citations, and context.</w:t>
      </w:r>
    </w:p>
    <w:p>
      <w:pPr>
        <w:pStyle w:val="Kicker"/>
        <w:keepNext/>
      </w:pPr>
      <w:r>
        <w:rPr>
          <w:i w:val="0"/>
        </w:rPr>
        <w:t>PRODUCT-EVIDENCE RULE</w:t>
      </w:r>
    </w:p>
    <w:p>
      <w:pPr/>
      <w:r>
        <w:rPr>
          <w:i w:val="0"/>
        </w:rPr>
        <w:t>Use the approved real PlagiarismSearch report state/component. Do not create fake university-specific report fields, disciplinary labels, pass/fail thresholds or invented similarity categories. The real UI label “Plagiarism” may remain where it appears in the actual product.</w:t>
      </w:r>
    </w:p>
    <w:p>
      <w:pPr>
        <w:pStyle w:val="Kicker"/>
        <w:keepNext/>
      </w:pPr>
      <w:r>
        <w:rPr>
          <w:i w:val="0"/>
        </w:rPr>
        <w:t>PER-BLOCK ACCEPTANCE</w:t>
      </w:r>
    </w:p>
    <w:p>
      <w:pPr>
        <w:pStyle w:val="ListBullet"/>
      </w:pPr>
      <w:r>
        <w:rPr>
          <w:i w:val="0"/>
        </w:rPr>
        <w:t>Real report evidence is visible; stock photography is not the only visual proof.</w:t>
      </w:r>
    </w:p>
    <w:p>
      <w:pPr>
        <w:pStyle w:val="ListBullet"/>
      </w:pPr>
      <w:r>
        <w:rPr>
          <w:i w:val="0"/>
        </w:rPr>
        <w:t>The section clearly separates report evidence from a human academic decision.</w:t>
      </w:r>
    </w:p>
    <w:p>
      <w:pPr>
        <w:pStyle w:val="ListBullet"/>
      </w:pPr>
      <w:r>
        <w:rPr>
          <w:i w:val="0"/>
        </w:rPr>
        <w:t>No invented thresholds, guilt/cheating labels or fake institutional report features appear.</w:t>
      </w:r>
    </w:p>
    <w:p>
      <w:pPr>
        <w:pStyle w:val="Heading1"/>
        <w:keepNext/>
      </w:pPr>
      <w:r>
        <w:rPr>
          <w:i w:val="0"/>
        </w:rPr>
        <w:t>SECTION 3 — ORGANIZATION MANAGEMENT</w:t>
      </w:r>
    </w:p>
    <w:p>
      <w:pPr>
        <w:pStyle w:val="FixedCopy"/>
      </w:pPr>
      <w:r>
        <w:rPr>
          <w:i w:val="0"/>
        </w:rPr>
        <w:t>Anchor: #institutional-management</w:t>
      </w:r>
    </w:p>
    <w:p>
      <w:pPr>
        <w:pStyle w:val="FixedCopy"/>
      </w:pPr>
      <w:r>
        <w:rPr>
          <w:i w:val="0"/>
        </w:rPr>
        <w:t>H2: Manage people, permissions, and checking balances across your institution</w:t>
      </w:r>
    </w:p>
    <w:p>
      <w:pPr>
        <w:pStyle w:val="FixedCopy"/>
      </w:pPr>
      <w:r>
        <w:rPr>
          <w:i w:val="0"/>
        </w:rPr>
        <w:t>Intro: PlagiarismSearch Organization Management gives administrators a central place to manage who can use institutional resources and how those resources are distributed.</w:t>
      </w:r>
    </w:p>
    <w:p>
      <w:pPr>
        <w:pStyle w:val="Heading3"/>
        <w:keepNext/>
      </w:pPr>
      <w:r>
        <w:rPr>
          <w:i w:val="0"/>
        </w:rPr>
        <w:t>Invite and manage members</w:t>
      </w:r>
    </w:p>
    <w:p>
      <w:pPr/>
      <w:r>
        <w:rPr>
          <w:i w:val="0"/>
        </w:rPr>
        <w:t>Add members to the organization by email and manage their access as your institutional team changes. Administrators can also block or restore member access when needed.</w:t>
      </w:r>
    </w:p>
    <w:p>
      <w:pPr>
        <w:pStyle w:val="Heading3"/>
        <w:keepNext/>
      </w:pPr>
      <w:r>
        <w:rPr>
          <w:i w:val="0"/>
        </w:rPr>
        <w:t>Set permissions</w:t>
      </w:r>
    </w:p>
    <w:p>
      <w:pPr/>
      <w:r>
        <w:rPr>
          <w:i w:val="0"/>
        </w:rPr>
        <w:t>Control which members can use organization Storage, search that Storage during plagiarism checks, access stored documents, and use organization checking resources.</w:t>
      </w:r>
    </w:p>
    <w:p>
      <w:pPr>
        <w:pStyle w:val="Heading3"/>
        <w:keepNext/>
      </w:pPr>
      <w:r>
        <w:rPr>
          <w:i w:val="0"/>
        </w:rPr>
        <w:t>Allocate plagiarism balance</w:t>
      </w:r>
    </w:p>
    <w:p>
      <w:pPr/>
      <w:r>
        <w:rPr>
          <w:i w:val="0"/>
        </w:rPr>
        <w:t>Distribute plagiarism-checking words from the organization balance to individual members according to the institution’s needs.</w:t>
      </w:r>
    </w:p>
    <w:p>
      <w:pPr>
        <w:pStyle w:val="Heading3"/>
        <w:keepNext/>
      </w:pPr>
      <w:r>
        <w:rPr>
          <w:i w:val="0"/>
        </w:rPr>
        <w:t>Allocate AI balance separately</w:t>
      </w:r>
    </w:p>
    <w:p>
      <w:pPr/>
      <w:r>
        <w:rPr>
          <w:i w:val="0"/>
        </w:rPr>
        <w:t>If your institution also uses AI detection, administrators can allocate AI words separately from plagiarism-checking balance.</w:t>
      </w:r>
    </w:p>
    <w:p>
      <w:pPr>
        <w:pStyle w:val="Heading3"/>
        <w:keepNext/>
      </w:pPr>
      <w:r>
        <w:rPr>
          <w:i w:val="0"/>
        </w:rPr>
        <w:t>Keep personal and organization usage separate</w:t>
      </w:r>
    </w:p>
    <w:p>
      <w:pPr/>
      <w:r>
        <w:rPr>
          <w:i w:val="0"/>
        </w:rPr>
        <w:t>Organization members can receive institutional balance while keeping their own personal balance separate. Personal balance is not shared with other members of the organization.</w:t>
      </w:r>
    </w:p>
    <w:p>
      <w:pPr>
        <w:pStyle w:val="Kicker"/>
        <w:keepNext/>
      </w:pPr>
      <w:r>
        <w:rPr>
          <w:i w:val="0"/>
        </w:rPr>
        <w:t>CTA</w:t>
      </w:r>
    </w:p>
    <w:p>
      <w:pPr>
        <w:pStyle w:val="FixedCopy"/>
      </w:pPr>
      <w:r>
        <w:rPr>
          <w:i w:val="0"/>
        </w:rPr>
        <w:t>Explore Organization Management</w:t>
      </w:r>
    </w:p>
    <w:p>
      <w:pPr>
        <w:pStyle w:val="Small"/>
      </w:pPr>
      <w:r>
        <w:rPr>
          <w:i w:val="0"/>
        </w:rPr>
        <w:t>Destination: /organization-management</w:t>
      </w:r>
    </w:p>
    <w:p>
      <w:pPr>
        <w:pStyle w:val="Kicker"/>
        <w:keepNext/>
      </w:pPr>
      <w:r>
        <w:rPr>
          <w:i w:val="0"/>
        </w:rPr>
        <w:t>PER-BLOCK ACCEPTANCE</w:t>
      </w:r>
    </w:p>
    <w:p>
      <w:pPr>
        <w:pStyle w:val="ListBullet"/>
      </w:pPr>
      <w:r>
        <w:rPr>
          <w:i w:val="0"/>
        </w:rPr>
        <w:t>Exactly five approved capability ideas are represented; do not add analytics, classes, assignments or SSO.</w:t>
      </w:r>
    </w:p>
    <w:p>
      <w:pPr>
        <w:pStyle w:val="ListBullet"/>
      </w:pPr>
      <w:r>
        <w:rPr>
          <w:i w:val="0"/>
        </w:rPr>
        <w:t>Organization Storage permissions are described as controlled access, not automatic document ingestion.</w:t>
      </w:r>
    </w:p>
    <w:p>
      <w:pPr>
        <w:pStyle w:val="ListBullet"/>
      </w:pPr>
      <w:r>
        <w:rPr>
          <w:i w:val="0"/>
        </w:rPr>
        <w:t>Personal and institutional balances remain semantically separate.</w:t>
      </w:r>
    </w:p>
    <w:p>
      <w:pPr>
        <w:pStyle w:val="Heading1"/>
        <w:keepNext/>
      </w:pPr>
      <w:r>
        <w:rPr>
          <w:i w:val="0"/>
        </w:rPr>
        <w:t>SECTION 4 — SOURCE COVERAGE + INSTITUTIONAL STORAGE</w:t>
      </w:r>
    </w:p>
    <w:p>
      <w:pPr>
        <w:pStyle w:val="FixedCopy"/>
      </w:pPr>
      <w:r>
        <w:rPr>
          <w:i w:val="0"/>
        </w:rPr>
        <w:t>Anchor: #institutional-sources</w:t>
      </w:r>
    </w:p>
    <w:p>
      <w:pPr>
        <w:pStyle w:val="FixedCopy"/>
      </w:pPr>
      <w:r>
        <w:rPr>
          <w:i w:val="0"/>
        </w:rPr>
        <w:t>H2: Compare academic work with external and institutional sources</w:t>
      </w:r>
    </w:p>
    <w:p>
      <w:pPr>
        <w:pStyle w:val="FixedCopy"/>
      </w:pPr>
      <w:r>
        <w:rPr>
          <w:i w:val="0"/>
        </w:rPr>
        <w:t>Intro: Different institutions need different comparison sources. PlagiarismSearch can combine external source checking with your institution’s own controlled Storage when that workflow is enabled.</w:t>
      </w:r>
    </w:p>
    <w:p>
      <w:pPr>
        <w:pStyle w:val="Heading3"/>
        <w:keepNext/>
      </w:pPr>
      <w:r>
        <w:rPr>
          <w:i w:val="0"/>
        </w:rPr>
        <w:t>Web sources</w:t>
      </w:r>
    </w:p>
    <w:p>
      <w:pPr/>
      <w:r>
        <w:rPr>
          <w:i w:val="0"/>
        </w:rPr>
        <w:t>Search available web sources for matching and similar text relevant to the submitted document.</w:t>
      </w:r>
    </w:p>
    <w:p>
      <w:pPr>
        <w:pStyle w:val="Heading3"/>
        <w:keepNext/>
      </w:pPr>
      <w:r>
        <w:rPr>
          <w:i w:val="0"/>
        </w:rPr>
        <w:t>Academic database</w:t>
      </w:r>
    </w:p>
    <w:p>
      <w:pPr/>
      <w:r>
        <w:rPr>
          <w:i w:val="0"/>
        </w:rPr>
        <w:t>Include an academic database with more than 500 million indexed academic texts when academic source coverage is required.</w:t>
      </w:r>
    </w:p>
    <w:p>
      <w:pPr>
        <w:pStyle w:val="FixedCopy"/>
      </w:pPr>
      <w:r>
        <w:rPr>
          <w:i w:val="0"/>
        </w:rPr>
        <w:t>Supporting label: 500M+ indexed academic texts</w:t>
      </w:r>
    </w:p>
    <w:p>
      <w:pPr>
        <w:pStyle w:val="Heading3"/>
        <w:keepNext/>
      </w:pPr>
      <w:r>
        <w:rPr>
          <w:i w:val="0"/>
        </w:rPr>
        <w:t>Organization Storage</w:t>
      </w:r>
    </w:p>
    <w:p>
      <w:pPr/>
      <w:r>
        <w:rPr>
          <w:i w:val="0"/>
        </w:rPr>
        <w:t>Use your institution’s Organization Storage as an additional comparison source when members have the required permissions.</w:t>
      </w:r>
    </w:p>
    <w:p>
      <w:pPr>
        <w:pStyle w:val="Heading3"/>
        <w:keepNext/>
      </w:pPr>
      <w:r>
        <w:rPr>
          <w:i w:val="0"/>
        </w:rPr>
        <w:t>Keep citations and references in context</w:t>
      </w:r>
    </w:p>
    <w:p>
      <w:pPr/>
      <w:r>
        <w:rPr>
          <w:i w:val="0"/>
        </w:rPr>
        <w:t>PlagiarismSearch includes controls for excluding references and in-text citations when those parts should not affect the similarity result.</w:t>
      </w:r>
    </w:p>
    <w:p>
      <w:pPr>
        <w:pStyle w:val="FixedCopy"/>
      </w:pPr>
      <w:r>
        <w:rPr>
          <w:i w:val="0"/>
        </w:rPr>
        <w:t>Important Storage clarification: Running a plagiarism check does not by itself mean that the document becomes part of Organization Storage. Storage is a separate workflow that the institution can use when it wants selected material to participate in future comparisons.</w:t>
      </w:r>
    </w:p>
    <w:p>
      <w:pPr>
        <w:pStyle w:val="Kicker"/>
        <w:keepNext/>
      </w:pPr>
      <w:r>
        <w:rPr>
          <w:i w:val="0"/>
        </w:rPr>
        <w:t>PER-BLOCK ACCEPTANCE</w:t>
      </w:r>
    </w:p>
    <w:p>
      <w:pPr>
        <w:pStyle w:val="ListBullet"/>
      </w:pPr>
      <w:r>
        <w:rPr>
          <w:i w:val="0"/>
        </w:rPr>
        <w:t>External Web, academic and Organization Storage concepts remain distinct.</w:t>
      </w:r>
    </w:p>
    <w:p>
      <w:pPr>
        <w:pStyle w:val="ListBullet"/>
      </w:pPr>
      <w:r>
        <w:rPr>
          <w:i w:val="0"/>
        </w:rPr>
        <w:t>500M+ is explicitly academic texts, not web pages or clients.</w:t>
      </w:r>
    </w:p>
    <w:p>
      <w:pPr>
        <w:pStyle w:val="ListBullet"/>
      </w:pPr>
      <w:r>
        <w:rPr>
          <w:i w:val="0"/>
        </w:rPr>
        <w:t>The Storage clarification is visually noticeable and not buried in legal-size copy.</w:t>
      </w:r>
    </w:p>
    <w:p>
      <w:pPr>
        <w:pStyle w:val="ListBullet"/>
      </w:pPr>
      <w:r>
        <w:rPr>
          <w:i w:val="0"/>
        </w:rPr>
        <w:t>No cross-institution global student-paper repository claim appears.</w:t>
      </w:r>
    </w:p>
    <w:p>
      <w:pPr>
        <w:pStyle w:val="Heading1"/>
        <w:keepNext/>
      </w:pPr>
      <w:r>
        <w:rPr>
          <w:i w:val="0"/>
        </w:rPr>
        <w:t>SECTION 5 — THREE DEPLOYMENT PATHS</w:t>
      </w:r>
    </w:p>
    <w:p>
      <w:pPr>
        <w:pStyle w:val="FixedCopy"/>
      </w:pPr>
      <w:r>
        <w:rPr>
          <w:i w:val="0"/>
        </w:rPr>
        <w:t>Anchor: #institutional-workflow</w:t>
      </w:r>
    </w:p>
    <w:p>
      <w:pPr>
        <w:pStyle w:val="FixedCopy"/>
      </w:pPr>
      <w:r>
        <w:rPr>
          <w:i w:val="0"/>
        </w:rPr>
        <w:t>H2: Use PlagiarismSearch in the workflow that fits your institution</w:t>
      </w:r>
    </w:p>
    <w:p>
      <w:pPr>
        <w:pStyle w:val="FixedCopy"/>
      </w:pPr>
      <w:r>
        <w:rPr>
          <w:i w:val="0"/>
        </w:rPr>
        <w:t>Intro: Institutions do not all manage plagiarism checking in the same way. PlagiarismSearch supports three practical paths depending on how your faculty, administrators, and technical teams already work.</w:t>
      </w:r>
    </w:p>
    <w:p>
      <w:pPr>
        <w:pStyle w:val="Heading3"/>
        <w:keepNext/>
      </w:pPr>
      <w:r>
        <w:rPr>
          <w:i w:val="0"/>
        </w:rPr>
        <w:t>Organization workspace</w:t>
      </w:r>
    </w:p>
    <w:p>
      <w:pPr/>
      <w:r>
        <w:rPr>
          <w:i w:val="0"/>
        </w:rPr>
        <w:t>Use PlagiarismSearch directly with an organization account when you need centralized member management, permissions, institutional balances, and shared Storage without building a custom integration.</w:t>
      </w:r>
    </w:p>
    <w:p>
      <w:pPr>
        <w:pStyle w:val="FixedCopy"/>
      </w:pPr>
      <w:r>
        <w:rPr>
          <w:i w:val="0"/>
        </w:rPr>
        <w:t>Supporting label: Managed institutional access</w:t>
      </w:r>
    </w:p>
    <w:p>
      <w:pPr>
        <w:pStyle w:val="Heading3"/>
        <w:keepNext/>
      </w:pPr>
      <w:r>
        <w:rPr>
          <w:i w:val="0"/>
        </w:rPr>
        <w:t>Moodle integration</w:t>
      </w:r>
    </w:p>
    <w:p>
      <w:pPr/>
      <w:r>
        <w:rPr>
          <w:i w:val="0"/>
        </w:rPr>
        <w:t>Bring plagiarism checking into Moodle when student submission and course workflows belong inside your LMS. Configure when checks run, which sources are searched, and what report information students can see.</w:t>
      </w:r>
    </w:p>
    <w:p>
      <w:pPr>
        <w:pStyle w:val="FixedCopy"/>
      </w:pPr>
      <w:r>
        <w:rPr>
          <w:i w:val="0"/>
        </w:rPr>
        <w:t>Supporting label: LMS workflow</w:t>
      </w:r>
    </w:p>
    <w:p>
      <w:pPr>
        <w:pStyle w:val="Kicker"/>
        <w:keepNext/>
      </w:pPr>
      <w:r>
        <w:rPr>
          <w:i w:val="0"/>
        </w:rPr>
        <w:t>CTA</w:t>
      </w:r>
    </w:p>
    <w:p>
      <w:pPr>
        <w:pStyle w:val="FixedCopy"/>
      </w:pPr>
      <w:r>
        <w:rPr>
          <w:i w:val="0"/>
        </w:rPr>
        <w:t>View Moodle integration</w:t>
      </w:r>
    </w:p>
    <w:p>
      <w:pPr>
        <w:pStyle w:val="Small"/>
      </w:pPr>
      <w:r>
        <w:rPr>
          <w:i w:val="0"/>
        </w:rPr>
        <w:t>Destination: /integration-guide</w:t>
      </w:r>
    </w:p>
    <w:p>
      <w:pPr>
        <w:pStyle w:val="Heading3"/>
        <w:keepNext/>
      </w:pPr>
      <w:r>
        <w:rPr>
          <w:i w:val="0"/>
        </w:rPr>
        <w:t>API integration</w:t>
      </w:r>
    </w:p>
    <w:p>
      <w:pPr/>
      <w:r>
        <w:rPr>
          <w:i w:val="0"/>
        </w:rPr>
        <w:t>Use the PlagiarismSearch API when your institution has its own platform or needs plagiarism checking inside a custom technical workflow.</w:t>
      </w:r>
    </w:p>
    <w:p>
      <w:pPr>
        <w:pStyle w:val="FixedCopy"/>
      </w:pPr>
      <w:r>
        <w:rPr>
          <w:i w:val="0"/>
        </w:rPr>
        <w:t>Supporting label: Custom integration</w:t>
      </w:r>
    </w:p>
    <w:p>
      <w:pPr>
        <w:pStyle w:val="Kicker"/>
        <w:keepNext/>
      </w:pPr>
      <w:r>
        <w:rPr>
          <w:i w:val="0"/>
        </w:rPr>
        <w:t>CTA</w:t>
      </w:r>
    </w:p>
    <w:p>
      <w:pPr>
        <w:pStyle w:val="FixedCopy"/>
      </w:pPr>
      <w:r>
        <w:rPr>
          <w:i w:val="0"/>
        </w:rPr>
        <w:t>Explore the API</w:t>
      </w:r>
    </w:p>
    <w:p>
      <w:pPr>
        <w:pStyle w:val="Small"/>
      </w:pPr>
      <w:r>
        <w:rPr>
          <w:i w:val="0"/>
        </w:rPr>
        <w:t>Destination: /plagiarism-api</w:t>
      </w:r>
    </w:p>
    <w:p>
      <w:pPr>
        <w:pStyle w:val="Kicker"/>
        <w:keepNext/>
      </w:pPr>
      <w:r>
        <w:rPr>
          <w:i w:val="0"/>
        </w:rPr>
        <w:t>PER-BLOCK ACCEPTANCE</w:t>
      </w:r>
    </w:p>
    <w:p>
      <w:pPr>
        <w:pStyle w:val="ListBullet"/>
      </w:pPr>
      <w:r>
        <w:rPr>
          <w:i w:val="0"/>
        </w:rPr>
        <w:t>Exactly three deployment paths are presented: Organization workspace, Moodle integration, API integration.</w:t>
      </w:r>
    </w:p>
    <w:p>
      <w:pPr>
        <w:pStyle w:val="ListBullet"/>
      </w:pPr>
      <w:r>
        <w:rPr>
          <w:i w:val="0"/>
        </w:rPr>
        <w:t>Moodle and API are not presented as identical integration types.</w:t>
      </w:r>
    </w:p>
    <w:p>
      <w:pPr>
        <w:pStyle w:val="ListBullet"/>
      </w:pPr>
      <w:r>
        <w:rPr>
          <w:i w:val="0"/>
        </w:rPr>
        <w:t>No other LMS logo/claim is added.</w:t>
      </w:r>
    </w:p>
    <w:p>
      <w:pPr>
        <w:pStyle w:val="ListBullet"/>
      </w:pPr>
      <w:r>
        <w:rPr>
          <w:i w:val="0"/>
        </w:rPr>
        <w:t>No consumer “Buy now” CTA appears in this section.</w:t>
      </w:r>
    </w:p>
    <w:p>
      <w:pPr>
        <w:pStyle w:val="Heading1"/>
        <w:keepNext/>
      </w:pPr>
      <w:r>
        <w:rPr>
          <w:i w:val="0"/>
        </w:rPr>
        <w:t>SECTION 6 — MOODLE WORKFLOW</w:t>
      </w:r>
    </w:p>
    <w:p>
      <w:pPr>
        <w:pStyle w:val="FixedCopy"/>
      </w:pPr>
      <w:r>
        <w:rPr>
          <w:i w:val="0"/>
        </w:rPr>
        <w:t>Anchor: #moodle</w:t>
      </w:r>
    </w:p>
    <w:p>
      <w:pPr>
        <w:pStyle w:val="FixedCopy"/>
      </w:pPr>
      <w:r>
        <w:rPr>
          <w:i w:val="0"/>
        </w:rPr>
        <w:t>H2: Bring plagiarism checking into Moodle</w:t>
      </w:r>
    </w:p>
    <w:p>
      <w:pPr>
        <w:pStyle w:val="FixedCopy"/>
      </w:pPr>
      <w:r>
        <w:rPr>
          <w:i w:val="0"/>
        </w:rPr>
        <w:t>Intro: The PlagiarismSearch Moodle plugin lets institutions keep plagiarism checking inside the LMS workflow instead of requiring every document to be uploaded manually through a separate interface.</w:t>
      </w:r>
    </w:p>
    <w:p>
      <w:pPr>
        <w:pStyle w:val="Heading3"/>
        <w:keepNext/>
      </w:pPr>
      <w:r>
        <w:rPr>
          <w:i w:val="0"/>
        </w:rPr>
        <w:t>Automatic or manual checking</w:t>
      </w:r>
    </w:p>
    <w:p>
      <w:pPr/>
      <w:r>
        <w:rPr>
          <w:i w:val="0"/>
        </w:rPr>
        <w:t>Choose whether a document is checked automatically after a student uploads it or submitted for checking manually.</w:t>
      </w:r>
    </w:p>
    <w:p>
      <w:pPr>
        <w:pStyle w:val="Heading3"/>
        <w:keepNext/>
      </w:pPr>
      <w:r>
        <w:rPr>
          <w:i w:val="0"/>
        </w:rPr>
        <w:t>Choose the comparison sources</w:t>
      </w:r>
    </w:p>
    <w:p>
      <w:pPr/>
      <w:r>
        <w:rPr>
          <w:i w:val="0"/>
        </w:rPr>
        <w:t>Configure checks to use Web sources, Storage, or both according to the course or institutional workflow.</w:t>
      </w:r>
    </w:p>
    <w:p>
      <w:pPr>
        <w:pStyle w:val="Heading3"/>
        <w:keepNext/>
      </w:pPr>
      <w:r>
        <w:rPr>
          <w:i w:val="0"/>
        </w:rPr>
        <w:t>Decide when work is added to Storage</w:t>
      </w:r>
    </w:p>
    <w:p>
      <w:pPr/>
      <w:r>
        <w:rPr>
          <w:i w:val="0"/>
        </w:rPr>
        <w:t>Use the Add to Storage setting when submitted material should become available for future comparisons.</w:t>
      </w:r>
    </w:p>
    <w:p>
      <w:pPr>
        <w:pStyle w:val="Heading3"/>
        <w:keepNext/>
      </w:pPr>
      <w:r>
        <w:rPr>
          <w:i w:val="0"/>
        </w:rPr>
        <w:t>Handle references and citations</w:t>
      </w:r>
    </w:p>
    <w:p>
      <w:pPr/>
      <w:r>
        <w:rPr>
          <w:i w:val="0"/>
        </w:rPr>
        <w:t>Exclude references and in-text citations when those matches should not contribute to the similarity result.</w:t>
      </w:r>
    </w:p>
    <w:p>
      <w:pPr>
        <w:pStyle w:val="Heading3"/>
        <w:keepNext/>
      </w:pPr>
      <w:r>
        <w:rPr>
          <w:i w:val="0"/>
        </w:rPr>
        <w:t>Control what students can see</w:t>
      </w:r>
    </w:p>
    <w:p>
      <w:pPr/>
      <w:r>
        <w:rPr>
          <w:i w:val="0"/>
        </w:rPr>
        <w:t>Decide whether students can view plagiarism reports and whether the plagiarism percentage is visible to them.</w:t>
      </w:r>
    </w:p>
    <w:p>
      <w:pPr>
        <w:pStyle w:val="Heading3"/>
        <w:keepNext/>
      </w:pPr>
      <w:r>
        <w:rPr>
          <w:i w:val="0"/>
        </w:rPr>
        <w:t>Manage submissions and revisions</w:t>
      </w:r>
    </w:p>
    <w:p>
      <w:pPr/>
      <w:r>
        <w:rPr>
          <w:i w:val="0"/>
        </w:rPr>
        <w:t>Allow or restrict student submissions and resubmissions, and set how many resubmissions are permitted when revision is part of the course workflow.</w:t>
      </w:r>
    </w:p>
    <w:p>
      <w:pPr>
        <w:pStyle w:val="Kicker"/>
        <w:keepNext/>
      </w:pPr>
      <w:r>
        <w:rPr>
          <w:i w:val="0"/>
        </w:rPr>
        <w:t>CTA</w:t>
      </w:r>
    </w:p>
    <w:p>
      <w:pPr>
        <w:pStyle w:val="FixedCopy"/>
      </w:pPr>
      <w:r>
        <w:rPr>
          <w:i w:val="0"/>
        </w:rPr>
        <w:t>View the Moodle integration guide</w:t>
      </w:r>
    </w:p>
    <w:p>
      <w:pPr>
        <w:pStyle w:val="Small"/>
      </w:pPr>
      <w:r>
        <w:rPr>
          <w:i w:val="0"/>
        </w:rPr>
        <w:t>Destination: /integration-guide</w:t>
      </w:r>
    </w:p>
    <w:p>
      <w:pPr>
        <w:pStyle w:val="Kicker"/>
        <w:keepNext/>
      </w:pPr>
      <w:r>
        <w:rPr>
          <w:i w:val="0"/>
        </w:rPr>
        <w:t>IMPORTANT PRODUCT BOUNDARY</w:t>
      </w:r>
    </w:p>
    <w:p>
      <w:pPr/>
      <w:r>
        <w:rPr>
          <w:i w:val="0"/>
        </w:rPr>
        <w:t>Do not imply that PlagiarismSearch itself contains native classes, native assignments, a gradebook, or a standalone student-submission dashboard. Those workflows belong to Moodle/LMS.</w:t>
      </w:r>
    </w:p>
    <w:p>
      <w:pPr>
        <w:pStyle w:val="Kicker"/>
        <w:keepNext/>
      </w:pPr>
      <w:r>
        <w:rPr>
          <w:i w:val="0"/>
        </w:rPr>
        <w:t>PER-BLOCK ACCEPTANCE</w:t>
      </w:r>
    </w:p>
    <w:p>
      <w:pPr>
        <w:pStyle w:val="ListBullet"/>
      </w:pPr>
      <w:r>
        <w:rPr>
          <w:i w:val="0"/>
        </w:rPr>
        <w:t>All six approved Moodle control concepts remain present.</w:t>
      </w:r>
    </w:p>
    <w:p>
      <w:pPr>
        <w:pStyle w:val="ListBullet"/>
      </w:pPr>
      <w:r>
        <w:rPr>
          <w:i w:val="0"/>
        </w:rPr>
        <w:t>The section uses real Moodle product evidence where available, not invented LMS UI.</w:t>
      </w:r>
    </w:p>
    <w:p>
      <w:pPr>
        <w:pStyle w:val="ListBullet"/>
      </w:pPr>
      <w:r>
        <w:rPr>
          <w:i w:val="0"/>
        </w:rPr>
        <w:t>No unapproved language-count, processing-time or support claims from the legacy guide are imported.</w:t>
      </w:r>
    </w:p>
    <w:p>
      <w:pPr>
        <w:pStyle w:val="Heading1"/>
        <w:keepNext/>
      </w:pPr>
      <w:r>
        <w:rPr>
          <w:i w:val="0"/>
        </w:rPr>
        <w:t>SECTION 7 — INSTITUTIONAL ROLES</w:t>
      </w:r>
    </w:p>
    <w:p>
      <w:pPr>
        <w:pStyle w:val="FixedCopy"/>
      </w:pPr>
      <w:r>
        <w:rPr>
          <w:i w:val="0"/>
        </w:rPr>
        <w:t>Anchor: #institutional-roles</w:t>
      </w:r>
    </w:p>
    <w:p>
      <w:pPr>
        <w:pStyle w:val="FixedCopy"/>
      </w:pPr>
      <w:r>
        <w:rPr>
          <w:i w:val="0"/>
        </w:rPr>
        <w:t>H2: Different roles, one institutional plagiarism-checking workflow</w:t>
      </w:r>
    </w:p>
    <w:p>
      <w:pPr>
        <w:pStyle w:val="FixedCopy"/>
      </w:pPr>
      <w:r>
        <w:rPr>
          <w:i w:val="0"/>
        </w:rPr>
        <w:t>Intro: Plagiarism checking affects more than one group inside an institution. PlagiarismSearch separates administrative control, academic review, and technical deployment so each team can focus on its own responsibility.</w:t>
      </w:r>
    </w:p>
    <w:p>
      <w:pPr>
        <w:pStyle w:val="Heading3"/>
        <w:keepNext/>
      </w:pPr>
      <w:r>
        <w:rPr>
          <w:i w:val="0"/>
        </w:rPr>
        <w:t>Administrators</w:t>
      </w:r>
    </w:p>
    <w:p>
      <w:pPr/>
      <w:r>
        <w:rPr>
          <w:i w:val="0"/>
        </w:rPr>
        <w:t>Manage organization membership, permissions, plagiarism and AI balances, and access to Organization Storage.</w:t>
      </w:r>
    </w:p>
    <w:p>
      <w:pPr>
        <w:pStyle w:val="Heading3"/>
        <w:keepNext/>
      </w:pPr>
      <w:r>
        <w:rPr>
          <w:i w:val="0"/>
        </w:rPr>
        <w:t>Educators</w:t>
      </w:r>
    </w:p>
    <w:p>
      <w:pPr/>
      <w:r>
        <w:rPr>
          <w:i w:val="0"/>
        </w:rPr>
        <w:t>Review matching passages and detected sources, use relevant scan controls, and interpret the report in the academic context of the submitted work.</w:t>
      </w:r>
    </w:p>
    <w:p>
      <w:pPr>
        <w:pStyle w:val="Heading3"/>
        <w:keepNext/>
      </w:pPr>
      <w:r>
        <w:rPr>
          <w:i w:val="0"/>
        </w:rPr>
        <w:t>Technical and LMS teams</w:t>
      </w:r>
    </w:p>
    <w:p>
      <w:pPr/>
      <w:r>
        <w:rPr>
          <w:i w:val="0"/>
        </w:rPr>
        <w:t>Deploy the Moodle plugin or use the PlagiarismSearch API when plagiarism checking needs to become part of an existing institutional system.</w:t>
      </w:r>
    </w:p>
    <w:p>
      <w:pPr>
        <w:pStyle w:val="Kicker"/>
        <w:keepNext/>
      </w:pPr>
      <w:r>
        <w:rPr>
          <w:i w:val="0"/>
        </w:rPr>
        <w:t>IMPLEMENTATION NOTE</w:t>
      </w:r>
    </w:p>
    <w:p>
      <w:pPr/>
      <w:r>
        <w:rPr>
          <w:i w:val="0"/>
        </w:rPr>
        <w:t>Do not add a separate Students role card. Individual student intent belongs to /plagiarism-checker-for-students; the relevant institutional student workflow is already explained through Moodle.</w:t>
      </w:r>
    </w:p>
    <w:p>
      <w:pPr>
        <w:pStyle w:val="Kicker"/>
        <w:keepNext/>
      </w:pPr>
      <w:r>
        <w:rPr>
          <w:i w:val="0"/>
        </w:rPr>
        <w:t>PER-BLOCK ACCEPTANCE</w:t>
      </w:r>
    </w:p>
    <w:p>
      <w:pPr>
        <w:pStyle w:val="ListBullet"/>
      </w:pPr>
      <w:r>
        <w:rPr>
          <w:i w:val="0"/>
        </w:rPr>
        <w:t>Exactly three roles are shown: Administrators, Educators, Technical and LMS teams.</w:t>
      </w:r>
    </w:p>
    <w:p>
      <w:pPr>
        <w:pStyle w:val="ListBullet"/>
      </w:pPr>
      <w:r>
        <w:rPr>
          <w:i w:val="0"/>
        </w:rPr>
        <w:t>Role copy reflects genuinely different responsibilities and is not audience-noun swapping.</w:t>
      </w:r>
    </w:p>
    <w:p>
      <w:pPr>
        <w:pStyle w:val="ListBullet"/>
      </w:pPr>
      <w:r>
        <w:rPr>
          <w:i w:val="0"/>
        </w:rPr>
        <w:t>Students are not added as a fourth SEO persona card.</w:t>
      </w:r>
    </w:p>
    <w:p>
      <w:pPr>
        <w:pStyle w:val="Heading1"/>
        <w:keepNext/>
      </w:pPr>
      <w:r>
        <w:rPr>
          <w:i w:val="0"/>
        </w:rPr>
        <w:t>SECTION 8 — DATA HANDLING + STORAGE CONTROL</w:t>
      </w:r>
    </w:p>
    <w:p>
      <w:pPr>
        <w:pStyle w:val="FixedCopy"/>
      </w:pPr>
      <w:r>
        <w:rPr>
          <w:i w:val="0"/>
        </w:rPr>
        <w:t>Anchor: #institutional-data</w:t>
      </w:r>
    </w:p>
    <w:p>
      <w:pPr>
        <w:pStyle w:val="FixedCopy"/>
      </w:pPr>
      <w:r>
        <w:rPr>
          <w:i w:val="0"/>
        </w:rPr>
        <w:t>H2: Keep plagiarism checking and institutional Storage under separate controls</w:t>
      </w:r>
    </w:p>
    <w:p>
      <w:pPr>
        <w:pStyle w:val="FixedCopy"/>
      </w:pPr>
      <w:r>
        <w:rPr>
          <w:i w:val="0"/>
        </w:rPr>
        <w:t>Intro: A plagiarism check and adding material to institutional Storage are different actions. This distinction lets institutions decide when documents should only be checked and when selected material should also be available as a reference source for future comparisons.</w:t>
      </w:r>
    </w:p>
    <w:p>
      <w:pPr>
        <w:pStyle w:val="Heading3"/>
        <w:keepNext/>
      </w:pPr>
      <w:r>
        <w:rPr>
          <w:i w:val="0"/>
        </w:rPr>
        <w:t>Check</w:t>
      </w:r>
    </w:p>
    <w:p>
      <w:pPr/>
      <w:r>
        <w:rPr>
          <w:i w:val="0"/>
        </w:rPr>
        <w:t>Submit content for plagiarism analysis and review the generated report.</w:t>
      </w:r>
    </w:p>
    <w:p>
      <w:pPr>
        <w:pStyle w:val="Heading3"/>
        <w:keepNext/>
      </w:pPr>
      <w:r>
        <w:rPr>
          <w:i w:val="0"/>
        </w:rPr>
        <w:t>Retain the report when needed</w:t>
      </w:r>
    </w:p>
    <w:p>
      <w:pPr/>
      <w:r>
        <w:rPr>
          <w:i w:val="0"/>
        </w:rPr>
        <w:t>Generated reports may remain available in the account for convenient access. Users can permanently delete reports they no longer need.</w:t>
      </w:r>
    </w:p>
    <w:p>
      <w:pPr>
        <w:pStyle w:val="Heading3"/>
        <w:keepNext/>
      </w:pPr>
      <w:r>
        <w:rPr>
          <w:i w:val="0"/>
        </w:rPr>
        <w:t>Use Storage intentionally</w:t>
      </w:r>
    </w:p>
    <w:p>
      <w:pPr/>
      <w:r>
        <w:rPr>
          <w:i w:val="0"/>
        </w:rPr>
        <w:t>Organization Storage is a separate repository workflow. Material is used there when Storage is enabled and the relevant workflow or permissions allow it.</w:t>
      </w:r>
    </w:p>
    <w:p>
      <w:pPr>
        <w:pStyle w:val="FixedCopy"/>
      </w:pPr>
      <w:r>
        <w:rPr>
          <w:i w:val="0"/>
        </w:rPr>
        <w:t>Supporting clarification: A document does not automatically become part of Organization Storage simply because it was checked.</w:t>
      </w:r>
    </w:p>
    <w:p>
      <w:pPr>
        <w:pStyle w:val="Kicker"/>
        <w:keepNext/>
      </w:pPr>
      <w:r>
        <w:rPr>
          <w:i w:val="0"/>
        </w:rPr>
        <w:t>CTA</w:t>
      </w:r>
    </w:p>
    <w:p>
      <w:pPr>
        <w:pStyle w:val="FixedCopy"/>
      </w:pPr>
      <w:r>
        <w:rPr>
          <w:i w:val="0"/>
        </w:rPr>
        <w:t>Read the Privacy Policy</w:t>
      </w:r>
    </w:p>
    <w:p>
      <w:pPr>
        <w:pStyle w:val="Small"/>
      </w:pPr>
      <w:r>
        <w:rPr>
          <w:i w:val="0"/>
        </w:rPr>
        <w:t>Destination: /policy</w:t>
      </w:r>
    </w:p>
    <w:p>
      <w:pPr>
        <w:pStyle w:val="Kicker"/>
        <w:keepNext/>
      </w:pPr>
      <w:r>
        <w:rPr>
          <w:i w:val="0"/>
        </w:rPr>
        <w:t>PER-BLOCK ACCEPTANCE</w:t>
      </w:r>
    </w:p>
    <w:p>
      <w:pPr>
        <w:pStyle w:val="ListBullet"/>
      </w:pPr>
      <w:r>
        <w:rPr>
          <w:i w:val="0"/>
        </w:rPr>
        <w:t>Report retention and Organization Storage are explained as different mechanisms.</w:t>
      </w:r>
    </w:p>
    <w:p>
      <w:pPr>
        <w:pStyle w:val="ListBullet"/>
      </w:pPr>
      <w:r>
        <w:rPr>
          <w:i w:val="0"/>
        </w:rPr>
        <w:t>No “No data storage,” “never retained,” automatic repository ingestion or unverified security certification appears.</w:t>
      </w:r>
    </w:p>
    <w:p>
      <w:pPr>
        <w:pStyle w:val="ListBullet"/>
      </w:pPr>
      <w:r>
        <w:rPr>
          <w:i w:val="0"/>
        </w:rPr>
        <w:t>The Storage clarification remains visible and unambiguous.</w:t>
      </w:r>
    </w:p>
    <w:p>
      <w:pPr>
        <w:pStyle w:val="Heading1"/>
        <w:keepNext/>
      </w:pPr>
      <w:r>
        <w:rPr>
          <w:i w:val="0"/>
        </w:rPr>
        <w:t>SECTION 9 — SECONDARY AI CAPABILITY</w:t>
      </w:r>
    </w:p>
    <w:p>
      <w:pPr>
        <w:pStyle w:val="FixedCopy"/>
      </w:pPr>
      <w:r>
        <w:rPr>
          <w:i w:val="0"/>
        </w:rPr>
        <w:t>Anchor: #institutional-ai</w:t>
      </w:r>
    </w:p>
    <w:p>
      <w:pPr>
        <w:pStyle w:val="FixedCopy"/>
      </w:pPr>
      <w:r>
        <w:rPr>
          <w:i w:val="0"/>
        </w:rPr>
        <w:t>H2: Need AI checking as part of the same institutional setup?</w:t>
      </w:r>
    </w:p>
    <w:p>
      <w:pPr>
        <w:pStyle w:val="FixedCopy"/>
      </w:pPr>
      <w:r>
        <w:rPr>
          <w:i w:val="0"/>
        </w:rPr>
        <w:t>Body: AI detection is available as a separate analysis within the PlagiarismSearch product ecosystem. When an organization uses AI checking, administrators can allocate AI word balance to members separately from plagiarism-checking balance.</w:t>
      </w:r>
    </w:p>
    <w:p>
      <w:pPr>
        <w:pStyle w:val="FixedCopy"/>
      </w:pPr>
      <w:r>
        <w:rPr>
          <w:i w:val="0"/>
        </w:rPr>
        <w:t>Clarification: AI-generated text is not automatically plagiarism, so plagiarism checking and AI detection should be interpreted as separate results.</w:t>
      </w:r>
    </w:p>
    <w:p>
      <w:pPr>
        <w:pStyle w:val="Kicker"/>
        <w:keepNext/>
      </w:pPr>
      <w:r>
        <w:rPr>
          <w:i w:val="0"/>
        </w:rPr>
        <w:t>CTA</w:t>
      </w:r>
    </w:p>
    <w:p>
      <w:pPr>
        <w:pStyle w:val="FixedCopy"/>
      </w:pPr>
      <w:r>
        <w:rPr>
          <w:i w:val="0"/>
        </w:rPr>
        <w:t>Learn about AI detection</w:t>
      </w:r>
    </w:p>
    <w:p>
      <w:pPr>
        <w:pStyle w:val="Small"/>
      </w:pPr>
      <w:r>
        <w:rPr>
          <w:i w:val="0"/>
        </w:rPr>
        <w:t>Destination: /ai-content-detector</w:t>
      </w:r>
    </w:p>
    <w:p>
      <w:pPr>
        <w:pStyle w:val="Kicker"/>
        <w:keepNext/>
      </w:pPr>
      <w:r>
        <w:rPr>
          <w:i w:val="0"/>
        </w:rPr>
        <w:t>IMPLEMENTATION NOTE</w:t>
      </w:r>
    </w:p>
    <w:p>
      <w:pPr/>
      <w:r>
        <w:rPr>
          <w:i w:val="0"/>
        </w:rPr>
        <w:t>Keep this visually secondary. Do not turn it into a second AI Detector landing inside the University page.</w:t>
      </w:r>
    </w:p>
    <w:p>
      <w:pPr>
        <w:pStyle w:val="Kicker"/>
        <w:keepNext/>
      </w:pPr>
      <w:r>
        <w:rPr>
          <w:i w:val="0"/>
        </w:rPr>
        <w:t>PER-BLOCK ACCEPTANCE</w:t>
      </w:r>
    </w:p>
    <w:p>
      <w:pPr>
        <w:pStyle w:val="ListBullet"/>
      </w:pPr>
      <w:r>
        <w:rPr>
          <w:i w:val="0"/>
        </w:rPr>
        <w:t>AI remains clearly secondary to the page’s plagiarism/institutional intent.</w:t>
      </w:r>
    </w:p>
    <w:p>
      <w:pPr>
        <w:pStyle w:val="ListBullet"/>
      </w:pPr>
      <w:r>
        <w:rPr>
          <w:i w:val="0"/>
        </w:rPr>
        <w:t>No AI accuracy or named-model claim appears.</w:t>
      </w:r>
    </w:p>
    <w:p>
      <w:pPr>
        <w:pStyle w:val="ListBullet"/>
      </w:pPr>
      <w:r>
        <w:rPr>
          <w:i w:val="0"/>
        </w:rPr>
        <w:t>AI and plagiarism are explicitly separate analyses.</w:t>
      </w:r>
    </w:p>
    <w:p>
      <w:pPr>
        <w:pStyle w:val="Heading1"/>
        <w:keepNext/>
      </w:pPr>
      <w:r>
        <w:rPr>
          <w:i w:val="0"/>
        </w:rPr>
        <w:t>SECTION 10 — INSTITUTIONAL PROCUREMENT / INQUIRY</w:t>
      </w:r>
    </w:p>
    <w:p>
      <w:pPr>
        <w:pStyle w:val="FixedCopy"/>
      </w:pPr>
      <w:r>
        <w:rPr>
          <w:i w:val="0"/>
        </w:rPr>
        <w:t>Anchor: #institutional-inquiry</w:t>
      </w:r>
    </w:p>
    <w:p>
      <w:pPr>
        <w:pStyle w:val="FixedCopy"/>
      </w:pPr>
      <w:r>
        <w:rPr>
          <w:i w:val="0"/>
        </w:rPr>
        <w:t>H2: Discuss plagiarism checking for your institution</w:t>
      </w:r>
    </w:p>
    <w:p>
      <w:pPr>
        <w:pStyle w:val="FixedCopy"/>
      </w:pPr>
      <w:r>
        <w:rPr>
          <w:i w:val="0"/>
        </w:rPr>
        <w:t>Intro: Tell us how your institution plans to manage users, checking volume, Storage, and integrations. We’ll use those details to discuss an appropriate institutional setup and pricing path.</w:t>
      </w:r>
    </w:p>
    <w:p>
      <w:pPr>
        <w:pStyle w:val="Heading2"/>
        <w:keepNext/>
      </w:pPr>
      <w:r>
        <w:rPr>
          <w:i w:val="0"/>
        </w:rPr>
        <w:t>FORM FIELDS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880"/>
            <w:shd w:fill="182B4D"/>
            <w:vAlign w:val="center"/>
            <w:tcMar>
              <w:top w:w="90" w:type="dxa"/>
              <w:start w:w="110" w:type="dxa"/>
              <w:bottom w:w="90" w:type="dxa"/>
              <w:end w:w="110" w:type="dxa"/>
            </w:tcMar>
          </w:tcPr>
          <w:p>
            <w:r>
              <w:rPr>
                <w:b/>
                <w:color w:val="FFFFFF"/>
                <w:sz w:val="19"/>
              </w:rPr>
              <w:t>Field</w:t>
            </w:r>
          </w:p>
        </w:tc>
        <w:tc>
          <w:tcPr>
            <w:tcW w:type="dxa" w:w="5472"/>
            <w:shd w:fill="182B4D"/>
            <w:vAlign w:val="center"/>
            <w:tcMar>
              <w:top w:w="90" w:type="dxa"/>
              <w:start w:w="110" w:type="dxa"/>
              <w:bottom w:w="90" w:type="dxa"/>
              <w:end w:w="110" w:type="dxa"/>
            </w:tcMar>
          </w:tcPr>
          <w:p>
            <w:r>
              <w:rPr>
                <w:b/>
                <w:color w:val="FFFFFF"/>
                <w:sz w:val="19"/>
              </w:rPr>
              <w:t>Exact placeholder / options</w:t>
            </w:r>
          </w:p>
        </w:tc>
        <w:tc>
          <w:tcPr>
            <w:tcW w:type="dxa" w:w="2160"/>
            <w:shd w:fill="182B4D"/>
            <w:vAlign w:val="center"/>
            <w:tcMar>
              <w:top w:w="90" w:type="dxa"/>
              <w:start w:w="110" w:type="dxa"/>
              <w:bottom w:w="90" w:type="dxa"/>
              <w:end w:w="110" w:type="dxa"/>
            </w:tcMar>
          </w:tcPr>
          <w:p>
            <w:r>
              <w:rPr>
                <w:b/>
                <w:color w:val="FFFFFF"/>
                <w:sz w:val="19"/>
              </w:rPr>
              <w:t>State</w:t>
            </w:r>
          </w:p>
        </w:tc>
      </w:tr>
      <w:tr>
        <w:trPr>
          <w:cantSplit/>
        </w:trPr>
        <w:tc>
          <w:tcPr>
            <w:tcW w:type="dxa" w:w="2880"/>
            <w:vAlign w:val="top"/>
            <w:tcMar>
              <w:top w:w="90" w:type="dxa"/>
              <w:start w:w="110" w:type="dxa"/>
              <w:bottom w:w="90" w:type="dxa"/>
              <w:end w:w="110" w:type="dxa"/>
            </w:tcMar>
          </w:tcPr>
          <w:p>
            <w:r>
              <w:rPr>
                <w:sz w:val="18"/>
              </w:rPr>
              <w:t>Name *</w:t>
            </w:r>
          </w:p>
        </w:tc>
        <w:tc>
          <w:tcPr>
            <w:tcW w:type="dxa" w:w="5472"/>
            <w:vAlign w:val="top"/>
            <w:tcMar>
              <w:top w:w="90" w:type="dxa"/>
              <w:start w:w="110" w:type="dxa"/>
              <w:bottom w:w="90" w:type="dxa"/>
              <w:end w:w="110" w:type="dxa"/>
            </w:tcMar>
          </w:tcPr>
          <w:p>
            <w:r>
              <w:rPr>
                <w:sz w:val="18"/>
              </w:rPr>
              <w:t>Jordan Reeves</w:t>
            </w:r>
          </w:p>
        </w:tc>
        <w:tc>
          <w:tcPr>
            <w:tcW w:type="dxa" w:w="2160"/>
            <w:vAlign w:val="top"/>
            <w:tcMar>
              <w:top w:w="90" w:type="dxa"/>
              <w:start w:w="110" w:type="dxa"/>
              <w:bottom w:w="90" w:type="dxa"/>
              <w:end w:w="110" w:type="dxa"/>
            </w:tcMar>
          </w:tcPr>
          <w:p>
            <w:r>
              <w:rPr>
                <w:sz w:val="18"/>
              </w:rPr>
              <w:t>Required</w:t>
            </w:r>
          </w:p>
        </w:tc>
      </w:tr>
      <w:tr>
        <w:trPr>
          <w:cantSplit/>
        </w:trPr>
        <w:tc>
          <w:tcPr>
            <w:tcW w:type="dxa" w:w="2880"/>
            <w:vAlign w:val="top"/>
            <w:tcMar>
              <w:top w:w="90" w:type="dxa"/>
              <w:start w:w="110" w:type="dxa"/>
              <w:bottom w:w="90" w:type="dxa"/>
              <w:end w:w="110" w:type="dxa"/>
            </w:tcMar>
          </w:tcPr>
          <w:p>
            <w:r>
              <w:rPr>
                <w:sz w:val="18"/>
              </w:rPr>
              <w:t>Work email *</w:t>
            </w:r>
          </w:p>
        </w:tc>
        <w:tc>
          <w:tcPr>
            <w:tcW w:type="dxa" w:w="5472"/>
            <w:vAlign w:val="top"/>
            <w:tcMar>
              <w:top w:w="90" w:type="dxa"/>
              <w:start w:w="110" w:type="dxa"/>
              <w:bottom w:w="90" w:type="dxa"/>
              <w:end w:w="110" w:type="dxa"/>
            </w:tcMar>
          </w:tcPr>
          <w:p>
            <w:r>
              <w:rPr>
                <w:sz w:val="18"/>
              </w:rPr>
              <w:t>name@university.edu</w:t>
            </w:r>
          </w:p>
        </w:tc>
        <w:tc>
          <w:tcPr>
            <w:tcW w:type="dxa" w:w="2160"/>
            <w:vAlign w:val="top"/>
            <w:tcMar>
              <w:top w:w="90" w:type="dxa"/>
              <w:start w:w="110" w:type="dxa"/>
              <w:bottom w:w="90" w:type="dxa"/>
              <w:end w:w="110" w:type="dxa"/>
            </w:tcMar>
          </w:tcPr>
          <w:p>
            <w:r>
              <w:rPr>
                <w:sz w:val="18"/>
              </w:rPr>
              <w:t>Required</w:t>
            </w:r>
          </w:p>
        </w:tc>
      </w:tr>
      <w:tr>
        <w:trPr>
          <w:cantSplit/>
        </w:trPr>
        <w:tc>
          <w:tcPr>
            <w:tcW w:type="dxa" w:w="2880"/>
            <w:vAlign w:val="top"/>
            <w:tcMar>
              <w:top w:w="90" w:type="dxa"/>
              <w:start w:w="110" w:type="dxa"/>
              <w:bottom w:w="90" w:type="dxa"/>
              <w:end w:w="110" w:type="dxa"/>
            </w:tcMar>
          </w:tcPr>
          <w:p>
            <w:r>
              <w:rPr>
                <w:sz w:val="18"/>
              </w:rPr>
              <w:t>Institution *</w:t>
            </w:r>
          </w:p>
        </w:tc>
        <w:tc>
          <w:tcPr>
            <w:tcW w:type="dxa" w:w="5472"/>
            <w:vAlign w:val="top"/>
            <w:tcMar>
              <w:top w:w="90" w:type="dxa"/>
              <w:start w:w="110" w:type="dxa"/>
              <w:bottom w:w="90" w:type="dxa"/>
              <w:end w:w="110" w:type="dxa"/>
            </w:tcMar>
          </w:tcPr>
          <w:p>
            <w:r>
              <w:rPr>
                <w:sz w:val="18"/>
              </w:rPr>
              <w:t>University or college name</w:t>
            </w:r>
          </w:p>
        </w:tc>
        <w:tc>
          <w:tcPr>
            <w:tcW w:type="dxa" w:w="2160"/>
            <w:vAlign w:val="top"/>
            <w:tcMar>
              <w:top w:w="90" w:type="dxa"/>
              <w:start w:w="110" w:type="dxa"/>
              <w:bottom w:w="90" w:type="dxa"/>
              <w:end w:w="110" w:type="dxa"/>
            </w:tcMar>
          </w:tcPr>
          <w:p>
            <w:r>
              <w:rPr>
                <w:sz w:val="18"/>
              </w:rPr>
              <w:t>Required</w:t>
            </w:r>
          </w:p>
        </w:tc>
      </w:tr>
      <w:tr>
        <w:trPr>
          <w:cantSplit/>
        </w:trPr>
        <w:tc>
          <w:tcPr>
            <w:tcW w:type="dxa" w:w="2880"/>
            <w:vAlign w:val="top"/>
            <w:tcMar>
              <w:top w:w="90" w:type="dxa"/>
              <w:start w:w="110" w:type="dxa"/>
              <w:bottom w:w="90" w:type="dxa"/>
              <w:end w:w="110" w:type="dxa"/>
            </w:tcMar>
          </w:tcPr>
          <w:p>
            <w:r>
              <w:rPr>
                <w:sz w:val="18"/>
              </w:rPr>
              <w:t>Your role</w:t>
            </w:r>
          </w:p>
        </w:tc>
        <w:tc>
          <w:tcPr>
            <w:tcW w:type="dxa" w:w="5472"/>
            <w:vAlign w:val="top"/>
            <w:tcMar>
              <w:top w:w="90" w:type="dxa"/>
              <w:start w:w="110" w:type="dxa"/>
              <w:bottom w:w="90" w:type="dxa"/>
              <w:end w:w="110" w:type="dxa"/>
            </w:tcMar>
          </w:tcPr>
          <w:p>
            <w:r>
              <w:rPr>
                <w:sz w:val="18"/>
              </w:rPr>
              <w:t>Select: Academic or faculty · Administration · Academic integrity · IT or LMS · Procurement · Other</w:t>
            </w:r>
          </w:p>
        </w:tc>
        <w:tc>
          <w:tcPr>
            <w:tcW w:type="dxa" w:w="2160"/>
            <w:vAlign w:val="top"/>
            <w:tcMar>
              <w:top w:w="90" w:type="dxa"/>
              <w:start w:w="110" w:type="dxa"/>
              <w:bottom w:w="90" w:type="dxa"/>
              <w:end w:w="110" w:type="dxa"/>
            </w:tcMar>
          </w:tcPr>
          <w:p>
            <w:r>
              <w:rPr>
                <w:sz w:val="18"/>
              </w:rPr>
              <w:t>Optional</w:t>
            </w:r>
          </w:p>
        </w:tc>
      </w:tr>
      <w:tr>
        <w:trPr>
          <w:cantSplit/>
        </w:trPr>
        <w:tc>
          <w:tcPr>
            <w:tcW w:type="dxa" w:w="2880"/>
            <w:vAlign w:val="top"/>
            <w:tcMar>
              <w:top w:w="90" w:type="dxa"/>
              <w:start w:w="110" w:type="dxa"/>
              <w:bottom w:w="90" w:type="dxa"/>
              <w:end w:w="110" w:type="dxa"/>
            </w:tcMar>
          </w:tcPr>
          <w:p>
            <w:r>
              <w:rPr>
                <w:sz w:val="18"/>
              </w:rPr>
              <w:t>Approximate institution size</w:t>
            </w:r>
          </w:p>
        </w:tc>
        <w:tc>
          <w:tcPr>
            <w:tcW w:type="dxa" w:w="5472"/>
            <w:vAlign w:val="top"/>
            <w:tcMar>
              <w:top w:w="90" w:type="dxa"/>
              <w:start w:w="110" w:type="dxa"/>
              <w:bottom w:w="90" w:type="dxa"/>
              <w:end w:w="110" w:type="dxa"/>
            </w:tcMar>
          </w:tcPr>
          <w:p>
            <w:r>
              <w:rPr>
                <w:sz w:val="18"/>
              </w:rPr>
              <w:t>e.g. 5,000 students or users</w:t>
            </w:r>
          </w:p>
        </w:tc>
        <w:tc>
          <w:tcPr>
            <w:tcW w:type="dxa" w:w="2160"/>
            <w:vAlign w:val="top"/>
            <w:tcMar>
              <w:top w:w="90" w:type="dxa"/>
              <w:start w:w="110" w:type="dxa"/>
              <w:bottom w:w="90" w:type="dxa"/>
              <w:end w:w="110" w:type="dxa"/>
            </w:tcMar>
          </w:tcPr>
          <w:p>
            <w:r>
              <w:rPr>
                <w:sz w:val="18"/>
              </w:rPr>
              <w:t>Optional; helper: An estimate is enough.</w:t>
            </w:r>
          </w:p>
        </w:tc>
      </w:tr>
      <w:tr>
        <w:trPr>
          <w:cantSplit/>
        </w:trPr>
        <w:tc>
          <w:tcPr>
            <w:tcW w:type="dxa" w:w="2880"/>
            <w:vAlign w:val="top"/>
            <w:tcMar>
              <w:top w:w="90" w:type="dxa"/>
              <w:start w:w="110" w:type="dxa"/>
              <w:bottom w:w="90" w:type="dxa"/>
              <w:end w:w="110" w:type="dxa"/>
            </w:tcMar>
          </w:tcPr>
          <w:p>
            <w:r>
              <w:rPr>
                <w:sz w:val="18"/>
              </w:rPr>
              <w:t>Approximate monthly checking volume</w:t>
            </w:r>
          </w:p>
        </w:tc>
        <w:tc>
          <w:tcPr>
            <w:tcW w:type="dxa" w:w="5472"/>
            <w:vAlign w:val="top"/>
            <w:tcMar>
              <w:top w:w="90" w:type="dxa"/>
              <w:start w:w="110" w:type="dxa"/>
              <w:bottom w:w="90" w:type="dxa"/>
              <w:end w:w="110" w:type="dxa"/>
            </w:tcMar>
          </w:tcPr>
          <w:p>
            <w:r>
              <w:rPr>
                <w:sz w:val="18"/>
              </w:rPr>
              <w:t>e.g. 2,000 documents or 1,000,000 words</w:t>
            </w:r>
          </w:p>
        </w:tc>
        <w:tc>
          <w:tcPr>
            <w:tcW w:type="dxa" w:w="2160"/>
            <w:vAlign w:val="top"/>
            <w:tcMar>
              <w:top w:w="90" w:type="dxa"/>
              <w:start w:w="110" w:type="dxa"/>
              <w:bottom w:w="90" w:type="dxa"/>
              <w:end w:w="110" w:type="dxa"/>
            </w:tcMar>
          </w:tcPr>
          <w:p>
            <w:r>
              <w:rPr>
                <w:sz w:val="18"/>
              </w:rPr>
              <w:t>Optional; helper: Use whichever estimate is easier for your institution.</w:t>
            </w:r>
          </w:p>
        </w:tc>
      </w:tr>
      <w:tr>
        <w:trPr>
          <w:cantSplit/>
        </w:trPr>
        <w:tc>
          <w:tcPr>
            <w:tcW w:type="dxa" w:w="2880"/>
            <w:vAlign w:val="top"/>
            <w:tcMar>
              <w:top w:w="90" w:type="dxa"/>
              <w:start w:w="110" w:type="dxa"/>
              <w:bottom w:w="90" w:type="dxa"/>
              <w:end w:w="110" w:type="dxa"/>
            </w:tcMar>
          </w:tcPr>
          <w:p>
            <w:r>
              <w:rPr>
                <w:sz w:val="18"/>
              </w:rPr>
              <w:t>How do you plan to use PlagiarismSearch?</w:t>
            </w:r>
          </w:p>
        </w:tc>
        <w:tc>
          <w:tcPr>
            <w:tcW w:type="dxa" w:w="5472"/>
            <w:vAlign w:val="top"/>
            <w:tcMar>
              <w:top w:w="90" w:type="dxa"/>
              <w:start w:w="110" w:type="dxa"/>
              <w:bottom w:w="90" w:type="dxa"/>
              <w:end w:w="110" w:type="dxa"/>
            </w:tcMar>
          </w:tcPr>
          <w:p>
            <w:r>
              <w:rPr>
                <w:sz w:val="18"/>
              </w:rPr>
              <w:t>Select: Organization workspace · Moodle · API · Not sure yet · Other</w:t>
            </w:r>
          </w:p>
        </w:tc>
        <w:tc>
          <w:tcPr>
            <w:tcW w:type="dxa" w:w="2160"/>
            <w:vAlign w:val="top"/>
            <w:tcMar>
              <w:top w:w="90" w:type="dxa"/>
              <w:start w:w="110" w:type="dxa"/>
              <w:bottom w:w="90" w:type="dxa"/>
              <w:end w:w="110" w:type="dxa"/>
            </w:tcMar>
          </w:tcPr>
          <w:p>
            <w:r>
              <w:rPr>
                <w:sz w:val="18"/>
              </w:rPr>
              <w:t>Optional</w:t>
            </w:r>
          </w:p>
        </w:tc>
      </w:tr>
      <w:tr>
        <w:trPr>
          <w:cantSplit/>
        </w:trPr>
        <w:tc>
          <w:tcPr>
            <w:tcW w:type="dxa" w:w="2880"/>
            <w:vAlign w:val="top"/>
            <w:tcMar>
              <w:top w:w="90" w:type="dxa"/>
              <w:start w:w="110" w:type="dxa"/>
              <w:bottom w:w="90" w:type="dxa"/>
              <w:end w:w="110" w:type="dxa"/>
            </w:tcMar>
          </w:tcPr>
          <w:p>
            <w:r>
              <w:rPr>
                <w:sz w:val="18"/>
              </w:rPr>
              <w:t>Moodle URL</w:t>
            </w:r>
          </w:p>
        </w:tc>
        <w:tc>
          <w:tcPr>
            <w:tcW w:type="dxa" w:w="5472"/>
            <w:vAlign w:val="top"/>
            <w:tcMar>
              <w:top w:w="90" w:type="dxa"/>
              <w:start w:w="110" w:type="dxa"/>
              <w:bottom w:w="90" w:type="dxa"/>
              <w:end w:w="110" w:type="dxa"/>
            </w:tcMar>
          </w:tcPr>
          <w:p>
            <w:r>
              <w:rPr>
                <w:sz w:val="18"/>
              </w:rPr>
              <w:t>https://moodle.university.edu</w:t>
            </w:r>
          </w:p>
        </w:tc>
        <w:tc>
          <w:tcPr>
            <w:tcW w:type="dxa" w:w="2160"/>
            <w:vAlign w:val="top"/>
            <w:tcMar>
              <w:top w:w="90" w:type="dxa"/>
              <w:start w:w="110" w:type="dxa"/>
              <w:bottom w:w="90" w:type="dxa"/>
              <w:end w:w="110" w:type="dxa"/>
            </w:tcMar>
          </w:tcPr>
          <w:p>
            <w:r>
              <w:rPr>
                <w:sz w:val="18"/>
              </w:rPr>
              <w:t>Conditional / Optional; reveal only when Moodle is selected.</w:t>
            </w:r>
          </w:p>
        </w:tc>
      </w:tr>
      <w:tr>
        <w:trPr>
          <w:cantSplit/>
        </w:trPr>
        <w:tc>
          <w:tcPr>
            <w:tcW w:type="dxa" w:w="2880"/>
            <w:vAlign w:val="top"/>
            <w:tcMar>
              <w:top w:w="90" w:type="dxa"/>
              <w:start w:w="110" w:type="dxa"/>
              <w:bottom w:w="90" w:type="dxa"/>
              <w:end w:w="110" w:type="dxa"/>
            </w:tcMar>
          </w:tcPr>
          <w:p>
            <w:r>
              <w:rPr>
                <w:sz w:val="18"/>
              </w:rPr>
              <w:t>Institutional requirements *</w:t>
            </w:r>
          </w:p>
        </w:tc>
        <w:tc>
          <w:tcPr>
            <w:tcW w:type="dxa" w:w="5472"/>
            <w:vAlign w:val="top"/>
            <w:tcMar>
              <w:top w:w="90" w:type="dxa"/>
              <w:start w:w="110" w:type="dxa"/>
              <w:bottom w:w="90" w:type="dxa"/>
              <w:end w:w="110" w:type="dxa"/>
            </w:tcMar>
          </w:tcPr>
          <w:p>
            <w:r>
              <w:rPr>
                <w:sz w:val="18"/>
              </w:rPr>
              <w:t>Tell us about your plagiarism-checking workflow, source or Storage requirements, integration needs, or any questions we should consider.</w:t>
            </w:r>
          </w:p>
        </w:tc>
        <w:tc>
          <w:tcPr>
            <w:tcW w:type="dxa" w:w="2160"/>
            <w:vAlign w:val="top"/>
            <w:tcMar>
              <w:top w:w="90" w:type="dxa"/>
              <w:start w:w="110" w:type="dxa"/>
              <w:bottom w:w="90" w:type="dxa"/>
              <w:end w:w="110" w:type="dxa"/>
            </w:tcMar>
          </w:tcPr>
          <w:p>
            <w:r>
              <w:rPr>
                <w:sz w:val="18"/>
              </w:rPr>
              <w:t>Required textarea</w:t>
            </w:r>
          </w:p>
        </w:tc>
      </w:tr>
    </w:tbl>
    <w:p/>
    <w:p>
      <w:pPr>
        <w:pStyle w:val="Kicker"/>
        <w:keepNext/>
      </w:pPr>
      <w:r>
        <w:rPr>
          <w:i w:val="0"/>
        </w:rPr>
        <w:t>CONSENT</w:t>
      </w:r>
    </w:p>
    <w:p>
      <w:pPr>
        <w:pStyle w:val="FixedCopy"/>
      </w:pPr>
      <w:r>
        <w:rPr>
          <w:i w:val="0"/>
        </w:rPr>
        <w:t>I agree to the Terms of Use and Privacy Policy.</w:t>
      </w:r>
    </w:p>
    <w:p>
      <w:pPr>
        <w:pStyle w:val="Small"/>
      </w:pPr>
      <w:r>
        <w:rPr>
          <w:i w:val="0"/>
        </w:rPr>
        <w:t>Terms of Use → /terms-of-use · Privacy Policy → /policy</w:t>
      </w:r>
    </w:p>
    <w:p>
      <w:pPr>
        <w:pStyle w:val="Kicker"/>
        <w:keepNext/>
      </w:pPr>
      <w:r>
        <w:rPr>
          <w:i w:val="0"/>
        </w:rPr>
        <w:t>PRIMARY FORM CTA</w:t>
      </w:r>
    </w:p>
    <w:p>
      <w:pPr>
        <w:pStyle w:val="FixedCopy"/>
      </w:pPr>
      <w:r>
        <w:rPr>
          <w:i w:val="0"/>
        </w:rPr>
        <w:t>Request institutional pricing</w:t>
      </w:r>
    </w:p>
    <w:p>
      <w:pPr>
        <w:pStyle w:val="Heading3"/>
        <w:keepNext/>
      </w:pPr>
      <w:r>
        <w:rPr>
          <w:i w:val="0"/>
        </w:rPr>
        <w:t>SUCCESS STATE</w:t>
      </w:r>
    </w:p>
    <w:p>
      <w:pPr>
        <w:pStyle w:val="FixedCopy"/>
      </w:pPr>
      <w:r>
        <w:rPr>
          <w:i w:val="0"/>
        </w:rPr>
        <w:t>Heading: Your institutional request has been sent</w:t>
      </w:r>
    </w:p>
    <w:p>
      <w:pPr>
        <w:pStyle w:val="FixedCopy"/>
      </w:pPr>
      <w:r>
        <w:rPr>
          <w:i w:val="0"/>
        </w:rPr>
        <w:t>Supporting copy: Thank you. We’ve received the information about your institution and plagiarism-checking requirements.</w:t>
      </w:r>
    </w:p>
    <w:p>
      <w:pPr>
        <w:pStyle w:val="Heading3"/>
        <w:keepNext/>
      </w:pPr>
      <w:r>
        <w:rPr>
          <w:i w:val="0"/>
        </w:rPr>
        <w:t>ALTERNATIVE CONTACT</w:t>
      </w:r>
    </w:p>
    <w:p>
      <w:pPr>
        <w:pStyle w:val="FixedCopy"/>
      </w:pPr>
      <w:r>
        <w:rPr>
          <w:i w:val="0"/>
        </w:rPr>
        <w:t>Prefer email? Contact us at services@plagiarismsearch.com.</w:t>
      </w:r>
    </w:p>
    <w:p>
      <w:pPr>
        <w:pStyle w:val="Small"/>
      </w:pPr>
      <w:r>
        <w:rPr>
          <w:i w:val="0"/>
        </w:rPr>
        <w:t>Destination: mailto:services@plagiarismsearch.com</w:t>
      </w:r>
    </w:p>
    <w:p>
      <w:pPr>
        <w:pStyle w:val="Kicker"/>
        <w:keepNext/>
      </w:pPr>
      <w:r>
        <w:rPr>
          <w:i w:val="0"/>
        </w:rPr>
        <w:t>FORM BEHAVIOR RULE</w:t>
      </w:r>
    </w:p>
    <w:p>
      <w:pPr/>
      <w:r>
        <w:rPr>
          <w:i w:val="0"/>
        </w:rPr>
        <w:t>Reuse the established validated form backend and accessibility/error behavior. Do not invent a response-time promise, automatic trial entitlement or fixed price. Do not add Facebook or LinkedIn fields. Phone is not part of this approved baseline.</w:t>
      </w:r>
    </w:p>
    <w:p>
      <w:pPr>
        <w:pStyle w:val="Kicker"/>
        <w:keepNext/>
      </w:pPr>
      <w:r>
        <w:rPr>
          <w:i w:val="0"/>
        </w:rPr>
        <w:t>PER-BLOCK ACCEPTANCE</w:t>
      </w:r>
    </w:p>
    <w:p>
      <w:pPr>
        <w:pStyle w:val="ListBullet"/>
      </w:pPr>
      <w:r>
        <w:rPr>
          <w:i w:val="0"/>
        </w:rPr>
        <w:t>The form qualifies an institution/workflow without forcing social-profile fields or a phone call promise.</w:t>
      </w:r>
    </w:p>
    <w:p>
      <w:pPr>
        <w:pStyle w:val="ListBullet"/>
      </w:pPr>
      <w:r>
        <w:rPr>
          <w:i w:val="0"/>
        </w:rPr>
        <w:t>Conditional Moodle URL appears only for the Moodle selection and is optional.</w:t>
      </w:r>
    </w:p>
    <w:p>
      <w:pPr>
        <w:pStyle w:val="ListBullet"/>
      </w:pPr>
      <w:r>
        <w:rPr>
          <w:i w:val="0"/>
        </w:rPr>
        <w:t>No fixed institutional price, discount, demo/trial guarantee or response-time SLA is added.</w:t>
      </w:r>
    </w:p>
    <w:p>
      <w:pPr>
        <w:pStyle w:val="ListBullet"/>
      </w:pPr>
      <w:r>
        <w:rPr>
          <w:i w:val="0"/>
        </w:rPr>
        <w:t>Success state uses the exact approved copy.</w:t>
      </w:r>
    </w:p>
    <w:p>
      <w:pPr>
        <w:pStyle w:val="Heading1"/>
        <w:keepNext/>
      </w:pPr>
      <w:r>
        <w:rPr>
          <w:i w:val="0"/>
        </w:rPr>
        <w:t>SECTION 11 — INSTITUTIONAL FAQ</w:t>
      </w:r>
    </w:p>
    <w:p>
      <w:pPr>
        <w:pStyle w:val="FixedCopy"/>
      </w:pPr>
      <w:r>
        <w:rPr>
          <w:i w:val="0"/>
        </w:rPr>
        <w:t>Anchor: #institutional-faq</w:t>
      </w:r>
    </w:p>
    <w:p>
      <w:pPr>
        <w:pStyle w:val="FixedCopy"/>
      </w:pPr>
      <w:r>
        <w:rPr>
          <w:i w:val="0"/>
        </w:rPr>
        <w:t>H2: University Plagiarism Checker FAQ</w:t>
      </w:r>
    </w:p>
    <w:p>
      <w:pPr>
        <w:pStyle w:val="Heading3"/>
        <w:keepNext/>
      </w:pPr>
      <w:r>
        <w:rPr>
          <w:i w:val="0"/>
        </w:rPr>
        <w:t>1. Can our university manage multiple PlagiarismSearch users?</w:t>
      </w:r>
    </w:p>
    <w:p>
      <w:pPr>
        <w:pStyle w:val="FixedCopy"/>
      </w:pPr>
      <w:r>
        <w:rPr>
          <w:i w:val="0"/>
        </w:rPr>
        <w:t>Yes. PlagiarismSearch Organization Management lets an administrator create an organization, invite members, manage access, and control how institutional resources are used.</w:t>
      </w:r>
    </w:p>
    <w:p>
      <w:pPr>
        <w:pStyle w:val="Heading3"/>
        <w:keepNext/>
      </w:pPr>
      <w:r>
        <w:rPr>
          <w:i w:val="0"/>
        </w:rPr>
        <w:t>2. Can administrators allocate plagiarism-checking balance to individual members?</w:t>
      </w:r>
    </w:p>
    <w:p>
      <w:pPr>
        <w:pStyle w:val="FixedCopy"/>
      </w:pPr>
      <w:r>
        <w:rPr>
          <w:i w:val="0"/>
        </w:rPr>
        <w:t>Yes. Administrators can distribute plagiarism-checking words from the organization balance to individual members according to the institution’s needs.</w:t>
      </w:r>
    </w:p>
    <w:p>
      <w:pPr>
        <w:pStyle w:val="Heading3"/>
        <w:keepNext/>
      </w:pPr>
      <w:r>
        <w:rPr>
          <w:i w:val="0"/>
        </w:rPr>
        <w:t>3. Can administrators also allocate AI checking balance?</w:t>
      </w:r>
    </w:p>
    <w:p>
      <w:pPr>
        <w:pStyle w:val="FixedCopy"/>
      </w:pPr>
      <w:r>
        <w:rPr>
          <w:i w:val="0"/>
        </w:rPr>
        <w:t>Yes. AI words can be allocated separately when AI checking is part of the organization’s workflow. AI detection remains a separate analysis from plagiarism checking.</w:t>
      </w:r>
    </w:p>
    <w:p>
      <w:pPr>
        <w:pStyle w:val="Heading3"/>
        <w:keepNext/>
      </w:pPr>
      <w:r>
        <w:rPr>
          <w:i w:val="0"/>
        </w:rPr>
        <w:t>4. Can our institution compare new submissions with its own documents?</w:t>
      </w:r>
    </w:p>
    <w:p>
      <w:pPr>
        <w:pStyle w:val="FixedCopy"/>
      </w:pPr>
      <w:r>
        <w:rPr>
          <w:i w:val="0"/>
        </w:rPr>
        <w:t>Yes, when Organization Storage is enabled and the relevant permissions are available. Organization Storage can be used as an institutional comparison source alongside external sources selected for the check.</w:t>
      </w:r>
    </w:p>
    <w:p>
      <w:pPr>
        <w:pStyle w:val="Heading3"/>
        <w:keepNext/>
      </w:pPr>
      <w:r>
        <w:rPr>
          <w:i w:val="0"/>
        </w:rPr>
        <w:t>5. Does every checked document automatically enter Organization Storage?</w:t>
      </w:r>
    </w:p>
    <w:p>
      <w:pPr>
        <w:pStyle w:val="FixedCopy"/>
      </w:pPr>
      <w:r>
        <w:rPr>
          <w:i w:val="0"/>
        </w:rPr>
        <w:t>No. Running a plagiarism check does not automatically make the document part of Organization Storage. Storage is a separate workflow that the institution uses when it wants selected material to participate in future comparisons.</w:t>
      </w:r>
    </w:p>
    <w:p>
      <w:pPr>
        <w:pStyle w:val="Heading3"/>
        <w:keepNext/>
      </w:pPr>
      <w:r>
        <w:rPr>
          <w:i w:val="0"/>
        </w:rPr>
        <w:t>6. Does PlagiarismSearch integrate with Moodle?</w:t>
      </w:r>
    </w:p>
    <w:p>
      <w:pPr>
        <w:pStyle w:val="FixedCopy"/>
      </w:pPr>
      <w:r>
        <w:rPr>
          <w:i w:val="0"/>
        </w:rPr>
        <w:t>Yes. The PlagiarismSearch Moodle plugin supports plagiarism checking within LMS workflows, including automatic or manual checks, Web and Storage source settings, reference and citation exclusions, student report visibility, submissions, and resubmission controls.</w:t>
      </w:r>
    </w:p>
    <w:p>
      <w:pPr>
        <w:pStyle w:val="Heading3"/>
        <w:keepNext/>
      </w:pPr>
      <w:r>
        <w:rPr>
          <w:i w:val="0"/>
        </w:rPr>
        <w:t>7. Can students submit papers and view plagiarism reports inside Moodle?</w:t>
      </w:r>
    </w:p>
    <w:p>
      <w:pPr>
        <w:pStyle w:val="FixedCopy"/>
      </w:pPr>
      <w:r>
        <w:rPr>
          <w:i w:val="0"/>
        </w:rPr>
        <w:t>Moodle administrators can configure whether students may submit papers, resubmit revised work, view reports, and see the plagiarism percentage. These options can be adjusted to fit the institution’s course workflow.</w:t>
      </w:r>
    </w:p>
    <w:p>
      <w:pPr>
        <w:pStyle w:val="Heading3"/>
        <w:keepNext/>
      </w:pPr>
      <w:r>
        <w:rPr>
          <w:i w:val="0"/>
        </w:rPr>
        <w:t>8. Can our institution use the API instead of Moodle?</w:t>
      </w:r>
    </w:p>
    <w:p>
      <w:pPr>
        <w:pStyle w:val="FixedCopy"/>
      </w:pPr>
      <w:r>
        <w:rPr>
          <w:i w:val="0"/>
        </w:rPr>
        <w:t>Yes. Institutions with their own platform or custom technical workflow can integrate plagiarism checking through the PlagiarismSearch API. Moodle and API are separate deployment paths, so the institution can choose the approach that fits its existing systems.</w:t>
      </w:r>
    </w:p>
    <w:p>
      <w:pPr>
        <w:pStyle w:val="Small"/>
      </w:pPr>
      <w:r>
        <w:rPr>
          <w:i w:val="0"/>
        </w:rPr>
        <w:t>Embedded link: PlagiarismSearch API → /plagiarism-api</w:t>
      </w:r>
    </w:p>
    <w:p>
      <w:pPr>
        <w:pStyle w:val="Heading3"/>
        <w:keepNext/>
      </w:pPr>
      <w:r>
        <w:rPr>
          <w:i w:val="0"/>
        </w:rPr>
        <w:t>9. What sources can be included in an institutional plagiarism check?</w:t>
      </w:r>
    </w:p>
    <w:p>
      <w:pPr>
        <w:pStyle w:val="FixedCopy"/>
      </w:pPr>
      <w:r>
        <w:rPr>
          <w:i w:val="0"/>
        </w:rPr>
        <w:t>Depending on the selected configuration and available access, checks can use Web sources, an academic database with more than 500 million indexed academic texts, and permitted Organization Storage.</w:t>
      </w:r>
    </w:p>
    <w:p>
      <w:pPr>
        <w:pStyle w:val="Heading3"/>
        <w:keepNext/>
      </w:pPr>
      <w:r>
        <w:rPr>
          <w:i w:val="0"/>
        </w:rPr>
        <w:t>10. Does the plagiarism report automatically decide that a student plagiarized?</w:t>
      </w:r>
    </w:p>
    <w:p>
      <w:pPr>
        <w:pStyle w:val="FixedCopy"/>
      </w:pPr>
      <w:r>
        <w:rPr>
          <w:i w:val="0"/>
        </w:rPr>
        <w:t>No. The report identifies matching and similar passages and connects them to detected sources. Educators should review the matches, citations, references, and surrounding context before deciding how the result should be interpreted academically.</w:t>
      </w:r>
    </w:p>
    <w:p>
      <w:pPr>
        <w:pStyle w:val="Heading3"/>
        <w:keepNext/>
      </w:pPr>
      <w:r>
        <w:rPr>
          <w:i w:val="0"/>
        </w:rPr>
        <w:t>11. How do we get institutional pricing?</w:t>
      </w:r>
    </w:p>
    <w:p>
      <w:pPr>
        <w:pStyle w:val="FixedCopy"/>
      </w:pPr>
      <w:r>
        <w:rPr>
          <w:i w:val="0"/>
        </w:rPr>
        <w:t>Institutional requirements can vary by scale, checking volume, Storage needs, and integration workflow. Send your requirements through the institutional inquiry form on this page so PlagiarismSearch can discuss an appropriate setup and pricing path.</w:t>
      </w:r>
    </w:p>
    <w:p>
      <w:pPr>
        <w:pStyle w:val="Small"/>
      </w:pPr>
      <w:r>
        <w:rPr>
          <w:i w:val="0"/>
        </w:rPr>
        <w:t>CTA inside answer: Request institutional pricing → #institutional-inquiry</w:t>
      </w:r>
    </w:p>
    <w:p>
      <w:pPr>
        <w:pStyle w:val="Kicker"/>
        <w:keepNext/>
      </w:pPr>
      <w:r>
        <w:rPr>
          <w:i w:val="0"/>
        </w:rPr>
        <w:t>PER-BLOCK ACCEPTANCE</w:t>
      </w:r>
    </w:p>
    <w:p>
      <w:pPr>
        <w:pStyle w:val="ListBullet"/>
      </w:pPr>
      <w:r>
        <w:rPr>
          <w:i w:val="0"/>
        </w:rPr>
        <w:t>All 11 approved questions and full answers are present; do not shorten to snippets.</w:t>
      </w:r>
    </w:p>
    <w:p>
      <w:pPr>
        <w:pStyle w:val="ListBullet"/>
      </w:pPr>
      <w:r>
        <w:rPr>
          <w:i w:val="0"/>
        </w:rPr>
        <w:t>FAQ does not add generic “What is plagiarism?” SEO filler.</w:t>
      </w:r>
    </w:p>
    <w:p>
      <w:pPr>
        <w:pStyle w:val="ListBullet"/>
      </w:pPr>
      <w:r>
        <w:rPr>
          <w:i w:val="0"/>
        </w:rPr>
        <w:t>FAQ answer 5 preserves the explicit non-automatic Storage rule.</w:t>
      </w:r>
    </w:p>
    <w:p>
      <w:pPr>
        <w:pStyle w:val="ListBullet"/>
      </w:pPr>
      <w:r>
        <w:rPr>
          <w:i w:val="0"/>
        </w:rPr>
        <w:t>FAQ answer 10 preserves the human-review principle.</w:t>
      </w:r>
    </w:p>
    <w:p>
      <w:pPr>
        <w:pStyle w:val="ListBullet"/>
      </w:pPr>
      <w:r>
        <w:rPr>
          <w:i w:val="0"/>
        </w:rPr>
        <w:t>FAQ is accessible and answers remain rendered in HTML.</w:t>
      </w:r>
    </w:p>
    <w:p>
      <w:pPr>
        <w:pStyle w:val="Heading1"/>
        <w:keepNext/>
      </w:pPr>
      <w:r>
        <w:rPr>
          <w:i w:val="0"/>
        </w:rPr>
        <w:t>SECTION 12 — FINAL INSTITUTIONAL CTA</w:t>
      </w:r>
    </w:p>
    <w:p>
      <w:pPr>
        <w:pStyle w:val="FixedCopy"/>
      </w:pPr>
      <w:r>
        <w:rPr>
          <w:i w:val="0"/>
        </w:rPr>
        <w:t>H2: Build a plagiarism-checking workflow that fits your institution</w:t>
      </w:r>
    </w:p>
    <w:p>
      <w:pPr>
        <w:pStyle w:val="FixedCopy"/>
      </w:pPr>
      <w:r>
        <w:rPr>
          <w:i w:val="0"/>
        </w:rPr>
        <w:t>Supporting copy: Give educators source evidence they can review, give administrators control over institutional access and resources, and choose the deployment path that fits your existing workflow.</w:t>
      </w:r>
    </w:p>
    <w:p>
      <w:pPr>
        <w:pStyle w:val="Kicker"/>
        <w:keepNext/>
      </w:pPr>
      <w:r>
        <w:rPr>
          <w:i w:val="0"/>
        </w:rPr>
        <w:t>PRIMARY CTA</w:t>
      </w:r>
    </w:p>
    <w:p>
      <w:pPr>
        <w:pStyle w:val="FixedCopy"/>
      </w:pPr>
      <w:r>
        <w:rPr>
          <w:i w:val="0"/>
        </w:rPr>
        <w:t>Request institutional pricing</w:t>
      </w:r>
    </w:p>
    <w:p>
      <w:pPr>
        <w:pStyle w:val="Small"/>
      </w:pPr>
      <w:r>
        <w:rPr>
          <w:i w:val="0"/>
        </w:rPr>
        <w:t>Destination: #institutional-inquiry</w:t>
      </w:r>
    </w:p>
    <w:p>
      <w:pPr>
        <w:pStyle w:val="Kicker"/>
        <w:keepNext/>
      </w:pPr>
      <w:r>
        <w:rPr>
          <w:i w:val="0"/>
        </w:rPr>
        <w:t>SECONDARY CTA</w:t>
      </w:r>
    </w:p>
    <w:p>
      <w:pPr>
        <w:pStyle w:val="FixedCopy"/>
      </w:pPr>
      <w:r>
        <w:rPr>
          <w:i w:val="0"/>
        </w:rPr>
        <w:t>View Moodle integration</w:t>
      </w:r>
    </w:p>
    <w:p>
      <w:pPr>
        <w:pStyle w:val="Small"/>
      </w:pPr>
      <w:r>
        <w:rPr>
          <w:i w:val="0"/>
        </w:rPr>
        <w:t>Destination: /integration-guide</w:t>
      </w:r>
    </w:p>
    <w:p>
      <w:pPr>
        <w:pStyle w:val="Kicker"/>
        <w:keepNext/>
      </w:pPr>
      <w:r>
        <w:rPr>
          <w:i w:val="0"/>
        </w:rPr>
        <w:t>PER-BLOCK ACCEPTANCE</w:t>
      </w:r>
    </w:p>
    <w:p>
      <w:pPr>
        <w:pStyle w:val="ListBullet"/>
      </w:pPr>
      <w:r>
        <w:rPr>
          <w:i w:val="0"/>
        </w:rPr>
        <w:t>Primary action returns to the institutional inquiry form.</w:t>
      </w:r>
    </w:p>
    <w:p>
      <w:pPr>
        <w:pStyle w:val="ListBullet"/>
      </w:pPr>
      <w:r>
        <w:rPr>
          <w:i w:val="0"/>
        </w:rPr>
        <w:t>Secondary action is real product evidence (Moodle), not a generic Contact Us link.</w:t>
      </w:r>
    </w:p>
    <w:p>
      <w:pPr>
        <w:pStyle w:val="ListBullet"/>
      </w:pPr>
      <w:r>
        <w:rPr>
          <w:i w:val="0"/>
        </w:rPr>
        <w:t>No new consumer checker CTA, plan CTA, trial claim or extra final section is added.</w:t>
      </w:r>
    </w:p>
    <w:p>
      <w:pPr>
        <w:pStyle w:val="Heading1"/>
        <w:keepNext/>
      </w:pPr>
      <w:r>
        <w:rPr>
          <w:i w:val="0"/>
        </w:rPr>
        <w:t>APPROVED INTERNAL-LINK POLICY</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4320"/>
            <w:shd w:fill="182B4D"/>
            <w:vAlign w:val="center"/>
            <w:tcMar>
              <w:top w:w="90" w:type="dxa"/>
              <w:start w:w="110" w:type="dxa"/>
              <w:bottom w:w="90" w:type="dxa"/>
              <w:end w:w="110" w:type="dxa"/>
            </w:tcMar>
          </w:tcPr>
          <w:p>
            <w:r>
              <w:rPr>
                <w:b/>
                <w:color w:val="FFFFFF"/>
                <w:sz w:val="19"/>
              </w:rPr>
              <w:t>Anchor text</w:t>
            </w:r>
          </w:p>
        </w:tc>
        <w:tc>
          <w:tcPr>
            <w:tcW w:type="dxa" w:w="2880"/>
            <w:shd w:fill="182B4D"/>
            <w:vAlign w:val="center"/>
            <w:tcMar>
              <w:top w:w="90" w:type="dxa"/>
              <w:start w:w="110" w:type="dxa"/>
              <w:bottom w:w="90" w:type="dxa"/>
              <w:end w:w="110" w:type="dxa"/>
            </w:tcMar>
          </w:tcPr>
          <w:p>
            <w:r>
              <w:rPr>
                <w:b/>
                <w:color w:val="FFFFFF"/>
                <w:sz w:val="19"/>
              </w:rPr>
              <w:t>Destination</w:t>
            </w:r>
          </w:p>
        </w:tc>
        <w:tc>
          <w:tcPr>
            <w:tcW w:type="dxa" w:w="3312"/>
            <w:shd w:fill="182B4D"/>
            <w:vAlign w:val="center"/>
            <w:tcMar>
              <w:top w:w="90" w:type="dxa"/>
              <w:start w:w="110" w:type="dxa"/>
              <w:bottom w:w="90" w:type="dxa"/>
              <w:end w:w="110" w:type="dxa"/>
            </w:tcMar>
          </w:tcPr>
          <w:p>
            <w:r>
              <w:rPr>
                <w:b/>
                <w:color w:val="FFFFFF"/>
                <w:sz w:val="19"/>
              </w:rPr>
              <w:t>Role</w:t>
            </w:r>
          </w:p>
        </w:tc>
      </w:tr>
      <w:tr>
        <w:trPr>
          <w:cantSplit/>
        </w:trPr>
        <w:tc>
          <w:tcPr>
            <w:tcW w:type="dxa" w:w="4320"/>
            <w:vAlign w:val="top"/>
            <w:tcMar>
              <w:top w:w="90" w:type="dxa"/>
              <w:start w:w="110" w:type="dxa"/>
              <w:bottom w:w="90" w:type="dxa"/>
              <w:end w:w="110" w:type="dxa"/>
            </w:tcMar>
          </w:tcPr>
          <w:p>
            <w:r>
              <w:rPr>
                <w:sz w:val="18"/>
              </w:rPr>
              <w:t>Explore Organization Management</w:t>
            </w:r>
          </w:p>
        </w:tc>
        <w:tc>
          <w:tcPr>
            <w:tcW w:type="dxa" w:w="2880"/>
            <w:vAlign w:val="top"/>
            <w:tcMar>
              <w:top w:w="90" w:type="dxa"/>
              <w:start w:w="110" w:type="dxa"/>
              <w:bottom w:w="90" w:type="dxa"/>
              <w:end w:w="110" w:type="dxa"/>
            </w:tcMar>
          </w:tcPr>
          <w:p>
            <w:r>
              <w:rPr>
                <w:sz w:val="18"/>
              </w:rPr>
              <w:t>/organization-management</w:t>
            </w:r>
          </w:p>
        </w:tc>
        <w:tc>
          <w:tcPr>
            <w:tcW w:type="dxa" w:w="3312"/>
            <w:vAlign w:val="top"/>
            <w:tcMar>
              <w:top w:w="90" w:type="dxa"/>
              <w:start w:w="110" w:type="dxa"/>
              <w:bottom w:w="90" w:type="dxa"/>
              <w:end w:w="110" w:type="dxa"/>
            </w:tcMar>
          </w:tcPr>
          <w:p>
            <w:r>
              <w:rPr>
                <w:sz w:val="18"/>
              </w:rPr>
              <w:t>Institutional administration detail</w:t>
            </w:r>
          </w:p>
        </w:tc>
      </w:tr>
      <w:tr>
        <w:trPr>
          <w:cantSplit/>
        </w:trPr>
        <w:tc>
          <w:tcPr>
            <w:tcW w:type="dxa" w:w="4320"/>
            <w:vAlign w:val="top"/>
            <w:tcMar>
              <w:top w:w="90" w:type="dxa"/>
              <w:start w:w="110" w:type="dxa"/>
              <w:bottom w:w="90" w:type="dxa"/>
              <w:end w:w="110" w:type="dxa"/>
            </w:tcMar>
          </w:tcPr>
          <w:p>
            <w:r>
              <w:rPr>
                <w:sz w:val="18"/>
              </w:rPr>
              <w:t>View Moodle integration / View the Moodle integration guide</w:t>
            </w:r>
          </w:p>
        </w:tc>
        <w:tc>
          <w:tcPr>
            <w:tcW w:type="dxa" w:w="2880"/>
            <w:vAlign w:val="top"/>
            <w:tcMar>
              <w:top w:w="90" w:type="dxa"/>
              <w:start w:w="110" w:type="dxa"/>
              <w:bottom w:w="90" w:type="dxa"/>
              <w:end w:w="110" w:type="dxa"/>
            </w:tcMar>
          </w:tcPr>
          <w:p>
            <w:r>
              <w:rPr>
                <w:sz w:val="18"/>
              </w:rPr>
              <w:t>/integration-guide</w:t>
            </w:r>
          </w:p>
        </w:tc>
        <w:tc>
          <w:tcPr>
            <w:tcW w:type="dxa" w:w="3312"/>
            <w:vAlign w:val="top"/>
            <w:tcMar>
              <w:top w:w="90" w:type="dxa"/>
              <w:start w:w="110" w:type="dxa"/>
              <w:bottom w:w="90" w:type="dxa"/>
              <w:end w:w="110" w:type="dxa"/>
            </w:tcMar>
          </w:tcPr>
          <w:p>
            <w:r>
              <w:rPr>
                <w:sz w:val="18"/>
              </w:rPr>
              <w:t>LMS workflow detail</w:t>
            </w:r>
          </w:p>
        </w:tc>
      </w:tr>
      <w:tr>
        <w:trPr>
          <w:cantSplit/>
        </w:trPr>
        <w:tc>
          <w:tcPr>
            <w:tcW w:type="dxa" w:w="4320"/>
            <w:vAlign w:val="top"/>
            <w:tcMar>
              <w:top w:w="90" w:type="dxa"/>
              <w:start w:w="110" w:type="dxa"/>
              <w:bottom w:w="90" w:type="dxa"/>
              <w:end w:w="110" w:type="dxa"/>
            </w:tcMar>
          </w:tcPr>
          <w:p>
            <w:r>
              <w:rPr>
                <w:sz w:val="18"/>
              </w:rPr>
              <w:t>Explore the API / PlagiarismSearch API</w:t>
            </w:r>
          </w:p>
        </w:tc>
        <w:tc>
          <w:tcPr>
            <w:tcW w:type="dxa" w:w="2880"/>
            <w:vAlign w:val="top"/>
            <w:tcMar>
              <w:top w:w="90" w:type="dxa"/>
              <w:start w:w="110" w:type="dxa"/>
              <w:bottom w:w="90" w:type="dxa"/>
              <w:end w:w="110" w:type="dxa"/>
            </w:tcMar>
          </w:tcPr>
          <w:p>
            <w:r>
              <w:rPr>
                <w:sz w:val="18"/>
              </w:rPr>
              <w:t>/plagiarism-api</w:t>
            </w:r>
          </w:p>
        </w:tc>
        <w:tc>
          <w:tcPr>
            <w:tcW w:type="dxa" w:w="3312"/>
            <w:vAlign w:val="top"/>
            <w:tcMar>
              <w:top w:w="90" w:type="dxa"/>
              <w:start w:w="110" w:type="dxa"/>
              <w:bottom w:w="90" w:type="dxa"/>
              <w:end w:w="110" w:type="dxa"/>
            </w:tcMar>
          </w:tcPr>
          <w:p>
            <w:r>
              <w:rPr>
                <w:sz w:val="18"/>
              </w:rPr>
              <w:t>Custom technical integration</w:t>
            </w:r>
          </w:p>
        </w:tc>
      </w:tr>
      <w:tr>
        <w:trPr>
          <w:cantSplit/>
        </w:trPr>
        <w:tc>
          <w:tcPr>
            <w:tcW w:type="dxa" w:w="4320"/>
            <w:vAlign w:val="top"/>
            <w:tcMar>
              <w:top w:w="90" w:type="dxa"/>
              <w:start w:w="110" w:type="dxa"/>
              <w:bottom w:w="90" w:type="dxa"/>
              <w:end w:w="110" w:type="dxa"/>
            </w:tcMar>
          </w:tcPr>
          <w:p>
            <w:r>
              <w:rPr>
                <w:sz w:val="18"/>
              </w:rPr>
              <w:t>Learn about AI detection</w:t>
            </w:r>
          </w:p>
        </w:tc>
        <w:tc>
          <w:tcPr>
            <w:tcW w:type="dxa" w:w="2880"/>
            <w:vAlign w:val="top"/>
            <w:tcMar>
              <w:top w:w="90" w:type="dxa"/>
              <w:start w:w="110" w:type="dxa"/>
              <w:bottom w:w="90" w:type="dxa"/>
              <w:end w:w="110" w:type="dxa"/>
            </w:tcMar>
          </w:tcPr>
          <w:p>
            <w:r>
              <w:rPr>
                <w:sz w:val="18"/>
              </w:rPr>
              <w:t>/ai-content-detector</w:t>
            </w:r>
          </w:p>
        </w:tc>
        <w:tc>
          <w:tcPr>
            <w:tcW w:type="dxa" w:w="3312"/>
            <w:vAlign w:val="top"/>
            <w:tcMar>
              <w:top w:w="90" w:type="dxa"/>
              <w:start w:w="110" w:type="dxa"/>
              <w:bottom w:w="90" w:type="dxa"/>
              <w:end w:w="110" w:type="dxa"/>
            </w:tcMar>
          </w:tcPr>
          <w:p>
            <w:r>
              <w:rPr>
                <w:sz w:val="18"/>
              </w:rPr>
              <w:t>Secondary AI capability</w:t>
            </w:r>
          </w:p>
        </w:tc>
      </w:tr>
      <w:tr>
        <w:trPr>
          <w:cantSplit/>
        </w:trPr>
        <w:tc>
          <w:tcPr>
            <w:tcW w:type="dxa" w:w="4320"/>
            <w:vAlign w:val="top"/>
            <w:tcMar>
              <w:top w:w="90" w:type="dxa"/>
              <w:start w:w="110" w:type="dxa"/>
              <w:bottom w:w="90" w:type="dxa"/>
              <w:end w:w="110" w:type="dxa"/>
            </w:tcMar>
          </w:tcPr>
          <w:p>
            <w:r>
              <w:rPr>
                <w:sz w:val="18"/>
              </w:rPr>
              <w:t>Read the Privacy Policy / Privacy Policy</w:t>
            </w:r>
          </w:p>
        </w:tc>
        <w:tc>
          <w:tcPr>
            <w:tcW w:type="dxa" w:w="2880"/>
            <w:vAlign w:val="top"/>
            <w:tcMar>
              <w:top w:w="90" w:type="dxa"/>
              <w:start w:w="110" w:type="dxa"/>
              <w:bottom w:w="90" w:type="dxa"/>
              <w:end w:w="110" w:type="dxa"/>
            </w:tcMar>
          </w:tcPr>
          <w:p>
            <w:r>
              <w:rPr>
                <w:sz w:val="18"/>
              </w:rPr>
              <w:t>/policy</w:t>
            </w:r>
          </w:p>
        </w:tc>
        <w:tc>
          <w:tcPr>
            <w:tcW w:type="dxa" w:w="3312"/>
            <w:vAlign w:val="top"/>
            <w:tcMar>
              <w:top w:w="90" w:type="dxa"/>
              <w:start w:w="110" w:type="dxa"/>
              <w:bottom w:w="90" w:type="dxa"/>
              <w:end w:w="110" w:type="dxa"/>
            </w:tcMar>
          </w:tcPr>
          <w:p>
            <w:r>
              <w:rPr>
                <w:sz w:val="18"/>
              </w:rPr>
              <w:t>Data handling / legal</w:t>
            </w:r>
          </w:p>
        </w:tc>
      </w:tr>
      <w:tr>
        <w:trPr>
          <w:cantSplit/>
        </w:trPr>
        <w:tc>
          <w:tcPr>
            <w:tcW w:type="dxa" w:w="4320"/>
            <w:vAlign w:val="top"/>
            <w:tcMar>
              <w:top w:w="90" w:type="dxa"/>
              <w:start w:w="110" w:type="dxa"/>
              <w:bottom w:w="90" w:type="dxa"/>
              <w:end w:w="110" w:type="dxa"/>
            </w:tcMar>
          </w:tcPr>
          <w:p>
            <w:r>
              <w:rPr>
                <w:sz w:val="18"/>
              </w:rPr>
              <w:t>Terms of Use</w:t>
            </w:r>
          </w:p>
        </w:tc>
        <w:tc>
          <w:tcPr>
            <w:tcW w:type="dxa" w:w="2880"/>
            <w:vAlign w:val="top"/>
            <w:tcMar>
              <w:top w:w="90" w:type="dxa"/>
              <w:start w:w="110" w:type="dxa"/>
              <w:bottom w:w="90" w:type="dxa"/>
              <w:end w:w="110" w:type="dxa"/>
            </w:tcMar>
          </w:tcPr>
          <w:p>
            <w:r>
              <w:rPr>
                <w:sz w:val="18"/>
              </w:rPr>
              <w:t>/terms-of-use</w:t>
            </w:r>
          </w:p>
        </w:tc>
        <w:tc>
          <w:tcPr>
            <w:tcW w:type="dxa" w:w="3312"/>
            <w:vAlign w:val="top"/>
            <w:tcMar>
              <w:top w:w="90" w:type="dxa"/>
              <w:start w:w="110" w:type="dxa"/>
              <w:bottom w:w="90" w:type="dxa"/>
              <w:end w:w="110" w:type="dxa"/>
            </w:tcMar>
          </w:tcPr>
          <w:p>
            <w:r>
              <w:rPr>
                <w:sz w:val="18"/>
              </w:rPr>
              <w:t>Form/legal</w:t>
            </w:r>
          </w:p>
        </w:tc>
      </w:tr>
      <w:tr>
        <w:trPr>
          <w:cantSplit/>
        </w:trPr>
        <w:tc>
          <w:tcPr>
            <w:tcW w:type="dxa" w:w="4320"/>
            <w:vAlign w:val="top"/>
            <w:tcMar>
              <w:top w:w="90" w:type="dxa"/>
              <w:start w:w="110" w:type="dxa"/>
              <w:bottom w:w="90" w:type="dxa"/>
              <w:end w:w="110" w:type="dxa"/>
            </w:tcMar>
          </w:tcPr>
          <w:p>
            <w:r>
              <w:rPr>
                <w:sz w:val="18"/>
              </w:rPr>
              <w:t>Request institutional pricing</w:t>
            </w:r>
          </w:p>
        </w:tc>
        <w:tc>
          <w:tcPr>
            <w:tcW w:type="dxa" w:w="2880"/>
            <w:vAlign w:val="top"/>
            <w:tcMar>
              <w:top w:w="90" w:type="dxa"/>
              <w:start w:w="110" w:type="dxa"/>
              <w:bottom w:w="90" w:type="dxa"/>
              <w:end w:w="110" w:type="dxa"/>
            </w:tcMar>
          </w:tcPr>
          <w:p>
            <w:r>
              <w:rPr>
                <w:sz w:val="18"/>
              </w:rPr>
              <w:t>#institutional-inquiry</w:t>
            </w:r>
          </w:p>
        </w:tc>
        <w:tc>
          <w:tcPr>
            <w:tcW w:type="dxa" w:w="3312"/>
            <w:vAlign w:val="top"/>
            <w:tcMar>
              <w:top w:w="90" w:type="dxa"/>
              <w:start w:w="110" w:type="dxa"/>
              <w:bottom w:w="90" w:type="dxa"/>
              <w:end w:w="110" w:type="dxa"/>
            </w:tcMar>
          </w:tcPr>
          <w:p>
            <w:r>
              <w:rPr>
                <w:sz w:val="18"/>
              </w:rPr>
              <w:t>Primary on-page procurement action</w:t>
            </w:r>
          </w:p>
        </w:tc>
      </w:tr>
      <w:tr>
        <w:trPr>
          <w:cantSplit/>
        </w:trPr>
        <w:tc>
          <w:tcPr>
            <w:tcW w:type="dxa" w:w="4320"/>
            <w:vAlign w:val="top"/>
            <w:tcMar>
              <w:top w:w="90" w:type="dxa"/>
              <w:start w:w="110" w:type="dxa"/>
              <w:bottom w:w="90" w:type="dxa"/>
              <w:end w:w="110" w:type="dxa"/>
            </w:tcMar>
          </w:tcPr>
          <w:p>
            <w:r>
              <w:rPr>
                <w:sz w:val="18"/>
              </w:rPr>
              <w:t>See how it works</w:t>
            </w:r>
          </w:p>
        </w:tc>
        <w:tc>
          <w:tcPr>
            <w:tcW w:type="dxa" w:w="2880"/>
            <w:vAlign w:val="top"/>
            <w:tcMar>
              <w:top w:w="90" w:type="dxa"/>
              <w:start w:w="110" w:type="dxa"/>
              <w:bottom w:w="90" w:type="dxa"/>
              <w:end w:w="110" w:type="dxa"/>
            </w:tcMar>
          </w:tcPr>
          <w:p>
            <w:r>
              <w:rPr>
                <w:sz w:val="18"/>
              </w:rPr>
              <w:t>#institutional-report</w:t>
            </w:r>
          </w:p>
        </w:tc>
        <w:tc>
          <w:tcPr>
            <w:tcW w:type="dxa" w:w="3312"/>
            <w:vAlign w:val="top"/>
            <w:tcMar>
              <w:top w:w="90" w:type="dxa"/>
              <w:start w:w="110" w:type="dxa"/>
              <w:bottom w:w="90" w:type="dxa"/>
              <w:end w:w="110" w:type="dxa"/>
            </w:tcMar>
          </w:tcPr>
          <w:p>
            <w:r>
              <w:rPr>
                <w:sz w:val="18"/>
              </w:rPr>
              <w:t>Hero on-page product-evidence action</w:t>
            </w:r>
          </w:p>
        </w:tc>
      </w:tr>
    </w:tbl>
    <w:p/>
    <w:p>
      <w:pPr>
        <w:pStyle w:val="Small"/>
      </w:pPr>
      <w:r>
        <w:rPr>
          <w:i w:val="0"/>
        </w:rPr>
        <w:t>Do not add body links to Students, Teachers, Pricing, Turnitin Alternative, Blog or other pages solely for internal-link volume. Global navigation/footer links are separate.</w:t>
      </w:r>
    </w:p>
    <w:p>
      <w:pPr>
        <w:pStyle w:val="Heading1"/>
        <w:keepNext/>
      </w:pPr>
      <w:r>
        <w:rPr>
          <w:i w:val="0"/>
        </w:rPr>
        <w:t>FIXED CONTENT / DYNAMIC CONTENT BOUNDARY</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shd w:fill="182B4D"/>
            <w:vAlign w:val="center"/>
            <w:tcMar>
              <w:top w:w="90" w:type="dxa"/>
              <w:start w:w="110" w:type="dxa"/>
              <w:bottom w:w="90" w:type="dxa"/>
              <w:end w:w="110" w:type="dxa"/>
            </w:tcMar>
          </w:tcPr>
          <w:p>
            <w:r>
              <w:rPr>
                <w:b/>
                <w:color w:val="FFFFFF"/>
                <w:sz w:val="19"/>
              </w:rPr>
              <w:t>Type</w:t>
            </w:r>
          </w:p>
        </w:tc>
        <w:tc>
          <w:tcPr>
            <w:tcW w:type="dxa" w:w="7632"/>
            <w:shd w:fill="182B4D"/>
            <w:vAlign w:val="center"/>
            <w:tcMar>
              <w:top w:w="90" w:type="dxa"/>
              <w:start w:w="110" w:type="dxa"/>
              <w:bottom w:w="90" w:type="dxa"/>
              <w:end w:w="110" w:type="dxa"/>
            </w:tcMar>
          </w:tcPr>
          <w:p>
            <w:r>
              <w:rPr>
                <w:b/>
                <w:color w:val="FFFFFF"/>
                <w:sz w:val="19"/>
              </w:rPr>
              <w:t>Items</w:t>
            </w:r>
          </w:p>
        </w:tc>
      </w:tr>
      <w:tr>
        <w:trPr>
          <w:cantSplit/>
        </w:trPr>
        <w:tc>
          <w:tcPr>
            <w:tcW w:type="dxa" w:w="2880"/>
            <w:vAlign w:val="top"/>
            <w:tcMar>
              <w:top w:w="90" w:type="dxa"/>
              <w:start w:w="110" w:type="dxa"/>
              <w:bottom w:w="90" w:type="dxa"/>
              <w:end w:w="110" w:type="dxa"/>
            </w:tcMar>
          </w:tcPr>
          <w:p>
            <w:r>
              <w:rPr>
                <w:sz w:val="18"/>
              </w:rPr>
              <w:t>FROZEN STATIC CONTENT</w:t>
            </w:r>
          </w:p>
        </w:tc>
        <w:tc>
          <w:tcPr>
            <w:tcW w:type="dxa" w:w="7632"/>
            <w:vAlign w:val="top"/>
            <w:tcMar>
              <w:top w:w="90" w:type="dxa"/>
              <w:start w:w="110" w:type="dxa"/>
              <w:bottom w:w="90" w:type="dxa"/>
              <w:end w:w="110" w:type="dxa"/>
            </w:tcMar>
          </w:tcPr>
          <w:p>
            <w:r>
              <w:rPr>
                <w:sz w:val="18"/>
              </w:rPr>
              <w:t>Title, Meta, H1/H2/H3 copy, body copy, report interpretation copy, Organization Management descriptions, Storage semantics, deployment paths, Moodle controls, role descriptions, data-handling copy, AI callout, form labels/options/placeholders, FAQ Q&amp;A, CTA labels, internal destinations.</w:t>
            </w:r>
          </w:p>
        </w:tc>
      </w:tr>
      <w:tr>
        <w:trPr>
          <w:cantSplit/>
        </w:trPr>
        <w:tc>
          <w:tcPr>
            <w:tcW w:type="dxa" w:w="2880"/>
            <w:vAlign w:val="top"/>
            <w:tcMar>
              <w:top w:w="90" w:type="dxa"/>
              <w:start w:w="110" w:type="dxa"/>
              <w:bottom w:w="90" w:type="dxa"/>
              <w:end w:w="110" w:type="dxa"/>
            </w:tcMar>
          </w:tcPr>
          <w:p>
            <w:r>
              <w:rPr>
                <w:sz w:val="18"/>
              </w:rPr>
              <w:t>REAL PRODUCT / ASSET-DRIVEN</w:t>
            </w:r>
          </w:p>
        </w:tc>
        <w:tc>
          <w:tcPr>
            <w:tcW w:type="dxa" w:w="7632"/>
            <w:vAlign w:val="top"/>
            <w:tcMar>
              <w:top w:w="90" w:type="dxa"/>
              <w:start w:w="110" w:type="dxa"/>
              <w:bottom w:w="90" w:type="dxa"/>
              <w:end w:w="110" w:type="dxa"/>
            </w:tcMar>
          </w:tcPr>
          <w:p>
            <w:r>
              <w:rPr>
                <w:sz w:val="18"/>
              </w:rPr>
              <w:t>Report screenshot/state, Organization Management screenshots, Moodle screenshots, any current UI framing. Real product behavior wins; do not fabricate missing screens.</w:t>
            </w:r>
          </w:p>
        </w:tc>
      </w:tr>
      <w:tr>
        <w:trPr>
          <w:cantSplit/>
        </w:trPr>
        <w:tc>
          <w:tcPr>
            <w:tcW w:type="dxa" w:w="2880"/>
            <w:vAlign w:val="top"/>
            <w:tcMar>
              <w:top w:w="90" w:type="dxa"/>
              <w:start w:w="110" w:type="dxa"/>
              <w:bottom w:w="90" w:type="dxa"/>
              <w:end w:w="110" w:type="dxa"/>
            </w:tcMar>
          </w:tcPr>
          <w:p>
            <w:r>
              <w:rPr>
                <w:sz w:val="18"/>
              </w:rPr>
              <w:t>GATED / NOT PUBLISHED</w:t>
            </w:r>
          </w:p>
        </w:tc>
        <w:tc>
          <w:tcPr>
            <w:tcW w:type="dxa" w:w="7632"/>
            <w:vAlign w:val="top"/>
            <w:tcMar>
              <w:top w:w="90" w:type="dxa"/>
              <w:start w:w="110" w:type="dxa"/>
              <w:bottom w:w="90" w:type="dxa"/>
              <w:end w:w="110" w:type="dxa"/>
            </w:tcMar>
          </w:tcPr>
          <w:p>
            <w:r>
              <w:rPr>
                <w:sz w:val="18"/>
              </w:rPr>
              <w:t>Institutional fixed price, universal trial, SSO, analytics, security certifications, SLA, Canvas/other LMS, exact language count, unapproved case studies/logos.</w:t>
            </w:r>
          </w:p>
        </w:tc>
      </w:tr>
    </w:tbl>
    <w:p/>
    <w:p>
      <w:pPr>
        <w:pStyle w:val="Heading1"/>
        <w:keepNext/>
      </w:pPr>
      <w:r>
        <w:rPr>
          <w:i w:val="0"/>
        </w:rPr>
        <w:t>SECTION-LIBRARY CANDIDATES — AFTER QA ONLY</w:t>
      </w:r>
    </w:p>
    <w:p>
      <w:pPr/>
      <w:r>
        <w:rPr>
          <w:i w:val="0"/>
        </w:rPr>
        <w:t>This page is intended to help complete the future section library, but these are candidates, not automatically approved components. Do not create new public component naming or a parallel design system in the implementation.</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880"/>
            <w:shd w:fill="182B4D"/>
            <w:vAlign w:val="center"/>
            <w:tcMar>
              <w:top w:w="90" w:type="dxa"/>
              <w:start w:w="110" w:type="dxa"/>
              <w:bottom w:w="90" w:type="dxa"/>
              <w:end w:w="110" w:type="dxa"/>
            </w:tcMar>
          </w:tcPr>
          <w:p>
            <w:r>
              <w:rPr>
                <w:b/>
                <w:color w:val="FFFFFF"/>
                <w:sz w:val="19"/>
              </w:rPr>
              <w:t>Candidate pattern</w:t>
            </w:r>
          </w:p>
        </w:tc>
        <w:tc>
          <w:tcPr>
            <w:tcW w:type="dxa" w:w="4608"/>
            <w:shd w:fill="182B4D"/>
            <w:vAlign w:val="center"/>
            <w:tcMar>
              <w:top w:w="90" w:type="dxa"/>
              <w:start w:w="110" w:type="dxa"/>
              <w:bottom w:w="90" w:type="dxa"/>
              <w:end w:w="110" w:type="dxa"/>
            </w:tcMar>
          </w:tcPr>
          <w:p>
            <w:r>
              <w:rPr>
                <w:b/>
                <w:color w:val="FFFFFF"/>
                <w:sz w:val="19"/>
              </w:rPr>
              <w:t>What this page tests</w:t>
            </w:r>
          </w:p>
        </w:tc>
        <w:tc>
          <w:tcPr>
            <w:tcW w:type="dxa" w:w="3024"/>
            <w:shd w:fill="182B4D"/>
            <w:vAlign w:val="center"/>
            <w:tcMar>
              <w:top w:w="90" w:type="dxa"/>
              <w:start w:w="110" w:type="dxa"/>
              <w:bottom w:w="90" w:type="dxa"/>
              <w:end w:w="110" w:type="dxa"/>
            </w:tcMar>
          </w:tcPr>
          <w:p>
            <w:r>
              <w:rPr>
                <w:b/>
                <w:color w:val="FFFFFF"/>
                <w:sz w:val="19"/>
              </w:rPr>
              <w:t>Reuse test later</w:t>
            </w:r>
          </w:p>
        </w:tc>
      </w:tr>
      <w:tr>
        <w:trPr>
          <w:cantSplit/>
        </w:trPr>
        <w:tc>
          <w:tcPr>
            <w:tcW w:type="dxa" w:w="2880"/>
            <w:vAlign w:val="top"/>
            <w:tcMar>
              <w:top w:w="90" w:type="dxa"/>
              <w:start w:w="110" w:type="dxa"/>
              <w:bottom w:w="90" w:type="dxa"/>
              <w:end w:w="110" w:type="dxa"/>
            </w:tcMar>
          </w:tcPr>
          <w:p>
            <w:r>
              <w:rPr>
                <w:sz w:val="18"/>
              </w:rPr>
              <w:t>Solution Hero</w:t>
            </w:r>
          </w:p>
        </w:tc>
        <w:tc>
          <w:tcPr>
            <w:tcW w:type="dxa" w:w="4608"/>
            <w:vAlign w:val="top"/>
            <w:tcMar>
              <w:top w:w="90" w:type="dxa"/>
              <w:start w:w="110" w:type="dxa"/>
              <w:bottom w:w="90" w:type="dxa"/>
              <w:end w:w="110" w:type="dxa"/>
            </w:tcMar>
          </w:tcPr>
          <w:p>
            <w:r>
              <w:rPr>
                <w:sz w:val="18"/>
              </w:rPr>
              <w:t>Institutional outcome + procurement CTA + product evidence</w:t>
            </w:r>
          </w:p>
        </w:tc>
        <w:tc>
          <w:tcPr>
            <w:tcW w:type="dxa" w:w="3024"/>
            <w:vAlign w:val="top"/>
            <w:tcMar>
              <w:top w:w="90" w:type="dxa"/>
              <w:start w:w="110" w:type="dxa"/>
              <w:bottom w:w="90" w:type="dxa"/>
              <w:end w:w="110" w:type="dxa"/>
            </w:tcMar>
          </w:tcPr>
          <w:p>
            <w:r>
              <w:rPr>
                <w:sz w:val="18"/>
              </w:rPr>
              <w:t>Business &amp; Teams must reuse design language without copying Education story.</w:t>
            </w:r>
          </w:p>
        </w:tc>
      </w:tr>
      <w:tr>
        <w:trPr>
          <w:cantSplit/>
        </w:trPr>
        <w:tc>
          <w:tcPr>
            <w:tcW w:type="dxa" w:w="2880"/>
            <w:vAlign w:val="top"/>
            <w:tcMar>
              <w:top w:w="90" w:type="dxa"/>
              <w:start w:w="110" w:type="dxa"/>
              <w:bottom w:w="90" w:type="dxa"/>
              <w:end w:w="110" w:type="dxa"/>
            </w:tcMar>
          </w:tcPr>
          <w:p>
            <w:r>
              <w:rPr>
                <w:sz w:val="18"/>
              </w:rPr>
              <w:t>Solution-context real evidence</w:t>
            </w:r>
          </w:p>
        </w:tc>
        <w:tc>
          <w:tcPr>
            <w:tcW w:type="dxa" w:w="4608"/>
            <w:vAlign w:val="top"/>
            <w:tcMar>
              <w:top w:w="90" w:type="dxa"/>
              <w:start w:w="110" w:type="dxa"/>
              <w:bottom w:w="90" w:type="dxa"/>
              <w:end w:w="110" w:type="dxa"/>
            </w:tcMar>
          </w:tcPr>
          <w:p>
            <w:r>
              <w:rPr>
                <w:sz w:val="18"/>
              </w:rPr>
              <w:t>Existing report component framed for an institutional buyer</w:t>
            </w:r>
          </w:p>
        </w:tc>
        <w:tc>
          <w:tcPr>
            <w:tcW w:type="dxa" w:w="3024"/>
            <w:vAlign w:val="top"/>
            <w:tcMar>
              <w:top w:w="90" w:type="dxa"/>
              <w:start w:w="110" w:type="dxa"/>
              <w:bottom w:w="90" w:type="dxa"/>
              <w:end w:w="110" w:type="dxa"/>
            </w:tcMar>
          </w:tcPr>
          <w:p>
            <w:r>
              <w:rPr>
                <w:sz w:val="18"/>
              </w:rPr>
              <w:t>Can the same evidence primitive work on other Solutions without a new report design?</w:t>
            </w:r>
          </w:p>
        </w:tc>
      </w:tr>
      <w:tr>
        <w:trPr>
          <w:cantSplit/>
        </w:trPr>
        <w:tc>
          <w:tcPr>
            <w:tcW w:type="dxa" w:w="2880"/>
            <w:vAlign w:val="top"/>
            <w:tcMar>
              <w:top w:w="90" w:type="dxa"/>
              <w:start w:w="110" w:type="dxa"/>
              <w:bottom w:w="90" w:type="dxa"/>
              <w:end w:w="110" w:type="dxa"/>
            </w:tcMar>
          </w:tcPr>
          <w:p>
            <w:r>
              <w:rPr>
                <w:sz w:val="18"/>
              </w:rPr>
              <w:t>Organization control section</w:t>
            </w:r>
          </w:p>
        </w:tc>
        <w:tc>
          <w:tcPr>
            <w:tcW w:type="dxa" w:w="4608"/>
            <w:vAlign w:val="top"/>
            <w:tcMar>
              <w:top w:w="90" w:type="dxa"/>
              <w:start w:w="110" w:type="dxa"/>
              <w:bottom w:w="90" w:type="dxa"/>
              <w:end w:w="110" w:type="dxa"/>
            </w:tcMar>
          </w:tcPr>
          <w:p>
            <w:r>
              <w:rPr>
                <w:sz w:val="18"/>
              </w:rPr>
              <w:t>People + permissions + balances + Storage</w:t>
            </w:r>
          </w:p>
        </w:tc>
        <w:tc>
          <w:tcPr>
            <w:tcW w:type="dxa" w:w="3024"/>
            <w:vAlign w:val="top"/>
            <w:tcMar>
              <w:top w:w="90" w:type="dxa"/>
              <w:start w:w="110" w:type="dxa"/>
              <w:bottom w:w="90" w:type="dxa"/>
              <w:end w:w="110" w:type="dxa"/>
            </w:tcMar>
          </w:tcPr>
          <w:p>
            <w:r>
              <w:rPr>
                <w:sz w:val="18"/>
              </w:rPr>
              <w:t>Business page should reuse the primitive with business-specific narrative.</w:t>
            </w:r>
          </w:p>
        </w:tc>
      </w:tr>
      <w:tr>
        <w:trPr>
          <w:cantSplit/>
        </w:trPr>
        <w:tc>
          <w:tcPr>
            <w:tcW w:type="dxa" w:w="2880"/>
            <w:vAlign w:val="top"/>
            <w:tcMar>
              <w:top w:w="90" w:type="dxa"/>
              <w:start w:w="110" w:type="dxa"/>
              <w:bottom w:w="90" w:type="dxa"/>
              <w:end w:w="110" w:type="dxa"/>
            </w:tcMar>
          </w:tcPr>
          <w:p>
            <w:r>
              <w:rPr>
                <w:sz w:val="18"/>
              </w:rPr>
              <w:t>Deployment-path section</w:t>
            </w:r>
          </w:p>
        </w:tc>
        <w:tc>
          <w:tcPr>
            <w:tcW w:type="dxa" w:w="4608"/>
            <w:vAlign w:val="top"/>
            <w:tcMar>
              <w:top w:w="90" w:type="dxa"/>
              <w:start w:w="110" w:type="dxa"/>
              <w:bottom w:w="90" w:type="dxa"/>
              <w:end w:w="110" w:type="dxa"/>
            </w:tcMar>
          </w:tcPr>
          <w:p>
            <w:r>
              <w:rPr>
                <w:sz w:val="18"/>
              </w:rPr>
              <w:t>Workspace / integration / API choice</w:t>
            </w:r>
          </w:p>
        </w:tc>
        <w:tc>
          <w:tcPr>
            <w:tcW w:type="dxa" w:w="3024"/>
            <w:vAlign w:val="top"/>
            <w:tcMar>
              <w:top w:w="90" w:type="dxa"/>
              <w:start w:w="110" w:type="dxa"/>
              <w:bottom w:w="90" w:type="dxa"/>
              <w:end w:w="110" w:type="dxa"/>
            </w:tcMar>
          </w:tcPr>
          <w:p>
            <w:r>
              <w:rPr>
                <w:sz w:val="18"/>
              </w:rPr>
              <w:t>Business/other solutions should adapt paths without new layout system.</w:t>
            </w:r>
          </w:p>
        </w:tc>
      </w:tr>
      <w:tr>
        <w:trPr>
          <w:cantSplit/>
        </w:trPr>
        <w:tc>
          <w:tcPr>
            <w:tcW w:type="dxa" w:w="2880"/>
            <w:vAlign w:val="top"/>
            <w:tcMar>
              <w:top w:w="90" w:type="dxa"/>
              <w:start w:w="110" w:type="dxa"/>
              <w:bottom w:w="90" w:type="dxa"/>
              <w:end w:w="110" w:type="dxa"/>
            </w:tcMar>
          </w:tcPr>
          <w:p>
            <w:r>
              <w:rPr>
                <w:sz w:val="18"/>
              </w:rPr>
              <w:t>Role-based workflow</w:t>
            </w:r>
          </w:p>
        </w:tc>
        <w:tc>
          <w:tcPr>
            <w:tcW w:type="dxa" w:w="4608"/>
            <w:vAlign w:val="top"/>
            <w:tcMar>
              <w:top w:w="90" w:type="dxa"/>
              <w:start w:w="110" w:type="dxa"/>
              <w:bottom w:w="90" w:type="dxa"/>
              <w:end w:w="110" w:type="dxa"/>
            </w:tcMar>
          </w:tcPr>
          <w:p>
            <w:r>
              <w:rPr>
                <w:sz w:val="18"/>
              </w:rPr>
              <w:t>Administrator / practitioner / technical responsibilities</w:t>
            </w:r>
          </w:p>
        </w:tc>
        <w:tc>
          <w:tcPr>
            <w:tcW w:type="dxa" w:w="3024"/>
            <w:vAlign w:val="top"/>
            <w:tcMar>
              <w:top w:w="90" w:type="dxa"/>
              <w:start w:w="110" w:type="dxa"/>
              <w:bottom w:w="90" w:type="dxa"/>
              <w:end w:w="110" w:type="dxa"/>
            </w:tcMar>
          </w:tcPr>
          <w:p>
            <w:r>
              <w:rPr>
                <w:sz w:val="18"/>
              </w:rPr>
              <w:t>Business can test role variants.</w:t>
            </w:r>
          </w:p>
        </w:tc>
      </w:tr>
      <w:tr>
        <w:trPr>
          <w:cantSplit/>
        </w:trPr>
        <w:tc>
          <w:tcPr>
            <w:tcW w:type="dxa" w:w="2880"/>
            <w:vAlign w:val="top"/>
            <w:tcMar>
              <w:top w:w="90" w:type="dxa"/>
              <w:start w:w="110" w:type="dxa"/>
              <w:bottom w:w="90" w:type="dxa"/>
              <w:end w:w="110" w:type="dxa"/>
            </w:tcMar>
          </w:tcPr>
          <w:p>
            <w:r>
              <w:rPr>
                <w:sz w:val="18"/>
              </w:rPr>
              <w:t>Institutional inquiry form</w:t>
            </w:r>
          </w:p>
        </w:tc>
        <w:tc>
          <w:tcPr>
            <w:tcW w:type="dxa" w:w="4608"/>
            <w:vAlign w:val="top"/>
            <w:tcMar>
              <w:top w:w="90" w:type="dxa"/>
              <w:start w:w="110" w:type="dxa"/>
              <w:bottom w:w="90" w:type="dxa"/>
              <w:end w:w="110" w:type="dxa"/>
            </w:tcMar>
          </w:tcPr>
          <w:p>
            <w:r>
              <w:rPr>
                <w:sz w:val="18"/>
              </w:rPr>
              <w:t>Procurement qualification flow</w:t>
            </w:r>
          </w:p>
        </w:tc>
        <w:tc>
          <w:tcPr>
            <w:tcW w:type="dxa" w:w="3024"/>
            <w:vAlign w:val="top"/>
            <w:tcMar>
              <w:top w:w="90" w:type="dxa"/>
              <w:start w:w="110" w:type="dxa"/>
              <w:bottom w:w="90" w:type="dxa"/>
              <w:end w:w="110" w:type="dxa"/>
            </w:tcMar>
          </w:tcPr>
          <w:p>
            <w:r>
              <w:rPr>
                <w:sz w:val="18"/>
              </w:rPr>
              <w:t>Business can reuse the form family with different fields/options.</w:t>
            </w:r>
          </w:p>
        </w:tc>
      </w:tr>
    </w:tbl>
    <w:p/>
    <w:p>
      <w:pPr>
        <w:pStyle w:val="Small"/>
      </w:pPr>
      <w:r>
        <w:rPr>
          <w:i w:val="0"/>
        </w:rPr>
        <w:t>Formal component-library approval happens only after visual/implementation QA and the subsequent Business-page reuse test.</w:t>
      </w:r>
    </w:p>
    <w:p>
      <w:pPr>
        <w:pStyle w:val="Heading1"/>
        <w:keepNext/>
      </w:pPr>
      <w:r>
        <w:rPr>
          <w:i w:val="0"/>
        </w:rPr>
        <w:t>FINAL IMPLEMENTATION QA CHECKLIST</w:t>
      </w:r>
    </w:p>
    <w:p>
      <w:pPr>
        <w:pStyle w:val="ListBullet"/>
      </w:pPr>
      <w:r>
        <w:rPr>
          <w:i w:val="0"/>
        </w:rPr>
        <w:t>URL remains /university-plagiarism-checker and canonical is self-referencing.</w:t>
      </w:r>
    </w:p>
    <w:p>
      <w:pPr>
        <w:pStyle w:val="ListBullet"/>
      </w:pPr>
      <w:r>
        <w:rPr>
          <w:i w:val="0"/>
        </w:rPr>
        <w:t>Exactly one H1: University Plagiarism Checker.</w:t>
      </w:r>
    </w:p>
    <w:p>
      <w:pPr>
        <w:pStyle w:val="ListBullet"/>
      </w:pPr>
      <w:r>
        <w:rPr>
          <w:i w:val="0"/>
        </w:rPr>
        <w:t>Hero uses exact approved supporting copy and the two approved CTAs.</w:t>
      </w:r>
    </w:p>
    <w:p>
      <w:pPr>
        <w:pStyle w:val="ListBullet"/>
      </w:pPr>
      <w:r>
        <w:rPr>
          <w:i w:val="0"/>
        </w:rPr>
        <w:t>No individual checker form appears in hero/body as a primary institutional conversion.</w:t>
      </w:r>
    </w:p>
    <w:p>
      <w:pPr>
        <w:pStyle w:val="ListBullet"/>
      </w:pPr>
      <w:r>
        <w:rPr>
          <w:i w:val="0"/>
        </w:rPr>
        <w:t>Real report evidence is used; no fake misconduct/cheating labels or thresholds.</w:t>
      </w:r>
    </w:p>
    <w:p>
      <w:pPr>
        <w:pStyle w:val="ListBullet"/>
      </w:pPr>
      <w:r>
        <w:rPr>
          <w:i w:val="0"/>
        </w:rPr>
        <w:t>Organization Management section includes all five approved capability ideas and no invented analytics/classes/SSO.</w:t>
      </w:r>
    </w:p>
    <w:p>
      <w:pPr>
        <w:pStyle w:val="ListBullet"/>
      </w:pPr>
      <w:r>
        <w:rPr>
          <w:i w:val="0"/>
        </w:rPr>
        <w:t>500M+ claim is tied to indexed academic texts only.</w:t>
      </w:r>
    </w:p>
    <w:p>
      <w:pPr>
        <w:pStyle w:val="ListBullet"/>
      </w:pPr>
      <w:r>
        <w:rPr>
          <w:i w:val="0"/>
        </w:rPr>
        <w:t>Organization Storage is explicitly optional/controlled and not automatic for every checked document.</w:t>
      </w:r>
    </w:p>
    <w:p>
      <w:pPr>
        <w:pStyle w:val="ListBullet"/>
      </w:pPr>
      <w:r>
        <w:rPr>
          <w:i w:val="0"/>
        </w:rPr>
        <w:t>Deployment paths are exactly Workspace / Moodle / API.</w:t>
      </w:r>
    </w:p>
    <w:p>
      <w:pPr>
        <w:pStyle w:val="ListBullet"/>
      </w:pPr>
      <w:r>
        <w:rPr>
          <w:i w:val="0"/>
        </w:rPr>
        <w:t>Moodle section includes all six approved workflow controls and no unapproved LMS integrations.</w:t>
      </w:r>
    </w:p>
    <w:p>
      <w:pPr>
        <w:pStyle w:val="ListBullet"/>
      </w:pPr>
      <w:r>
        <w:rPr>
          <w:i w:val="0"/>
        </w:rPr>
        <w:t>Role section contains exactly Administrators / Educators / Technical and LMS teams.</w:t>
      </w:r>
    </w:p>
    <w:p>
      <w:pPr>
        <w:pStyle w:val="ListBullet"/>
      </w:pPr>
      <w:r>
        <w:rPr>
          <w:i w:val="0"/>
        </w:rPr>
        <w:t>Data section distinguishes checked content/report retention from Organization Storage.</w:t>
      </w:r>
    </w:p>
    <w:p>
      <w:pPr>
        <w:pStyle w:val="ListBullet"/>
      </w:pPr>
      <w:r>
        <w:rPr>
          <w:i w:val="0"/>
        </w:rPr>
        <w:t>AI callout remains secondary and separate from plagiarism checking.</w:t>
      </w:r>
    </w:p>
    <w:p>
      <w:pPr>
        <w:pStyle w:val="ListBullet"/>
      </w:pPr>
      <w:r>
        <w:rPr>
          <w:i w:val="0"/>
        </w:rPr>
        <w:t>Inquiry form uses exact fields/options/placeholders; Moodle URL is conditional; no Facebook/LinkedIn/phone field is added.</w:t>
      </w:r>
    </w:p>
    <w:p>
      <w:pPr>
        <w:pStyle w:val="ListBullet"/>
      </w:pPr>
      <w:r>
        <w:rPr>
          <w:i w:val="0"/>
        </w:rPr>
        <w:t>No fixed institutional price or universal trial promise appears.</w:t>
      </w:r>
    </w:p>
    <w:p>
      <w:pPr>
        <w:pStyle w:val="ListBullet"/>
      </w:pPr>
      <w:r>
        <w:rPr>
          <w:i w:val="0"/>
        </w:rPr>
        <w:t>All 11 FAQ questions/answers are present in rendered HTML.</w:t>
      </w:r>
    </w:p>
    <w:p>
      <w:pPr>
        <w:pStyle w:val="ListBullet"/>
      </w:pPr>
      <w:r>
        <w:rPr>
          <w:i w:val="0"/>
        </w:rPr>
        <w:t>All page-specific links use approved clean routes.</w:t>
      </w:r>
    </w:p>
    <w:p>
      <w:pPr>
        <w:pStyle w:val="ListBullet"/>
      </w:pPr>
      <w:r>
        <w:rPr>
          <w:i w:val="0"/>
        </w:rPr>
        <w:t>No hidden keyword blocks, copied competitor claims, new locale URLs or new design-system layer is introduced.</w:t>
      </w:r>
    </w:p>
    <w:p>
      <w:pPr>
        <w:pStyle w:val="ListBullet"/>
      </w:pPr>
      <w:r>
        <w:rPr>
          <w:i w:val="0"/>
        </w:rPr>
        <w:t>Responsive implementation preserves all decision-critical information and accessible form/FAQ behavior.</w:t>
      </w:r>
    </w:p>
    <w:p>
      <w:pPr>
        <w:pStyle w:val="Kicker"/>
        <w:keepNext/>
      </w:pPr>
      <w:r>
        <w:rPr>
          <w:i w:val="0"/>
        </w:rPr>
        <w:t>END OF AUTHORITATIVE BRIEF</w:t>
      </w:r>
    </w:p>
    <w:p>
      <w:pPr>
        <w:pStyle w:val="Small"/>
      </w:pPr>
      <w:r>
        <w:rPr>
          <w:i w:val="0"/>
        </w:rPr>
        <w:t>If any requirement conflicts with current production behavior or the approved redesign system, do not improvise. Mark NEEDS INPUT with the exact conflict and wait for the user/product owner decision.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Approved content source of truth · 25 Aug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PLAGIARISMSEARCH · EN UNIVERSITY / HIGHER EDUCATION · CLAUDE IMPLEMENTATION BRIEF · DEC-0043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ans" w:hAnsi="Liberation Sans" w:eastAsia="Liberation Sans"/>
      <w:b/>
      <w:bCs/>
      <w:color w:val="182B4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3662A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eastAsia="Liberation Sans"/>
      <w:b/>
      <w:bCs/>
      <w:color w:val="2023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Liberation Sans" w:hAnsi="Liberation Sans" w:eastAsia="Liberation Sans"/>
      <w:b/>
      <w:color w:val="182B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80" w:after="60"/>
    </w:pPr>
    <w:rPr>
      <w:rFonts w:ascii="Liberation Sans" w:hAnsi="Liberation Sans" w:eastAsia="Liberation Sans"/>
      <w:b/>
      <w:color w:val="3662A6"/>
      <w:sz w:val="16"/>
    </w:rPr>
  </w:style>
  <w:style w:type="paragraph" w:customStyle="1" w:styleId="Small">
    <w:name w:val="Small"/>
    <w:pPr>
      <w:spacing w:after="40"/>
    </w:pPr>
    <w:rPr>
      <w:rFonts w:ascii="Liberation Sans" w:hAnsi="Liberation Sans" w:eastAsia="Liberation Sans"/>
      <w:color w:val="5F6368"/>
      <w:sz w:val="16"/>
    </w:rPr>
  </w:style>
  <w:style w:type="paragraph" w:customStyle="1" w:styleId="Code">
    <w:name w:val="Code"/>
    <w:pPr>
      <w:spacing w:after="0" w:line="240" w:lineRule="auto"/>
    </w:pPr>
    <w:rPr>
      <w:rFonts w:ascii="Liberation Mono" w:hAnsi="Liberation Mono" w:eastAsia="Liberation Mono"/>
      <w:color w:val="1E2229"/>
      <w:sz w:val="16"/>
    </w:rPr>
  </w:style>
  <w:style w:type="paragraph" w:customStyle="1" w:styleId="FixedCopy">
    <w:name w:val="Fixed Copy"/>
    <w:pPr>
      <w:spacing w:after="100"/>
      <w:ind w:left="230" w:right="115"/>
    </w:pPr>
    <w:rPr>
      <w:rFonts w:ascii="Liberation Sans" w:hAnsi="Liberation Sans" w:eastAsia="Liberation Sans"/>
      <w:color w:val="2023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