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Turnitin Alternative — Claude Point-Patch Brief</w:t>
      </w:r>
    </w:p>
    <w:p>
      <w:pPr>
        <w:jc w:val="left"/>
      </w:pPr>
      <w:r>
        <w:rPr>
          <w:b/>
          <w:color w:val="5D6773"/>
        </w:rPr>
        <w:t>/turnitin-checker-alternative · change-only patch · 18 Sep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8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00788A"/>
              </w:rPr>
              <w:t>SCOPE — ONLY THE CHANGES BELOW</w:t>
            </w:r>
            <w:r>
              <w:br/>
              <w:t>Do not redesign the page, reorder sections, change the checker/report/pricing layout, or rewrite unaffected copy. Keep the current visual system and page flow.</w:t>
            </w:r>
          </w:p>
        </w:tc>
      </w:tr>
    </w:tbl>
    <w:p/>
    <w:p>
      <w:pPr>
        <w:pStyle w:val="Heading1"/>
      </w:pPr>
      <w:r>
        <w:t>1. Replace internal Source anchors with direct official links</w:t>
      </w:r>
    </w:p>
    <w:p>
      <w:r>
        <w:rPr>
          <w:b/>
        </w:rPr>
        <w:t xml:space="preserve">Current issue: </w:t>
      </w:r>
      <w:r>
        <w:t>Source 1–5 badges jump to the same bibliography area, which creates little or no visible movement and weakens the UX.</w:t>
      </w:r>
    </w:p>
    <w:p>
      <w:pPr>
        <w:pStyle w:val="ListBullet"/>
      </w:pPr>
      <w:r>
        <w:t>Remove all internal #source-1 … #source-5 anchor behavior.</w:t>
      </w:r>
    </w:p>
    <w:p>
      <w:pPr>
        <w:pStyle w:val="ListBullet"/>
      </w:pPr>
      <w:r>
        <w:t>Every Source 1–5 badge in the comparison table and the AI section should link directly to the corresponding official Turnitin documentation URL already used in the “Official Turnitin sources” registry.</w:t>
      </w:r>
    </w:p>
    <w:p>
      <w:pPr>
        <w:pStyle w:val="ListBullet"/>
      </w:pPr>
      <w:r>
        <w:t>Open those source links in a new tab. Use safe external-link behavior (noopener/noreferrer).</w:t>
      </w:r>
    </w:p>
    <w:p>
      <w:pPr>
        <w:pStyle w:val="ListBullet"/>
      </w:pPr>
      <w:r>
        <w:t>Keep the “Official Turnitin sources” registry and “Last verified” date as a compact bibliography / verification record, but it no longer needs to be an anchor target.</w:t>
      </w:r>
    </w:p>
    <w:p>
      <w:pPr>
        <w:pStyle w:val="Heading1"/>
      </w:pPr>
      <w:r>
        <w:t>2. Reduce repetitive deconfusion copy — only in the places below</w:t>
      </w:r>
    </w:p>
    <w:p>
      <w:pPr>
        <w:pStyle w:val="Heading2"/>
      </w:pPr>
      <w:r>
        <w:t>2.1 Hero checker area</w:t>
      </w:r>
    </w:p>
    <w:p>
      <w:pPr>
        <w:pStyle w:val="PatchLabel"/>
      </w:pPr>
      <w:r>
        <w:t>REMOVE</w:t>
      </w:r>
    </w:p>
    <w:p>
      <w:pPr>
        <w:pStyle w:val="PatchCopy"/>
      </w:pPr>
      <w:r>
        <w:t>Independent service — not affiliated with Turnitin, LLC.</w:t>
      </w:r>
    </w:p>
    <w:p>
      <w:pPr>
        <w:pStyle w:val="PatchLabel"/>
      </w:pPr>
      <w:r>
        <w:t>KEEP</w:t>
      </w:r>
    </w:p>
    <w:p>
      <w:pPr>
        <w:pStyle w:val="PatchCopy"/>
      </w:pPr>
      <w:r>
        <w:t>150 words free — no registration required.</w:t>
      </w:r>
    </w:p>
    <w:p>
      <w:r>
        <w:rPr>
          <w:b/>
        </w:rPr>
        <w:t>Keep the main independence / non-affiliation disclaimer card in the hero unchanged.</w:t>
      </w:r>
    </w:p>
    <w:p>
      <w:pPr>
        <w:pStyle w:val="Heading2"/>
      </w:pPr>
      <w:r>
        <w:t>2.2 Dark non-equivalence section</w:t>
      </w:r>
    </w:p>
    <w:p>
      <w:pPr>
        <w:pStyle w:val="PatchLabel"/>
      </w:pPr>
      <w:r>
        <w:t>REPLACE HEADLINE</w:t>
      </w:r>
    </w:p>
    <w:p>
      <w:pPr>
        <w:pStyle w:val="PatchCopy"/>
      </w:pPr>
      <w:r>
        <w:t>A PlagiarismSearch result is not equivalent to a Turnitin® score</w:t>
      </w:r>
    </w:p>
    <w:p>
      <w:pPr>
        <w:pStyle w:val="PatchLabel"/>
      </w:pPr>
      <w:r>
        <w:t>REPLACE BODY WITH ONE PARAGRAPH</w:t>
      </w:r>
    </w:p>
    <w:p>
      <w:pPr>
        <w:pStyle w:val="PatchCopy"/>
      </w:pPr>
      <w:r>
        <w:t>PlagiarismSearch and Turnitin® use different source collections, repositories, matching methods, and settings. Because of those differences, a PlagiarismSearch similarity percentage should not be treated as a prediction of the score an official Turnitin Similarity Report may return.</w:t>
      </w:r>
    </w:p>
    <w:p>
      <w:r>
        <w:rPr>
          <w:b/>
        </w:rPr>
        <w:t xml:space="preserve">Visual: </w:t>
      </w:r>
      <w:r>
        <w:t>keep the two separate system pipelines/cards, but replace the mathematical “≠” emphasis with a neutral label such as “Not directly interchangeable” or equivalent.</w:t>
      </w:r>
    </w:p>
    <w:p>
      <w:pPr>
        <w:pStyle w:val="Heading2"/>
      </w:pPr>
      <w:r>
        <w:t>2.3 Workflow-fit conclusion</w:t>
      </w:r>
    </w:p>
    <w:p>
      <w:pPr>
        <w:pStyle w:val="PatchLabel"/>
      </w:pPr>
      <w:r>
        <w:t>REPLACE THE CONCLUDING SENTENCE WITH</w:t>
      </w:r>
    </w:p>
    <w:p>
      <w:pPr>
        <w:pStyle w:val="PatchCopy"/>
      </w:pPr>
      <w:r>
        <w:t>The right workflow depends on whether you need independent self-service checking or an institution-managed Turnitin® process.</w:t>
      </w:r>
    </w:p>
    <w:p>
      <w:pPr>
        <w:pStyle w:val="Heading2"/>
      </w:pPr>
      <w:r>
        <w:t>2.4 Sources &amp; settings note</w:t>
      </w:r>
    </w:p>
    <w:p>
      <w:pPr>
        <w:pStyle w:val="PatchLabel"/>
      </w:pPr>
      <w:r>
        <w:t>REPLACE</w:t>
      </w:r>
    </w:p>
    <w:p>
      <w:pPr>
        <w:pStyle w:val="PatchCopy"/>
      </w:pPr>
      <w:r>
        <w:t>These are PlagiarismSearch source collections. They are not Turnitin® databases.</w:t>
      </w:r>
    </w:p>
    <w:p>
      <w:pPr>
        <w:pStyle w:val="PatchLabel"/>
      </w:pPr>
      <w:r>
        <w:t>WITH</w:t>
      </w:r>
    </w:p>
    <w:p>
      <w:pPr>
        <w:pStyle w:val="PatchCopy"/>
      </w:pPr>
      <w:r>
        <w:t>These source options apply to PlagiarismSearch checks.</w:t>
      </w:r>
    </w:p>
    <w:p>
      <w:pPr>
        <w:pStyle w:val="Heading2"/>
      </w:pPr>
      <w:r>
        <w:t>2.5 FAQ — merge two overlapping questions</w:t>
      </w:r>
    </w:p>
    <w:p>
      <w:pPr>
        <w:pStyle w:val="PatchLabel"/>
      </w:pPr>
      <w:r>
        <w:t>MERGE</w:t>
      </w:r>
    </w:p>
    <w:p>
      <w:pPr>
        <w:pStyle w:val="PatchCopy"/>
      </w:pPr>
      <w:r>
        <w:t>“Is PlagiarismSearch affiliated with Turnitin®?” + “Is PlagiarismSearch a third-party Turnitin® checker?”</w:t>
      </w:r>
    </w:p>
    <w:p>
      <w:pPr>
        <w:pStyle w:val="PatchLabel"/>
      </w:pPr>
      <w:r>
        <w:t>NEW QUESTION</w:t>
      </w:r>
    </w:p>
    <w:p>
      <w:pPr>
        <w:pStyle w:val="PatchCopy"/>
      </w:pPr>
      <w:r>
        <w:t>Is PlagiarismSearch affiliated with Turnitin® or a third-party Turnitin® checker?</w:t>
      </w:r>
    </w:p>
    <w:p>
      <w:pPr>
        <w:pStyle w:val="PatchLabel"/>
      </w:pPr>
      <w:r>
        <w:t>ANSWER</w:t>
      </w:r>
    </w:p>
    <w:p>
      <w:pPr>
        <w:pStyle w:val="PatchCopy"/>
      </w:pPr>
      <w:r>
        <w:t>No. PlagiarismSearch is an independent service. It is not affiliated with, endorsed by, sponsored by, or otherwise connected with Turnitin, LLC; it does not access Turnitin software or proprietary databases and does not generate official Turnitin Similarity Reports.</w:t>
      </w:r>
    </w:p>
    <w:p>
      <w:pPr>
        <w:pStyle w:val="Heading2"/>
      </w:pPr>
      <w:r>
        <w:t>2.6 Final CTA</w:t>
      </w:r>
    </w:p>
    <w:p>
      <w:pPr>
        <w:pStyle w:val="PatchLabel"/>
      </w:pPr>
      <w:r>
        <w:t>KEEP HEADLINE</w:t>
      </w:r>
    </w:p>
    <w:p>
      <w:pPr>
        <w:pStyle w:val="PatchCopy"/>
      </w:pPr>
      <w:r>
        <w:t>Run an independent plagiarism check</w:t>
      </w:r>
    </w:p>
    <w:p>
      <w:pPr>
        <w:pStyle w:val="PatchLabel"/>
      </w:pPr>
      <w:r>
        <w:t>USE ONLY THIS SUPPORT COPY</w:t>
      </w:r>
    </w:p>
    <w:p>
      <w:pPr>
        <w:pStyle w:val="PatchCopy"/>
      </w:pPr>
      <w:r>
        <w:t>Review the matches and sources PlagiarismSearch finds before you submit your work.</w:t>
      </w:r>
    </w:p>
    <w:p>
      <w:r>
        <w:rPr>
          <w:i/>
        </w:rPr>
        <w:t>Remove the repeated sentence explaining that the result is not a Turnitin Similarity Report / prediction of an official Turnitin score.</w:t>
      </w:r>
    </w:p>
    <w:p>
      <w:pPr>
        <w:pStyle w:val="Heading1"/>
      </w:pPr>
      <w:r>
        <w:t>3. Keep the full Trademark Notice unchanged</w:t>
      </w:r>
    </w:p>
    <w:p>
      <w:r>
        <w:rPr>
          <w:b/>
        </w:rPr>
        <w:t xml:space="preserve">Do not shorten or remove the final trademark notice. </w:t>
      </w:r>
      <w:r>
        <w:t>That is the correct place for the complete legal/trademark deconfusion.</w:t>
      </w:r>
    </w:p>
    <w:p>
      <w:pPr>
        <w:pStyle w:val="Heading1"/>
      </w:pPr>
      <w:r>
        <w:t>4. Keep the confirmed 500M+ academic-text claim</w:t>
      </w:r>
    </w:p>
    <w:p>
      <w:r>
        <w:rPr>
          <w:b/>
        </w:rPr>
        <w:t xml:space="preserve">No change. </w:t>
      </w:r>
      <w:r>
        <w:t>Keep the current wording that PlagiarismSearch provides access to over 500 million indexed academic texts when academic database search is enabled.</w:t>
      </w:r>
    </w:p>
    <w:p>
      <w:pPr>
        <w:pStyle w:val="Heading1"/>
      </w:pPr>
      <w:r>
        <w:t>5. Do not change the report section</w:t>
      </w:r>
    </w:p>
    <w:p>
      <w:r>
        <w:rPr>
          <w:b/>
        </w:rPr>
        <w:t xml:space="preserve">No visual or content redesign requested. </w:t>
      </w:r>
      <w:r>
        <w:t>Keep the current light-background report treatment. After page approval, this version will be recorded separately in the component library as an approved light-background variant of the existing report section.</w:t>
      </w:r>
    </w:p>
    <w:p>
      <w:pPr>
        <w:pStyle w:val="Heading1"/>
      </w:pPr>
      <w:r>
        <w:t>6. Everything else stays as-is</w:t>
      </w:r>
    </w:p>
    <w:p>
      <w:pPr>
        <w:pStyle w:val="ListBullet"/>
      </w:pPr>
      <w:r>
        <w:t>Keep the current section order.</w:t>
      </w:r>
    </w:p>
    <w:p>
      <w:pPr>
        <w:pStyle w:val="ListBullet"/>
      </w:pPr>
      <w:r>
        <w:t>Keep the current comparison table structure and facts.</w:t>
      </w:r>
    </w:p>
    <w:p>
      <w:pPr>
        <w:pStyle w:val="ListBullet"/>
      </w:pPr>
      <w:r>
        <w:t>Keep the “Last verified” block and source registry.</w:t>
      </w:r>
    </w:p>
    <w:p>
      <w:pPr>
        <w:pStyle w:val="ListBullet"/>
      </w:pPr>
      <w:r>
        <w:t>Keep the workflow-fit cards.</w:t>
      </w:r>
    </w:p>
    <w:p>
      <w:pPr>
        <w:pStyle w:val="ListBullet"/>
      </w:pPr>
      <w:r>
        <w:t>Keep the PlagiarismSearch report, source/settings, AI-distinction, document-lifecycle, pricing, FAQ, CTA and footer structures unless explicitly changed above.</w:t>
      </w:r>
    </w:p>
    <w:p>
      <w:pPr>
        <w:pStyle w:val="ListBullet"/>
      </w:pPr>
      <w:r>
        <w:t>Do not introduce new claims, new sections, new layouts, or new competitor comparisons.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28C"/>
        <w:sz w:val="16"/>
      </w:rPr>
      <w:t>PlagiarismSearch SEO Recovery 2026 · Claude patch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chLabel">
    <w:name w:val="Patch Label"/>
    <w:pPr>
      <w:spacing w:before="160" w:after="60"/>
    </w:pPr>
    <w:rPr>
      <w:rFonts w:ascii="Liberation Sans" w:hAnsi="Liberation Sans"/>
      <w:b/>
      <w:color w:val="00788A"/>
      <w:sz w:val="18"/>
    </w:rPr>
  </w:style>
  <w:style w:type="paragraph" w:customStyle="1" w:styleId="PatchCopy">
    <w:name w:val="Patch Copy"/>
    <w:pPr>
      <w:spacing w:after="100"/>
      <w:ind w:left="259"/>
    </w:pPr>
    <w:rPr>
      <w:rFonts w:ascii="Liberation Sans" w:hAnsi="Liberation San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