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8798C"/>
          <w:sz w:val="26"/>
        </w:rPr>
        <w:t>PlagiarismSearch</w:t>
      </w:r>
    </w:p>
    <w:p>
      <w:pPr>
        <w:pStyle w:val="Title"/>
        <w:spacing w:before="200" w:after="160"/>
        <w:jc w:val="center"/>
      </w:pPr>
      <w:r>
        <w:rPr>
          <w:rFonts w:ascii="Aptos Display" w:hAnsi="Aptos Display"/>
          <w:b/>
          <w:color w:val="10212E"/>
          <w:sz w:val="56"/>
        </w:rPr>
        <w:t>EN Pricing Page</w:t>
        <w:br/>
        <w:t>Targeted Corrections v2</w:t>
      </w:r>
    </w:p>
    <w:p>
      <w:pPr>
        <w:jc w:val="center"/>
      </w:pPr>
      <w:r>
        <w:rPr>
          <w:rFonts w:ascii="Aptos" w:hAnsi="Aptos"/>
          <w:b/>
          <w:color w:val="5B6670"/>
          <w:sz w:val="24"/>
        </w:rPr>
        <w:t>Claude implementation package - targeted edits only</w:t>
      </w:r>
    </w:p>
    <w:p>
      <w:pPr>
        <w:spacing w:before="360"/>
        <w:jc w:val="center"/>
      </w:pPr>
      <w:r>
        <w:rPr>
          <w:rFonts w:ascii="Aptos" w:hAnsi="Aptos"/>
          <w:color w:val="77838C"/>
          <w:sz w:val="20"/>
        </w:rPr>
        <w:t>2026-09-04</w:t>
      </w:r>
    </w:p>
    <w:tbl>
      <w:tblPr>
        <w:tblW w:type="auto" w:w="0"/>
        <w:jc w:val="center"/>
        <w:tblLayout w:type="autofit"/>
        <w:tblLook w:firstColumn="1" w:firstRow="1" w:lastColumn="0" w:lastRow="0" w:noHBand="0" w:noVBand="1" w:val="04A0"/>
      </w:tblPr>
      <w:tblGrid>
        <w:gridCol w:w="9936"/>
      </w:tblGrid>
      <w:tr>
        <w:trPr>
          <w:cantSplit/>
        </w:trPr>
        <w:tc>
          <w:tcPr>
            <w:tcW w:type="dxa" w:w="9936"/>
            <w:shd w:fill="FFF6F2"/>
            <w:tcBorders>
              <w:top w:val="single" w:sz="8" w:color="F3A28F"/>
              <w:left w:val="single" w:sz="8" w:color="F3A28F"/>
              <w:bottom w:val="single" w:sz="8" w:color="F3A28F"/>
              <w:right w:val="single" w:sz="8" w:color="F3A28F"/>
            </w:tcBorders>
          </w:tcPr>
          <w:p>
            <w:pPr>
              <w:spacing w:after="60"/>
            </w:pPr>
            <w:r>
              <w:rPr>
                <w:rFonts w:ascii="Aptos" w:hAnsi="Aptos"/>
                <w:b/>
                <w:color w:val="A33C2C"/>
                <w:sz w:val="22"/>
              </w:rPr>
              <w:t>Core instruction</w:t>
            </w:r>
          </w:p>
          <w:p>
            <w:pPr>
              <w:spacing w:after="0"/>
            </w:pPr>
            <w:r>
              <w:rPr>
                <w:rFonts w:ascii="Aptos" w:hAnsi="Aptos"/>
                <w:color w:val="24313A"/>
                <w:sz w:val="20"/>
              </w:rPr>
              <w:t>Do not redesign the Pricing page. Preserve every approved section, visual treatment, and interaction that is not explicitly changed in this document. This package is surgical: fix only the listed issues.</w:t>
            </w:r>
          </w:p>
        </w:tc>
      </w:tr>
    </w:tbl>
    <w:p>
      <w:pPr>
        <w:spacing w:after="0"/>
      </w:pPr>
    </w:p>
    <w:p>
      <w:pPr>
        <w:spacing w:before="560"/>
        <w:jc w:val="center"/>
      </w:pPr>
      <w:r>
        <w:rPr>
          <w:rFonts w:ascii="Aptos" w:hAnsi="Aptos"/>
          <w:color w:val="57636C"/>
          <w:sz w:val="20"/>
        </w:rPr>
        <w:t>Page: https://plagiarismsearch.com/prices</w:t>
      </w:r>
    </w:p>
    <w:p>
      <w:r>
        <w:br/>
      </w:r>
    </w:p>
    <w:p>
      <w:pPr>
        <w:pStyle w:val="Heading1"/>
        <w:keepNext/>
      </w:pPr>
      <w:r>
        <w:t>1. Scope and source-of-truth rules</w:t>
      </w:r>
    </w:p>
    <w:tbl>
      <w:tblPr>
        <w:tblW w:type="auto" w:w="0"/>
        <w:jc w:val="center"/>
        <w:tblLayout w:type="autofit"/>
        <w:tblLook w:firstColumn="1" w:firstRow="1" w:lastColumn="0" w:lastRow="0" w:noHBand="0" w:noVBand="1" w:val="04A0"/>
      </w:tblPr>
      <w:tblGrid>
        <w:gridCol w:w="9936"/>
      </w:tblGrid>
      <w:tr>
        <w:trPr>
          <w:cantSplit/>
        </w:trPr>
        <w:tc>
          <w:tcPr>
            <w:tcW w:type="dxa" w:w="9936"/>
            <w:shd w:fill="EEF9FA"/>
            <w:tcBorders>
              <w:top w:val="single" w:sz="8" w:color="8ED5DF"/>
              <w:left w:val="single" w:sz="8" w:color="8ED5DF"/>
              <w:bottom w:val="single" w:sz="8" w:color="8ED5DF"/>
              <w:right w:val="single" w:sz="8" w:color="8ED5DF"/>
            </w:tcBorders>
          </w:tcPr>
          <w:p>
            <w:pPr>
              <w:spacing w:after="60"/>
            </w:pPr>
            <w:r>
              <w:rPr>
                <w:rFonts w:ascii="Aptos" w:hAnsi="Aptos"/>
                <w:b/>
                <w:color w:val="0B4D59"/>
                <w:sz w:val="22"/>
              </w:rPr>
              <w:t>Targeted correction, not a rebuild</w:t>
            </w:r>
          </w:p>
          <w:p>
            <w:pPr>
              <w:spacing w:after="0"/>
            </w:pPr>
            <w:r>
              <w:rPr>
                <w:rFonts w:ascii="Aptos" w:hAnsi="Aptos"/>
                <w:color w:val="24313A"/>
                <w:sz w:val="20"/>
              </w:rPr>
              <w:t>The current Pricing implementation is broadly approved. Claude must preserve the established page shell, global navigation, overall light/dark rhythm, main pricing widget treatment, compact optional-services treatment, FAQ pattern, and final free-check CTA.</w:t>
            </w:r>
          </w:p>
        </w:tc>
      </w:tr>
    </w:tbl>
    <w:p>
      <w:pPr>
        <w:spacing w:after="0"/>
      </w:pPr>
    </w:p>
    <w:p>
      <w:r>
        <w:rPr>
          <w:rFonts w:ascii="Aptos" w:hAnsi="Aptos"/>
          <w:b/>
          <w:color w:val="10212E"/>
          <w:sz w:val="22"/>
        </w:rPr>
        <w:t>Source-of-truth precedence</w:t>
      </w:r>
    </w:p>
    <w:p>
      <w:pPr>
        <w:pStyle w:val="ListBullet"/>
        <w:spacing w:after="60"/>
      </w:pPr>
      <w:r>
        <w:rPr>
          <w:rFonts w:ascii="Aptos" w:hAnsi="Aptos"/>
          <w:color w:val="25333D"/>
          <w:sz w:val="21"/>
        </w:rPr>
        <w:t>Authoritative production pricing data and entitlement logic.</w:t>
      </w:r>
    </w:p>
    <w:p>
      <w:pPr>
        <w:pStyle w:val="ListBullet"/>
        <w:spacing w:after="60"/>
      </w:pPr>
      <w:r>
        <w:rPr>
          <w:rFonts w:ascii="Aptos" w:hAnsi="Aptos"/>
          <w:color w:val="25333D"/>
          <w:sz w:val="21"/>
        </w:rPr>
        <w:t>Confirmed product facts in this brief.</w:t>
      </w:r>
    </w:p>
    <w:p>
      <w:pPr>
        <w:pStyle w:val="ListBullet"/>
        <w:spacing w:after="60"/>
      </w:pPr>
      <w:r>
        <w:rPr>
          <w:rFonts w:ascii="Aptos" w:hAnsi="Aptos"/>
          <w:color w:val="25333D"/>
          <w:sz w:val="21"/>
        </w:rPr>
        <w:t>Approved Pricing page content and section order after the changes below.</w:t>
      </w:r>
    </w:p>
    <w:p>
      <w:pPr>
        <w:pStyle w:val="ListBullet"/>
        <w:spacing w:after="60"/>
      </w:pPr>
      <w:r>
        <w:rPr>
          <w:rFonts w:ascii="Aptos" w:hAnsi="Aptos"/>
          <w:color w:val="25333D"/>
          <w:sz w:val="21"/>
        </w:rPr>
        <w:t>Current prototype implementation for everything not explicitly changed here.</w:t>
      </w:r>
    </w:p>
    <w:p>
      <w:r>
        <w:br/>
      </w:r>
    </w:p>
    <w:tbl>
      <w:tblPr>
        <w:tblW w:type="auto" w:w="0"/>
        <w:jc w:val="center"/>
        <w:tblLayout w:type="autofit"/>
        <w:tblLook w:firstColumn="1" w:firstRow="1" w:lastColumn="0" w:lastRow="0" w:noHBand="0" w:noVBand="1" w:val="04A0"/>
      </w:tblPr>
      <w:tblGrid>
        <w:gridCol w:w="9936"/>
      </w:tblGrid>
      <w:tr>
        <w:trPr>
          <w:cantSplit/>
        </w:trPr>
        <w:tc>
          <w:tcPr>
            <w:tcW w:type="dxa" w:w="9936"/>
            <w:shd w:fill="F4F8FB"/>
            <w:tcBorders>
              <w:top w:val="single" w:sz="8" w:color="A8C7D5"/>
              <w:left w:val="single" w:sz="8" w:color="A8C7D5"/>
              <w:bottom w:val="single" w:sz="8" w:color="A8C7D5"/>
              <w:right w:val="single" w:sz="8" w:color="A8C7D5"/>
            </w:tcBorders>
          </w:tcPr>
          <w:p>
            <w:pPr>
              <w:spacing w:after="60"/>
            </w:pPr>
            <w:r>
              <w:rPr>
                <w:rFonts w:ascii="Aptos" w:hAnsi="Aptos"/>
                <w:b/>
                <w:color w:val="0B4D59"/>
                <w:sz w:val="22"/>
              </w:rPr>
              <w:t>Pricing-data gate</w:t>
            </w:r>
          </w:p>
          <w:p>
            <w:pPr>
              <w:spacing w:after="0"/>
            </w:pPr>
            <w:r>
              <w:rPr>
                <w:rFonts w:ascii="Aptos" w:hAnsi="Aptos"/>
                <w:color w:val="24313A"/>
                <w:sz w:val="20"/>
              </w:rPr>
              <w:t>The three main plagiarism-plan cards in the prototype are a shell, not a second pricing source. Production must replace/bind them to the authoritative pricing widget shared with the Homepage. The AI package prices must follow the same principle: no separate manually maintained production price table.</w:t>
            </w:r>
          </w:p>
        </w:tc>
      </w:tr>
    </w:tbl>
    <w:p>
      <w:pPr>
        <w:spacing w:after="0"/>
      </w:pPr>
    </w:p>
    <w:p>
      <w:pPr>
        <w:pStyle w:val="Heading1"/>
        <w:keepNext/>
      </w:pPr>
      <w:r>
        <w:t>2. Exact implementation order</w:t>
      </w:r>
    </w:p>
    <w:tbl>
      <w:tblPr>
        <w:tblW w:type="auto" w:w="0"/>
        <w:jc w:val="center"/>
        <w:tblLook w:firstColumn="1" w:firstRow="1" w:lastColumn="0" w:lastRow="0" w:noHBand="0" w:noVBand="1" w:val="04A0"/>
      </w:tblPr>
      <w:tblGrid>
        <w:gridCol w:w="3312"/>
        <w:gridCol w:w="3312"/>
        <w:gridCol w:w="3312"/>
      </w:tblGrid>
      <w:tr>
        <w:tc>
          <w:tcPr>
            <w:tcW w:type="dxa" w:w="3312"/>
            <w:shd w:fill="10212E"/>
          </w:tcPr>
          <w:p>
            <w:r>
              <w:rPr>
                <w:rFonts w:ascii="Aptos" w:hAnsi="Aptos"/>
                <w:b/>
                <w:color w:val="FFFFFF"/>
                <w:sz w:val="19"/>
              </w:rPr>
              <w:t>Step</w:t>
            </w:r>
          </w:p>
        </w:tc>
        <w:tc>
          <w:tcPr>
            <w:tcW w:type="dxa" w:w="3312"/>
            <w:shd w:fill="10212E"/>
          </w:tcPr>
          <w:p>
            <w:r>
              <w:rPr>
                <w:rFonts w:ascii="Aptos" w:hAnsi="Aptos"/>
                <w:b/>
                <w:color w:val="FFFFFF"/>
                <w:sz w:val="19"/>
              </w:rPr>
              <w:t>Action</w:t>
            </w:r>
          </w:p>
        </w:tc>
        <w:tc>
          <w:tcPr>
            <w:tcW w:type="dxa" w:w="3312"/>
            <w:shd w:fill="10212E"/>
          </w:tcPr>
          <w:p>
            <w:r>
              <w:rPr>
                <w:rFonts w:ascii="Aptos" w:hAnsi="Aptos"/>
                <w:b/>
                <w:color w:val="FFFFFF"/>
                <w:sz w:val="19"/>
              </w:rPr>
              <w:t>Required result</w:t>
            </w:r>
          </w:p>
        </w:tc>
      </w:tr>
      <w:tr>
        <w:tc>
          <w:tcPr>
            <w:tcW w:type="dxa" w:w="3312"/>
            <w:tcBorders>
              <w:bottom w:val="single" w:sz="4" w:color="E1E8EC"/>
            </w:tcBorders>
          </w:tcPr>
          <w:p>
            <w:r>
              <w:rPr>
                <w:rFonts w:ascii="Aptos" w:hAnsi="Aptos"/>
                <w:b/>
                <w:color w:val="1E2A33"/>
                <w:sz w:val="18"/>
              </w:rPr>
              <w:t>1</w:t>
            </w:r>
          </w:p>
        </w:tc>
        <w:tc>
          <w:tcPr>
            <w:tcW w:type="dxa" w:w="3312"/>
            <w:tcBorders>
              <w:bottom w:val="single" w:sz="4" w:color="E1E8EC"/>
            </w:tcBorders>
          </w:tcPr>
          <w:p>
            <w:r>
              <w:rPr>
                <w:rFonts w:ascii="Aptos" w:hAnsi="Aptos"/>
                <w:b/>
                <w:color w:val="1E2A33"/>
                <w:sz w:val="18"/>
              </w:rPr>
              <w:t>Freeze the approved page</w:t>
            </w:r>
          </w:p>
        </w:tc>
        <w:tc>
          <w:tcPr>
            <w:tcW w:type="dxa" w:w="3312"/>
            <w:tcBorders>
              <w:bottom w:val="single" w:sz="4" w:color="E1E8EC"/>
            </w:tcBorders>
          </w:tcPr>
          <w:p>
            <w:r>
              <w:rPr>
                <w:rFonts w:ascii="Aptos" w:hAnsi="Aptos"/>
                <w:b w:val="0"/>
                <w:color w:val="1E2A33"/>
                <w:sz w:val="18"/>
              </w:rPr>
              <w:t>Do not make broad visual changes before applying the corrections below.</w:t>
            </w:r>
          </w:p>
        </w:tc>
      </w:tr>
      <w:tr>
        <w:tc>
          <w:tcPr>
            <w:tcW w:type="dxa" w:w="3312"/>
            <w:tcBorders>
              <w:bottom w:val="single" w:sz="4" w:color="E1E8EC"/>
            </w:tcBorders>
            <w:shd w:fill="F7FAFB"/>
          </w:tcPr>
          <w:p>
            <w:r>
              <w:rPr>
                <w:rFonts w:ascii="Aptos" w:hAnsi="Aptos"/>
                <w:b/>
                <w:color w:val="1E2A33"/>
                <w:sz w:val="18"/>
              </w:rPr>
              <w:t>2</w:t>
            </w:r>
          </w:p>
        </w:tc>
        <w:tc>
          <w:tcPr>
            <w:tcW w:type="dxa" w:w="3312"/>
            <w:tcBorders>
              <w:bottom w:val="single" w:sz="4" w:color="E1E8EC"/>
            </w:tcBorders>
            <w:shd w:fill="F7FAFB"/>
          </w:tcPr>
          <w:p>
            <w:r>
              <w:rPr>
                <w:rFonts w:ascii="Aptos" w:hAnsi="Aptos"/>
                <w:b/>
                <w:color w:val="1E2A33"/>
                <w:sz w:val="18"/>
              </w:rPr>
              <w:t>Fix AI purchase interaction</w:t>
            </w:r>
          </w:p>
        </w:tc>
        <w:tc>
          <w:tcPr>
            <w:tcW w:type="dxa" w:w="3312"/>
            <w:tcBorders>
              <w:bottom w:val="single" w:sz="4" w:color="E1E8EC"/>
            </w:tcBorders>
            <w:shd w:fill="F7FAFB"/>
          </w:tcPr>
          <w:p>
            <w:r>
              <w:rPr>
                <w:rFonts w:ascii="Aptos" w:hAnsi="Aptos"/>
                <w:b w:val="0"/>
                <w:color w:val="1E2A33"/>
                <w:sz w:val="18"/>
              </w:rPr>
              <w:t>Turn the read-only AI pricing table into a selectable package flow with one clear continuation action.</w:t>
            </w:r>
          </w:p>
        </w:tc>
      </w:tr>
      <w:tr>
        <w:tc>
          <w:tcPr>
            <w:tcW w:type="dxa" w:w="3312"/>
            <w:tcBorders>
              <w:bottom w:val="single" w:sz="4" w:color="E1E8EC"/>
            </w:tcBorders>
          </w:tcPr>
          <w:p>
            <w:r>
              <w:rPr>
                <w:rFonts w:ascii="Aptos" w:hAnsi="Aptos"/>
                <w:b/>
                <w:color w:val="1E2A33"/>
                <w:sz w:val="18"/>
              </w:rPr>
              <w:t>3</w:t>
            </w:r>
          </w:p>
        </w:tc>
        <w:tc>
          <w:tcPr>
            <w:tcW w:type="dxa" w:w="3312"/>
            <w:tcBorders>
              <w:bottom w:val="single" w:sz="4" w:color="E1E8EC"/>
            </w:tcBorders>
          </w:tcPr>
          <w:p>
            <w:r>
              <w:rPr>
                <w:rFonts w:ascii="Aptos" w:hAnsi="Aptos"/>
                <w:b/>
                <w:color w:val="1E2A33"/>
                <w:sz w:val="18"/>
              </w:rPr>
              <w:t>Fix Storage terminology</w:t>
            </w:r>
          </w:p>
        </w:tc>
        <w:tc>
          <w:tcPr>
            <w:tcW w:type="dxa" w:w="3312"/>
            <w:tcBorders>
              <w:bottom w:val="single" w:sz="4" w:color="E1E8EC"/>
            </w:tcBorders>
          </w:tcPr>
          <w:p>
            <w:r>
              <w:rPr>
                <w:rFonts w:ascii="Aptos" w:hAnsi="Aptos"/>
                <w:b w:val="0"/>
                <w:color w:val="1E2A33"/>
                <w:sz w:val="18"/>
              </w:rPr>
              <w:t>Replace ambiguous bare Storage wording in plan-entitlement context with the exact feature name report storage, subject to the production widget label.</w:t>
            </w:r>
          </w:p>
        </w:tc>
      </w:tr>
      <w:tr>
        <w:tc>
          <w:tcPr>
            <w:tcW w:type="dxa" w:w="3312"/>
            <w:tcBorders>
              <w:bottom w:val="single" w:sz="4" w:color="E1E8EC"/>
            </w:tcBorders>
            <w:shd w:fill="F7FAFB"/>
          </w:tcPr>
          <w:p>
            <w:r>
              <w:rPr>
                <w:rFonts w:ascii="Aptos" w:hAnsi="Aptos"/>
                <w:b/>
                <w:color w:val="1E2A33"/>
                <w:sz w:val="18"/>
              </w:rPr>
              <w:t>4</w:t>
            </w:r>
          </w:p>
        </w:tc>
        <w:tc>
          <w:tcPr>
            <w:tcW w:type="dxa" w:w="3312"/>
            <w:tcBorders>
              <w:bottom w:val="single" w:sz="4" w:color="E1E8EC"/>
            </w:tcBorders>
            <w:shd w:fill="F7FAFB"/>
          </w:tcPr>
          <w:p>
            <w:r>
              <w:rPr>
                <w:rFonts w:ascii="Aptos" w:hAnsi="Aptos"/>
                <w:b/>
                <w:color w:val="1E2A33"/>
                <w:sz w:val="18"/>
              </w:rPr>
              <w:t>Refine Core Product Value</w:t>
            </w:r>
          </w:p>
        </w:tc>
        <w:tc>
          <w:tcPr>
            <w:tcW w:type="dxa" w:w="3312"/>
            <w:tcBorders>
              <w:bottom w:val="single" w:sz="4" w:color="E1E8EC"/>
            </w:tcBorders>
            <w:shd w:fill="F7FAFB"/>
          </w:tcPr>
          <w:p>
            <w:r>
              <w:rPr>
                <w:rFonts w:ascii="Aptos" w:hAnsi="Aptos"/>
                <w:b w:val="0"/>
                <w:color w:val="1E2A33"/>
                <w:sz w:val="18"/>
              </w:rPr>
              <w:t>Keep the factual coverage but reduce the six-equal-card presentation into three content groups. Do not prescribe a specific layout.</w:t>
            </w:r>
          </w:p>
        </w:tc>
      </w:tr>
      <w:tr>
        <w:tc>
          <w:tcPr>
            <w:tcW w:type="dxa" w:w="3312"/>
            <w:tcBorders>
              <w:bottom w:val="single" w:sz="4" w:color="E1E8EC"/>
            </w:tcBorders>
          </w:tcPr>
          <w:p>
            <w:r>
              <w:rPr>
                <w:rFonts w:ascii="Aptos" w:hAnsi="Aptos"/>
                <w:b/>
                <w:color w:val="1E2A33"/>
                <w:sz w:val="18"/>
              </w:rPr>
              <w:t>5</w:t>
            </w:r>
          </w:p>
        </w:tc>
        <w:tc>
          <w:tcPr>
            <w:tcW w:type="dxa" w:w="3312"/>
            <w:tcBorders>
              <w:bottom w:val="single" w:sz="4" w:color="E1E8EC"/>
            </w:tcBorders>
          </w:tcPr>
          <w:p>
            <w:r>
              <w:rPr>
                <w:rFonts w:ascii="Aptos" w:hAnsi="Aptos"/>
                <w:b/>
                <w:color w:val="1E2A33"/>
                <w:sz w:val="18"/>
              </w:rPr>
              <w:t>Correct commercial hierarchy</w:t>
            </w:r>
          </w:p>
        </w:tc>
        <w:tc>
          <w:tcPr>
            <w:tcW w:type="dxa" w:w="3312"/>
            <w:tcBorders>
              <w:bottom w:val="single" w:sz="4" w:color="E1E8EC"/>
            </w:tcBorders>
          </w:tcPr>
          <w:p>
            <w:r>
              <w:rPr>
                <w:rFonts w:ascii="Aptos" w:hAnsi="Aptos"/>
                <w:b w:val="0"/>
                <w:color w:val="1E2A33"/>
                <w:sz w:val="18"/>
              </w:rPr>
              <w:t>Move Custom &amp; High Volume immediately after AI Pricing and before Optional Services.</w:t>
            </w:r>
          </w:p>
        </w:tc>
      </w:tr>
      <w:tr>
        <w:tc>
          <w:tcPr>
            <w:tcW w:type="dxa" w:w="3312"/>
            <w:tcBorders>
              <w:bottom w:val="single" w:sz="4" w:color="E1E8EC"/>
            </w:tcBorders>
            <w:shd w:fill="F7FAFB"/>
          </w:tcPr>
          <w:p>
            <w:r>
              <w:rPr>
                <w:rFonts w:ascii="Aptos" w:hAnsi="Aptos"/>
                <w:b/>
                <w:color w:val="1E2A33"/>
                <w:sz w:val="18"/>
              </w:rPr>
              <w:t>6</w:t>
            </w:r>
          </w:p>
        </w:tc>
        <w:tc>
          <w:tcPr>
            <w:tcW w:type="dxa" w:w="3312"/>
            <w:tcBorders>
              <w:bottom w:val="single" w:sz="4" w:color="E1E8EC"/>
            </w:tcBorders>
            <w:shd w:fill="F7FAFB"/>
          </w:tcPr>
          <w:p>
            <w:r>
              <w:rPr>
                <w:rFonts w:ascii="Aptos" w:hAnsi="Aptos"/>
                <w:b/>
                <w:color w:val="1E2A33"/>
                <w:sz w:val="18"/>
              </w:rPr>
              <w:t>Clarify high-volume copy</w:t>
            </w:r>
          </w:p>
        </w:tc>
        <w:tc>
          <w:tcPr>
            <w:tcW w:type="dxa" w:w="3312"/>
            <w:tcBorders>
              <w:bottom w:val="single" w:sz="4" w:color="E1E8EC"/>
            </w:tcBorders>
            <w:shd w:fill="F7FAFB"/>
          </w:tcPr>
          <w:p>
            <w:r>
              <w:rPr>
                <w:rFonts w:ascii="Aptos" w:hAnsi="Aptos"/>
                <w:b w:val="0"/>
                <w:color w:val="1E2A33"/>
                <w:sz w:val="18"/>
              </w:rPr>
              <w:t>Remove visible VIP jargon while keeping the existing /vip destination.</w:t>
            </w:r>
          </w:p>
        </w:tc>
      </w:tr>
      <w:tr>
        <w:tc>
          <w:tcPr>
            <w:tcW w:type="dxa" w:w="3312"/>
            <w:tcBorders>
              <w:bottom w:val="single" w:sz="4" w:color="E1E8EC"/>
            </w:tcBorders>
          </w:tcPr>
          <w:p>
            <w:r>
              <w:rPr>
                <w:rFonts w:ascii="Aptos" w:hAnsi="Aptos"/>
                <w:b/>
                <w:color w:val="1E2A33"/>
                <w:sz w:val="18"/>
              </w:rPr>
              <w:t>7</w:t>
            </w:r>
          </w:p>
        </w:tc>
        <w:tc>
          <w:tcPr>
            <w:tcW w:type="dxa" w:w="3312"/>
            <w:tcBorders>
              <w:bottom w:val="single" w:sz="4" w:color="E1E8EC"/>
            </w:tcBorders>
          </w:tcPr>
          <w:p>
            <w:r>
              <w:rPr>
                <w:rFonts w:ascii="Aptos" w:hAnsi="Aptos"/>
                <w:b/>
                <w:color w:val="1E2A33"/>
                <w:sz w:val="18"/>
              </w:rPr>
              <w:t>Apply production gates and QA</w:t>
            </w:r>
          </w:p>
        </w:tc>
        <w:tc>
          <w:tcPr>
            <w:tcW w:type="dxa" w:w="3312"/>
            <w:tcBorders>
              <w:bottom w:val="single" w:sz="4" w:color="E1E8EC"/>
            </w:tcBorders>
          </w:tcPr>
          <w:p>
            <w:r>
              <w:rPr>
                <w:rFonts w:ascii="Aptos" w:hAnsi="Aptos"/>
                <w:b w:val="0"/>
                <w:color w:val="1E2A33"/>
                <w:sz w:val="18"/>
              </w:rPr>
              <w:t>Bind pricing data and purchase actions to real production sources, use clean routes, and verify accessibility/interaction states.</w:t>
            </w:r>
          </w:p>
        </w:tc>
      </w:tr>
    </w:tbl>
    <w:p/>
    <w:p>
      <w:pPr>
        <w:pStyle w:val="Heading1"/>
        <w:keepNext/>
      </w:pPr>
      <w:r>
        <w:t>3. DO NOT TOUCH - preserve these approved areas</w:t>
      </w:r>
    </w:p>
    <w:p>
      <w:pPr>
        <w:pStyle w:val="ListBullet"/>
        <w:spacing w:after="60"/>
      </w:pPr>
      <w:r>
        <w:rPr>
          <w:rFonts w:ascii="Aptos" w:hAnsi="Aptos"/>
          <w:color w:val="25333D"/>
          <w:sz w:val="21"/>
        </w:rPr>
        <w:t>H1 concept: Plagiarism Checker Pricing &amp; Plans.</w:t>
      </w:r>
    </w:p>
    <w:p>
      <w:pPr>
        <w:pStyle w:val="ListBullet"/>
        <w:spacing w:after="60"/>
      </w:pPr>
      <w:r>
        <w:rPr>
          <w:rFonts w:ascii="Aptos" w:hAnsi="Aptos"/>
          <w:color w:val="25333D"/>
          <w:sz w:val="21"/>
        </w:rPr>
        <w:t>Main pricing widget visual system and the four periods: One-time / Monthly / 3-Months / Yearly.</w:t>
      </w:r>
    </w:p>
    <w:p>
      <w:pPr>
        <w:pStyle w:val="ListBullet"/>
        <w:spacing w:after="60"/>
      </w:pPr>
      <w:r>
        <w:rPr>
          <w:rFonts w:ascii="Aptos" w:hAnsi="Aptos"/>
          <w:color w:val="25333D"/>
          <w:sz w:val="21"/>
        </w:rPr>
        <w:t>One-time helper: Pay once. Your purchased quota does not expire.</w:t>
      </w:r>
    </w:p>
    <w:p>
      <w:pPr>
        <w:pStyle w:val="ListBullet"/>
        <w:spacing w:after="60"/>
      </w:pPr>
      <w:r>
        <w:rPr>
          <w:rFonts w:ascii="Aptos" w:hAnsi="Aptos"/>
          <w:color w:val="25333D"/>
          <w:sz w:val="21"/>
        </w:rPr>
        <w:t>AI/plagiarism separation and the dark AI section as a distinct commercial decision.</w:t>
      </w:r>
    </w:p>
    <w:p>
      <w:pPr>
        <w:pStyle w:val="ListBullet"/>
        <w:spacing w:after="60"/>
      </w:pPr>
      <w:r>
        <w:rPr>
          <w:rFonts w:ascii="Aptos" w:hAnsi="Aptos"/>
          <w:color w:val="25333D"/>
          <w:sz w:val="21"/>
        </w:rPr>
        <w:t>Optional writing services as a compact secondary section.</w:t>
      </w:r>
    </w:p>
    <w:p>
      <w:pPr>
        <w:pStyle w:val="ListBullet"/>
        <w:spacing w:after="60"/>
      </w:pPr>
      <w:r>
        <w:rPr>
          <w:rFonts w:ascii="Aptos" w:hAnsi="Aptos"/>
          <w:color w:val="25333D"/>
          <w:sz w:val="21"/>
        </w:rPr>
        <w:t>Pricing FAQ accordion pattern.</w:t>
      </w:r>
    </w:p>
    <w:p>
      <w:pPr>
        <w:pStyle w:val="ListBullet"/>
        <w:spacing w:after="60"/>
      </w:pPr>
      <w:r>
        <w:rPr>
          <w:rFonts w:ascii="Aptos" w:hAnsi="Aptos"/>
          <w:color w:val="25333D"/>
          <w:sz w:val="21"/>
        </w:rPr>
        <w:t>Final free-check CTA concept and its role as the non-purchase fallback.</w:t>
      </w:r>
    </w:p>
    <w:p>
      <w:pPr>
        <w:pStyle w:val="ListBullet"/>
        <w:spacing w:after="60"/>
      </w:pPr>
      <w:r>
        <w:rPr>
          <w:rFonts w:ascii="Aptos" w:hAnsi="Aptos"/>
          <w:color w:val="25333D"/>
          <w:sz w:val="21"/>
        </w:rPr>
        <w:t>Approved global header/footer and overall visual system.</w:t>
      </w:r>
    </w:p>
    <w:p>
      <w:pPr>
        <w:pStyle w:val="Heading1"/>
        <w:keepNext/>
      </w:pPr>
      <w:r>
        <w:t>4. P0 - AI pricing must become actionable</w:t>
      </w:r>
    </w:p>
    <w:tbl>
      <w:tblPr>
        <w:tblW w:type="auto" w:w="0"/>
        <w:jc w:val="center"/>
        <w:tblLayout w:type="autofit"/>
        <w:tblLook w:firstColumn="1" w:firstRow="1" w:lastColumn="0" w:lastRow="0" w:noHBand="0" w:noVBand="1" w:val="04A0"/>
      </w:tblPr>
      <w:tblGrid>
        <w:gridCol w:w="9936"/>
      </w:tblGrid>
      <w:tr>
        <w:trPr>
          <w:cantSplit/>
        </w:trPr>
        <w:tc>
          <w:tcPr>
            <w:tcW w:type="dxa" w:w="9936"/>
            <w:shd w:fill="FFF6F2"/>
            <w:tcBorders>
              <w:top w:val="single" w:sz="8" w:color="F3A28F"/>
              <w:left w:val="single" w:sz="8" w:color="F3A28F"/>
              <w:bottom w:val="single" w:sz="8" w:color="F3A28F"/>
              <w:right w:val="single" w:sz="8" w:color="F3A28F"/>
            </w:tcBorders>
          </w:tcPr>
          <w:p>
            <w:pPr>
              <w:spacing w:after="60"/>
            </w:pPr>
            <w:r>
              <w:rPr>
                <w:rFonts w:ascii="Aptos" w:hAnsi="Aptos"/>
                <w:b/>
                <w:color w:val="A33C2C"/>
                <w:sz w:val="22"/>
              </w:rPr>
              <w:t>Problem</w:t>
            </w:r>
          </w:p>
          <w:p>
            <w:pPr>
              <w:spacing w:after="0"/>
            </w:pPr>
            <w:r>
              <w:rPr>
                <w:rFonts w:ascii="Aptos" w:hAnsi="Aptos"/>
                <w:color w:val="24313A"/>
                <w:sz w:val="20"/>
              </w:rPr>
              <w:t>The current AI pricing area lets the user read eight packages but provides no direct action for a selected package. Learn about AI detection is educational, and Contact us is only for non-standard volume. This leaves a conversion dead end on the Pricing page.</w:t>
            </w:r>
          </w:p>
        </w:tc>
      </w:tr>
    </w:tbl>
    <w:p>
      <w:pPr>
        <w:spacing w:after="0"/>
      </w:pPr>
    </w:p>
    <w:p>
      <w:pPr>
        <w:pStyle w:val="Heading2"/>
        <w:keepNext/>
      </w:pPr>
      <w:r>
        <w:t>Required interaction contract</w:t>
      </w:r>
    </w:p>
    <w:p>
      <w:pPr>
        <w:pStyle w:val="ListBullet"/>
        <w:spacing w:after="60"/>
      </w:pPr>
      <w:r>
        <w:rPr>
          <w:rFonts w:ascii="Aptos" w:hAnsi="Aptos"/>
          <w:color w:val="25333D"/>
          <w:sz w:val="21"/>
        </w:rPr>
        <w:t>Show all eight approved AI package options.</w:t>
      </w:r>
    </w:p>
    <w:p>
      <w:pPr>
        <w:pStyle w:val="ListBullet"/>
        <w:spacing w:after="60"/>
      </w:pPr>
      <w:r>
        <w:rPr>
          <w:rFonts w:ascii="Aptos" w:hAnsi="Aptos"/>
          <w:color w:val="25333D"/>
          <w:sz w:val="21"/>
        </w:rPr>
        <w:t>Exactly one package must have a clear selected state at a time.</w:t>
      </w:r>
    </w:p>
    <w:p>
      <w:pPr>
        <w:pStyle w:val="ListBullet"/>
        <w:spacing w:after="60"/>
      </w:pPr>
      <w:r>
        <w:rPr>
          <w:rFonts w:ascii="Aptos" w:hAnsi="Aptos"/>
          <w:color w:val="25333D"/>
          <w:sz w:val="21"/>
        </w:rPr>
        <w:t>For the prototype, select 10,000 AI words by default unless the existing shared purchase component already defines another production-safe default.</w:t>
      </w:r>
    </w:p>
    <w:p>
      <w:pPr>
        <w:pStyle w:val="ListBullet"/>
        <w:spacing w:after="60"/>
      </w:pPr>
      <w:r>
        <w:rPr>
          <w:rFonts w:ascii="Aptos" w:hAnsi="Aptos"/>
          <w:color w:val="25333D"/>
          <w:sz w:val="21"/>
        </w:rPr>
        <w:t>Changing the selected package must update the primary CTA to the selected word allowance.</w:t>
      </w:r>
    </w:p>
    <w:p>
      <w:pPr>
        <w:pStyle w:val="ListBullet"/>
        <w:spacing w:after="60"/>
      </w:pPr>
      <w:r>
        <w:rPr>
          <w:rFonts w:ascii="Aptos" w:hAnsi="Aptos"/>
          <w:color w:val="25333D"/>
          <w:sz w:val="21"/>
        </w:rPr>
        <w:t>The primary CTA must continue into the real account/purchase flow for the selected package.</w:t>
      </w:r>
    </w:p>
    <w:p>
      <w:pPr>
        <w:pStyle w:val="ListBullet"/>
        <w:spacing w:after="60"/>
      </w:pPr>
      <w:r>
        <w:rPr>
          <w:rFonts w:ascii="Aptos" w:hAnsi="Aptos"/>
          <w:color w:val="25333D"/>
          <w:sz w:val="21"/>
        </w:rPr>
        <w:t>Do not send the package CTA to the AI Detector landing page. Learn about AI detection remains a secondary educational link.</w:t>
      </w:r>
    </w:p>
    <w:p>
      <w:pPr>
        <w:pStyle w:val="ListBullet"/>
        <w:spacing w:after="60"/>
      </w:pPr>
      <w:r>
        <w:rPr>
          <w:rFonts w:ascii="Aptos" w:hAnsi="Aptos"/>
          <w:color w:val="25333D"/>
          <w:sz w:val="21"/>
        </w:rPr>
        <w:t>If the final checkout URL/action is not available in the prototype, implement the selection state and a neutral integration hook/data attribute for the developer. Do not invent a production route.</w:t>
      </w:r>
    </w:p>
    <w:p>
      <w:pPr>
        <w:pStyle w:val="Heading2"/>
        <w:keepNext/>
      </w:pPr>
      <w:r>
        <w:t>Exact CTA label</w:t>
      </w:r>
    </w:p>
    <w:p>
      <w:pPr>
        <w:ind w:left="360"/>
      </w:pPr>
      <w:r>
        <w:rPr>
          <w:rFonts w:ascii="Aptos" w:hAnsi="Aptos"/>
          <w:b/>
          <w:color w:val="10212E"/>
          <w:sz w:val="24"/>
        </w:rPr>
        <w:t>Continue with {SELECTED_AI_WORD_COUNT} AI words</w:t>
      </w:r>
    </w:p>
    <w:p>
      <w:r>
        <w:rPr>
          <w:rFonts w:ascii="Aptos" w:hAnsi="Aptos"/>
          <w:b/>
          <w:color w:val="10212E"/>
          <w:sz w:val="21"/>
        </w:rPr>
        <w:t xml:space="preserve">Examples: </w:t>
      </w:r>
      <w:r>
        <w:rPr>
          <w:rFonts w:ascii="Aptos" w:hAnsi="Aptos"/>
          <w:color w:val="25333D"/>
          <w:sz w:val="21"/>
        </w:rPr>
        <w:t>Continue with 10,000 AI words / Continue with 300,000 AI words / Continue with 3,000,000 AI words.</w:t>
      </w:r>
    </w:p>
    <w:p>
      <w:pPr>
        <w:pStyle w:val="Heading2"/>
        <w:keepNext/>
      </w:pPr>
      <w:r>
        <w:t>Exact helper copy to add above or immediately before the package selector</w:t>
      </w:r>
    </w:p>
    <w:p>
      <w:pPr>
        <w:ind w:left="360"/>
      </w:pPr>
      <w:r>
        <w:rPr>
          <w:rFonts w:ascii="Aptos" w:hAnsi="Aptos"/>
          <w:b/>
          <w:color w:val="10212E"/>
          <w:sz w:val="22"/>
        </w:rPr>
        <w:t>Select an AI word package, then continue with the option you want to purchase.</w:t>
      </w:r>
    </w:p>
    <w:p>
      <w:pPr>
        <w:pStyle w:val="Heading2"/>
        <w:keepNext/>
      </w:pPr>
      <w:r>
        <w:t>Approved AI package baseline for prototype display</w:t>
      </w:r>
    </w:p>
    <w:tbl>
      <w:tblPr>
        <w:tblW w:type="auto" w:w="0"/>
        <w:jc w:val="center"/>
        <w:tblLayout w:type="fixed"/>
        <w:tblLook w:firstColumn="1" w:firstRow="1" w:lastColumn="0" w:lastRow="0" w:noHBand="0" w:noVBand="1" w:val="04A0"/>
      </w:tblPr>
      <w:tblGrid>
        <w:gridCol w:w="3024"/>
        <w:gridCol w:w="6768"/>
      </w:tblGrid>
      <w:tr>
        <w:tc>
          <w:tcPr>
            <w:tcW w:type="dxa" w:w="4968"/>
            <w:shd w:fill="10212E"/>
          </w:tcPr>
          <w:p>
            <w:r>
              <w:rPr>
                <w:rFonts w:ascii="Aptos" w:hAnsi="Aptos"/>
                <w:b/>
                <w:color w:val="FFFFFF"/>
                <w:sz w:val="19"/>
              </w:rPr>
              <w:t>Item</w:t>
            </w:r>
          </w:p>
        </w:tc>
        <w:tc>
          <w:tcPr>
            <w:tcW w:type="dxa" w:w="4968"/>
            <w:shd w:fill="10212E"/>
          </w:tcPr>
          <w:p>
            <w:r>
              <w:rPr>
                <w:rFonts w:ascii="Aptos" w:hAnsi="Aptos"/>
                <w:b/>
                <w:color w:val="FFFFFF"/>
                <w:sz w:val="19"/>
              </w:rPr>
              <w:t>Exact requirement</w:t>
            </w:r>
          </w:p>
        </w:tc>
      </w:tr>
      <w:tr>
        <w:tc>
          <w:tcPr>
            <w:tcW w:type="dxa" w:w="3024"/>
            <w:vAlign w:val="top"/>
            <w:shd w:fill="F7FAFB"/>
            <w:tcBorders>
              <w:bottom w:val="single" w:sz="4" w:color="E1E8EC"/>
            </w:tcBorders>
          </w:tcPr>
          <w:p>
            <w:r>
              <w:rPr>
                <w:rFonts w:ascii="Aptos" w:hAnsi="Aptos"/>
                <w:b/>
                <w:color w:val="1E2A33"/>
                <w:sz w:val="19"/>
              </w:rPr>
              <w:t>10,000 AI words</w:t>
            </w:r>
          </w:p>
        </w:tc>
        <w:tc>
          <w:tcPr>
            <w:tcW w:type="dxa" w:w="6768"/>
            <w:vAlign w:val="top"/>
            <w:shd w:fill="F7FAFB"/>
            <w:tcBorders>
              <w:bottom w:val="single" w:sz="4" w:color="E1E8EC"/>
            </w:tcBorders>
          </w:tcPr>
          <w:p>
            <w:r>
              <w:rPr>
                <w:rFonts w:ascii="Aptos" w:hAnsi="Aptos"/>
                <w:b w:val="0"/>
                <w:color w:val="1E2A33"/>
                <w:sz w:val="19"/>
              </w:rPr>
              <w:t>One-time - $4.95</w:t>
            </w:r>
          </w:p>
        </w:tc>
      </w:tr>
      <w:tr>
        <w:tc>
          <w:tcPr>
            <w:tcW w:type="dxa" w:w="3024"/>
            <w:vAlign w:val="top"/>
            <w:tcBorders>
              <w:bottom w:val="single" w:sz="4" w:color="E1E8EC"/>
            </w:tcBorders>
          </w:tcPr>
          <w:p>
            <w:r>
              <w:rPr>
                <w:rFonts w:ascii="Aptos" w:hAnsi="Aptos"/>
                <w:b/>
                <w:color w:val="1E2A33"/>
                <w:sz w:val="19"/>
              </w:rPr>
              <w:t>50,000 AI words</w:t>
            </w:r>
          </w:p>
        </w:tc>
        <w:tc>
          <w:tcPr>
            <w:tcW w:type="dxa" w:w="6768"/>
            <w:vAlign w:val="top"/>
            <w:tcBorders>
              <w:bottom w:val="single" w:sz="4" w:color="E1E8EC"/>
            </w:tcBorders>
          </w:tcPr>
          <w:p>
            <w:r>
              <w:rPr>
                <w:rFonts w:ascii="Aptos" w:hAnsi="Aptos"/>
                <w:b w:val="0"/>
                <w:color w:val="1E2A33"/>
                <w:sz w:val="19"/>
              </w:rPr>
              <w:t>One-time - $9.95</w:t>
            </w:r>
          </w:p>
        </w:tc>
      </w:tr>
      <w:tr>
        <w:tc>
          <w:tcPr>
            <w:tcW w:type="dxa" w:w="3024"/>
            <w:vAlign w:val="top"/>
            <w:shd w:fill="F7FAFB"/>
            <w:tcBorders>
              <w:bottom w:val="single" w:sz="4" w:color="E1E8EC"/>
            </w:tcBorders>
          </w:tcPr>
          <w:p>
            <w:r>
              <w:rPr>
                <w:rFonts w:ascii="Aptos" w:hAnsi="Aptos"/>
                <w:b/>
                <w:color w:val="1E2A33"/>
                <w:sz w:val="19"/>
              </w:rPr>
              <w:t>100,000 AI words</w:t>
            </w:r>
          </w:p>
        </w:tc>
        <w:tc>
          <w:tcPr>
            <w:tcW w:type="dxa" w:w="6768"/>
            <w:vAlign w:val="top"/>
            <w:shd w:fill="F7FAFB"/>
            <w:tcBorders>
              <w:bottom w:val="single" w:sz="4" w:color="E1E8EC"/>
            </w:tcBorders>
          </w:tcPr>
          <w:p>
            <w:r>
              <w:rPr>
                <w:rFonts w:ascii="Aptos" w:hAnsi="Aptos"/>
                <w:b w:val="0"/>
                <w:color w:val="1E2A33"/>
                <w:sz w:val="19"/>
              </w:rPr>
              <w:t>Monthly - $12.95/month</w:t>
            </w:r>
          </w:p>
        </w:tc>
      </w:tr>
      <w:tr>
        <w:tc>
          <w:tcPr>
            <w:tcW w:type="dxa" w:w="3024"/>
            <w:vAlign w:val="top"/>
            <w:tcBorders>
              <w:bottom w:val="single" w:sz="4" w:color="E1E8EC"/>
            </w:tcBorders>
          </w:tcPr>
          <w:p>
            <w:r>
              <w:rPr>
                <w:rFonts w:ascii="Aptos" w:hAnsi="Aptos"/>
                <w:b/>
                <w:color w:val="1E2A33"/>
                <w:sz w:val="19"/>
              </w:rPr>
              <w:t>300,000 AI words</w:t>
            </w:r>
          </w:p>
        </w:tc>
        <w:tc>
          <w:tcPr>
            <w:tcW w:type="dxa" w:w="6768"/>
            <w:vAlign w:val="top"/>
            <w:tcBorders>
              <w:bottom w:val="single" w:sz="4" w:color="E1E8EC"/>
            </w:tcBorders>
          </w:tcPr>
          <w:p>
            <w:r>
              <w:rPr>
                <w:rFonts w:ascii="Aptos" w:hAnsi="Aptos"/>
                <w:b w:val="0"/>
                <w:color w:val="1E2A33"/>
                <w:sz w:val="19"/>
              </w:rPr>
              <w:t>Monthly - $25.95/month</w:t>
            </w:r>
          </w:p>
        </w:tc>
      </w:tr>
      <w:tr>
        <w:tc>
          <w:tcPr>
            <w:tcW w:type="dxa" w:w="3024"/>
            <w:vAlign w:val="top"/>
            <w:shd w:fill="F7FAFB"/>
            <w:tcBorders>
              <w:bottom w:val="single" w:sz="4" w:color="E1E8EC"/>
            </w:tcBorders>
          </w:tcPr>
          <w:p>
            <w:r>
              <w:rPr>
                <w:rFonts w:ascii="Aptos" w:hAnsi="Aptos"/>
                <w:b/>
                <w:color w:val="1E2A33"/>
                <w:sz w:val="19"/>
              </w:rPr>
              <w:t>500,000 AI words</w:t>
            </w:r>
          </w:p>
        </w:tc>
        <w:tc>
          <w:tcPr>
            <w:tcW w:type="dxa" w:w="6768"/>
            <w:vAlign w:val="top"/>
            <w:shd w:fill="F7FAFB"/>
            <w:tcBorders>
              <w:bottom w:val="single" w:sz="4" w:color="E1E8EC"/>
            </w:tcBorders>
          </w:tcPr>
          <w:p>
            <w:r>
              <w:rPr>
                <w:rFonts w:ascii="Aptos" w:hAnsi="Aptos"/>
                <w:b w:val="0"/>
                <w:color w:val="1E2A33"/>
                <w:sz w:val="19"/>
              </w:rPr>
              <w:t>Monthly - $35.95/month</w:t>
            </w:r>
          </w:p>
        </w:tc>
      </w:tr>
      <w:tr>
        <w:tc>
          <w:tcPr>
            <w:tcW w:type="dxa" w:w="3024"/>
            <w:vAlign w:val="top"/>
            <w:tcBorders>
              <w:bottom w:val="single" w:sz="4" w:color="E1E8EC"/>
            </w:tcBorders>
          </w:tcPr>
          <w:p>
            <w:r>
              <w:rPr>
                <w:rFonts w:ascii="Aptos" w:hAnsi="Aptos"/>
                <w:b/>
                <w:color w:val="1E2A33"/>
                <w:sz w:val="19"/>
              </w:rPr>
              <w:t>1,000,000 AI words</w:t>
            </w:r>
          </w:p>
        </w:tc>
        <w:tc>
          <w:tcPr>
            <w:tcW w:type="dxa" w:w="6768"/>
            <w:vAlign w:val="top"/>
            <w:tcBorders>
              <w:bottom w:val="single" w:sz="4" w:color="E1E8EC"/>
            </w:tcBorders>
          </w:tcPr>
          <w:p>
            <w:r>
              <w:rPr>
                <w:rFonts w:ascii="Aptos" w:hAnsi="Aptos"/>
                <w:b w:val="0"/>
                <w:color w:val="1E2A33"/>
                <w:sz w:val="19"/>
              </w:rPr>
              <w:t>Yearly - $55.95/year</w:t>
            </w:r>
          </w:p>
        </w:tc>
      </w:tr>
      <w:tr>
        <w:tc>
          <w:tcPr>
            <w:tcW w:type="dxa" w:w="3024"/>
            <w:vAlign w:val="top"/>
            <w:shd w:fill="F7FAFB"/>
            <w:tcBorders>
              <w:bottom w:val="single" w:sz="4" w:color="E1E8EC"/>
            </w:tcBorders>
          </w:tcPr>
          <w:p>
            <w:r>
              <w:rPr>
                <w:rFonts w:ascii="Aptos" w:hAnsi="Aptos"/>
                <w:b/>
                <w:color w:val="1E2A33"/>
                <w:sz w:val="19"/>
              </w:rPr>
              <w:t>3,000,000 AI words</w:t>
            </w:r>
          </w:p>
        </w:tc>
        <w:tc>
          <w:tcPr>
            <w:tcW w:type="dxa" w:w="6768"/>
            <w:vAlign w:val="top"/>
            <w:shd w:fill="F7FAFB"/>
            <w:tcBorders>
              <w:bottom w:val="single" w:sz="4" w:color="E1E8EC"/>
            </w:tcBorders>
          </w:tcPr>
          <w:p>
            <w:r>
              <w:rPr>
                <w:rFonts w:ascii="Aptos" w:hAnsi="Aptos"/>
                <w:b w:val="0"/>
                <w:color w:val="1E2A33"/>
                <w:sz w:val="19"/>
              </w:rPr>
              <w:t>Yearly - $125.95/year</w:t>
            </w:r>
          </w:p>
        </w:tc>
      </w:tr>
      <w:tr>
        <w:tc>
          <w:tcPr>
            <w:tcW w:type="dxa" w:w="3024"/>
            <w:vAlign w:val="top"/>
            <w:tcBorders>
              <w:bottom w:val="single" w:sz="4" w:color="E1E8EC"/>
            </w:tcBorders>
          </w:tcPr>
          <w:p>
            <w:r>
              <w:rPr>
                <w:rFonts w:ascii="Aptos" w:hAnsi="Aptos"/>
                <w:b/>
                <w:color w:val="1E2A33"/>
                <w:sz w:val="19"/>
              </w:rPr>
              <w:t>5,000,000 AI words</w:t>
            </w:r>
          </w:p>
        </w:tc>
        <w:tc>
          <w:tcPr>
            <w:tcW w:type="dxa" w:w="6768"/>
            <w:vAlign w:val="top"/>
            <w:tcBorders>
              <w:bottom w:val="single" w:sz="4" w:color="E1E8EC"/>
            </w:tcBorders>
          </w:tcPr>
          <w:p>
            <w:r>
              <w:rPr>
                <w:rFonts w:ascii="Aptos" w:hAnsi="Aptos"/>
                <w:b w:val="0"/>
                <w:color w:val="1E2A33"/>
                <w:sz w:val="19"/>
              </w:rPr>
              <w:t>Yearly - $215.95/year</w:t>
            </w:r>
          </w:p>
        </w:tc>
      </w:tr>
    </w:tbl>
    <w:p/>
    <w:tbl>
      <w:tblPr>
        <w:tblW w:type="auto" w:w="0"/>
        <w:jc w:val="center"/>
        <w:tblLayout w:type="autofit"/>
        <w:tblLook w:firstColumn="1" w:firstRow="1" w:lastColumn="0" w:lastRow="0" w:noHBand="0" w:noVBand="1" w:val="04A0"/>
      </w:tblPr>
      <w:tblGrid>
        <w:gridCol w:w="9936"/>
      </w:tblGrid>
      <w:tr>
        <w:trPr>
          <w:cantSplit/>
        </w:trPr>
        <w:tc>
          <w:tcPr>
            <w:tcW w:type="dxa" w:w="9936"/>
            <w:shd w:fill="EEF9FA"/>
            <w:tcBorders>
              <w:top w:val="single" w:sz="8" w:color="8ED5DF"/>
              <w:left w:val="single" w:sz="8" w:color="8ED5DF"/>
              <w:bottom w:val="single" w:sz="8" w:color="8ED5DF"/>
              <w:right w:val="single" w:sz="8" w:color="8ED5DF"/>
            </w:tcBorders>
          </w:tcPr>
          <w:p>
            <w:pPr>
              <w:spacing w:after="60"/>
            </w:pPr>
            <w:r>
              <w:rPr>
                <w:rFonts w:ascii="Aptos" w:hAnsi="Aptos"/>
                <w:b/>
                <w:color w:val="0B4D59"/>
                <w:sz w:val="22"/>
              </w:rPr>
              <w:t>Production rule</w:t>
            </w:r>
          </w:p>
          <w:p>
            <w:pPr>
              <w:spacing w:after="0"/>
            </w:pPr>
            <w:r>
              <w:rPr>
                <w:rFonts w:ascii="Aptos" w:hAnsi="Aptos"/>
                <w:color w:val="24313A"/>
                <w:sz w:val="20"/>
              </w:rPr>
              <w:t>These values are an approved prototype baseline, not permission to maintain a second manual billing source. Production must read the authoritative pricing/entitlement source.</w:t>
            </w:r>
          </w:p>
        </w:tc>
      </w:tr>
    </w:tbl>
    <w:p>
      <w:pPr>
        <w:spacing w:after="0"/>
      </w:pPr>
    </w:p>
    <w:p>
      <w:pPr>
        <w:pStyle w:val="Heading1"/>
        <w:keepNext/>
      </w:pPr>
      <w:r>
        <w:t>5. P0/P1 - remove ambiguous Storage wording</w:t>
      </w:r>
    </w:p>
    <w:tbl>
      <w:tblPr>
        <w:tblW w:type="auto" w:w="0"/>
        <w:jc w:val="center"/>
        <w:tblLayout w:type="autofit"/>
        <w:tblLook w:firstColumn="1" w:firstRow="1" w:lastColumn="0" w:lastRow="0" w:noHBand="0" w:noVBand="1" w:val="04A0"/>
      </w:tblPr>
      <w:tblGrid>
        <w:gridCol w:w="9936"/>
      </w:tblGrid>
      <w:tr>
        <w:trPr>
          <w:cantSplit/>
        </w:trPr>
        <w:tc>
          <w:tcPr>
            <w:tcW w:type="dxa" w:w="9936"/>
            <w:shd w:fill="FFF6F2"/>
            <w:tcBorders>
              <w:top w:val="single" w:sz="8" w:color="F3A28F"/>
              <w:left w:val="single" w:sz="8" w:color="F3A28F"/>
              <w:bottom w:val="single" w:sz="8" w:color="F3A28F"/>
              <w:right w:val="single" w:sz="8" w:color="F3A28F"/>
            </w:tcBorders>
          </w:tcPr>
          <w:p>
            <w:pPr>
              <w:spacing w:after="60"/>
            </w:pPr>
            <w:r>
              <w:rPr>
                <w:rFonts w:ascii="Aptos" w:hAnsi="Aptos"/>
                <w:b/>
                <w:color w:val="A33C2C"/>
                <w:sz w:val="22"/>
              </w:rPr>
              <w:t>Why this matters</w:t>
            </w:r>
          </w:p>
          <w:p>
            <w:pPr>
              <w:spacing w:after="0"/>
            </w:pPr>
            <w:r>
              <w:rPr>
                <w:rFonts w:ascii="Aptos" w:hAnsi="Aptos"/>
                <w:color w:val="24313A"/>
                <w:sz w:val="20"/>
              </w:rPr>
              <w:t>On this page, bare Storage can be confused with Organization Storage, which is a separate repository/search concept elsewhere in PlagiarismSearch. In plan-entitlement copy, use the exact production feature label. The intended label here is report storage unless the production widget confirms a different exact name.</w:t>
            </w:r>
          </w:p>
        </w:tc>
      </w:tr>
    </w:tbl>
    <w:p>
      <w:pPr>
        <w:spacing w:after="0"/>
      </w:pPr>
    </w:p>
    <w:p>
      <w:pPr>
        <w:pStyle w:val="Heading2"/>
        <w:keepNext/>
      </w:pPr>
      <w:r>
        <w:t>Replacement 1 - Core Product Value intro</w:t>
      </w:r>
    </w:p>
    <w:p>
      <w:r>
        <w:rPr>
          <w:rFonts w:ascii="Aptos" w:hAnsi="Aptos"/>
          <w:b/>
          <w:color w:val="A33C2C"/>
          <w:sz w:val="19"/>
        </w:rPr>
        <w:t xml:space="preserve">REPLACE: </w:t>
      </w:r>
      <w:r>
        <w:rPr>
          <w:rFonts w:ascii="Aptos" w:hAnsi="Aptos"/>
          <w:color w:val="25333D"/>
          <w:sz w:val="21"/>
        </w:rPr>
        <w:t>The pricing cards above show which plans include additional features such as API access, Storage, or AI allowance.</w:t>
      </w:r>
    </w:p>
    <w:p>
      <w:r>
        <w:rPr>
          <w:rFonts w:ascii="Aptos" w:hAnsi="Aptos"/>
          <w:b/>
          <w:color w:val="08798C"/>
          <w:sz w:val="19"/>
        </w:rPr>
        <w:t xml:space="preserve">WITH: </w:t>
      </w:r>
      <w:r>
        <w:rPr>
          <w:rFonts w:ascii="Aptos" w:hAnsi="Aptos"/>
          <w:b/>
          <w:color w:val="10212E"/>
          <w:sz w:val="21"/>
        </w:rPr>
        <w:t>The pricing widget above shows which plans include additional features such as API access, report storage, or an AI allowance.</w:t>
      </w:r>
    </w:p>
    <w:p>
      <w:pPr>
        <w:pStyle w:val="Heading2"/>
        <w:keepNext/>
      </w:pPr>
      <w:r>
        <w:t>Replacement 2 - FAQ question</w:t>
      </w:r>
    </w:p>
    <w:p>
      <w:r>
        <w:rPr>
          <w:rFonts w:ascii="Aptos" w:hAnsi="Aptos"/>
          <w:b/>
          <w:color w:val="10212E"/>
          <w:sz w:val="22"/>
        </w:rPr>
        <w:t>Do all plans include API access and report storage?</w:t>
      </w:r>
    </w:p>
    <w:p>
      <w:pPr>
        <w:pStyle w:val="Heading2"/>
        <w:keepNext/>
      </w:pPr>
      <w:r>
        <w:t>Replacement 3 - FAQ answer</w:t>
      </w:r>
    </w:p>
    <w:p>
      <w:pPr>
        <w:ind w:left="288"/>
      </w:pPr>
      <w:r>
        <w:rPr>
          <w:rFonts w:ascii="Aptos" w:hAnsi="Aptos"/>
          <w:color w:val="25333D"/>
          <w:sz w:val="21"/>
        </w:rPr>
        <w:t>No. API access and report storage are plan-specific features. Check the current pricing widget to see which options are included with the plan you are considering.</w:t>
      </w:r>
    </w:p>
    <w:tbl>
      <w:tblPr>
        <w:tblW w:type="auto" w:w="0"/>
        <w:jc w:val="center"/>
        <w:tblLayout w:type="autofit"/>
        <w:tblLook w:firstColumn="1" w:firstRow="1" w:lastColumn="0" w:lastRow="0" w:noHBand="0" w:noVBand="1" w:val="04A0"/>
      </w:tblPr>
      <w:tblGrid>
        <w:gridCol w:w="9936"/>
      </w:tblGrid>
      <w:tr>
        <w:trPr>
          <w:cantSplit/>
        </w:trPr>
        <w:tc>
          <w:tcPr>
            <w:tcW w:type="dxa" w:w="9936"/>
            <w:shd w:fill="EEF9FA"/>
            <w:tcBorders>
              <w:top w:val="single" w:sz="8" w:color="8ED5DF"/>
              <w:left w:val="single" w:sz="8" w:color="8ED5DF"/>
              <w:bottom w:val="single" w:sz="8" w:color="8ED5DF"/>
              <w:right w:val="single" w:sz="8" w:color="8ED5DF"/>
            </w:tcBorders>
          </w:tcPr>
          <w:p>
            <w:pPr>
              <w:spacing w:after="60"/>
            </w:pPr>
            <w:r>
              <w:rPr>
                <w:rFonts w:ascii="Aptos" w:hAnsi="Aptos"/>
                <w:b/>
                <w:color w:val="0B4D59"/>
                <w:sz w:val="22"/>
              </w:rPr>
              <w:t>Global wording check</w:t>
            </w:r>
          </w:p>
          <w:p>
            <w:pPr>
              <w:spacing w:after="0"/>
            </w:pPr>
            <w:r>
              <w:rPr>
                <w:rFonts w:ascii="Aptos" w:hAnsi="Aptos"/>
                <w:color w:val="24313A"/>
                <w:sz w:val="20"/>
              </w:rPr>
              <w:t>Search the Pricing page source for standalone Storage used as a plan feature. Replace it with the exact production entitlement label. Do not change true Organization Storage references on other pages, and do not assume report storage equals Organization Storage.</w:t>
            </w:r>
          </w:p>
        </w:tc>
      </w:tr>
    </w:tbl>
    <w:p>
      <w:pPr>
        <w:spacing w:after="0"/>
      </w:pPr>
    </w:p>
    <w:p>
      <w:pPr>
        <w:pStyle w:val="Heading1"/>
        <w:keepNext/>
      </w:pPr>
      <w:r>
        <w:t>6. P1 - refine Core Product Value without turning Pricing into a product landing page</w:t>
      </w:r>
    </w:p>
    <w:p>
      <w:r>
        <w:rPr>
          <w:rFonts w:ascii="Aptos" w:hAnsi="Aptos"/>
          <w:b/>
          <w:color w:val="10212E"/>
          <w:sz w:val="21"/>
        </w:rPr>
        <w:t xml:space="preserve">Keep the current H2: </w:t>
      </w:r>
      <w:r>
        <w:rPr>
          <w:rFonts w:ascii="Aptos" w:hAnsi="Aptos"/>
          <w:color w:val="25333D"/>
          <w:sz w:val="21"/>
        </w:rPr>
        <w:t>A plagiarism check you can inspect, not just a score</w:t>
      </w:r>
    </w:p>
    <w:p>
      <w:pPr>
        <w:pStyle w:val="Heading2"/>
        <w:keepNext/>
      </w:pPr>
      <w:r>
        <w:t>Replace the intro paragraph with</w:t>
      </w:r>
    </w:p>
    <w:p>
      <w:pPr>
        <w:ind w:left="288"/>
      </w:pPr>
      <w:r>
        <w:rPr>
          <w:rFonts w:ascii="Aptos" w:hAnsi="Aptos"/>
          <w:color w:val="25333D"/>
          <w:sz w:val="21"/>
        </w:rPr>
        <w:t>PlagiarismSearch shows where matches appear and which sources they come from, so you can review the result instead of relying on a single percentage. Core checking supports web and academic source comparison, text or document input, scan controls, and downloadable PDF reports. The pricing widget above shows which plans add plan-specific features such as API access, report storage, or an AI allowance.</w:t>
      </w:r>
    </w:p>
    <w:p>
      <w:pPr>
        <w:pStyle w:val="Heading2"/>
        <w:keepNext/>
      </w:pPr>
      <w:r>
        <w:t>Replace the six equal capability cards with three content groups</w:t>
      </w:r>
    </w:p>
    <w:tbl>
      <w:tblPr>
        <w:tblW w:type="auto" w:w="0"/>
        <w:jc w:val="center"/>
        <w:tblLayout w:type="autofit"/>
        <w:tblLook w:firstColumn="1" w:firstRow="1" w:lastColumn="0" w:lastRow="0" w:noHBand="0" w:noVBand="1" w:val="04A0"/>
      </w:tblPr>
      <w:tblGrid>
        <w:gridCol w:w="9936"/>
      </w:tblGrid>
      <w:tr>
        <w:trPr>
          <w:cantSplit/>
        </w:trPr>
        <w:tc>
          <w:tcPr>
            <w:tcW w:type="dxa" w:w="9936"/>
            <w:shd w:fill="EEF9FA"/>
            <w:tcBorders>
              <w:top w:val="single" w:sz="8" w:color="8ED5DF"/>
              <w:left w:val="single" w:sz="8" w:color="8ED5DF"/>
              <w:bottom w:val="single" w:sz="8" w:color="8ED5DF"/>
              <w:right w:val="single" w:sz="8" w:color="8ED5DF"/>
            </w:tcBorders>
          </w:tcPr>
          <w:p>
            <w:pPr>
              <w:spacing w:after="60"/>
            </w:pPr>
            <w:r>
              <w:rPr>
                <w:rFonts w:ascii="Aptos" w:hAnsi="Aptos"/>
                <w:b/>
                <w:color w:val="0B4D59"/>
                <w:sz w:val="22"/>
              </w:rPr>
              <w:t>Design freedom</w:t>
            </w:r>
          </w:p>
          <w:p>
            <w:pPr>
              <w:spacing w:after="0"/>
            </w:pPr>
            <w:r>
              <w:rPr>
                <w:rFonts w:ascii="Aptos" w:hAnsi="Aptos"/>
                <w:color w:val="24313A"/>
                <w:sz w:val="20"/>
              </w:rPr>
              <w:t>These are content groups, not three prescribed cards. Claude may use an asymmetric composition, grouped evidence, a compact visual system, or another treatment inside the approved design language. Do not insert a second full-size report demo on this Pricing page.</w:t>
            </w:r>
          </w:p>
        </w:tc>
      </w:tr>
    </w:tbl>
    <w:p>
      <w:pPr>
        <w:spacing w:after="0"/>
      </w:pPr>
    </w:p>
    <w:tbl>
      <w:tblPr>
        <w:tblW w:type="auto" w:w="0"/>
        <w:jc w:val="center"/>
        <w:tblLayout w:type="fixed"/>
        <w:tblLook w:firstColumn="1" w:firstRow="1" w:lastColumn="0" w:lastRow="0" w:noHBand="0" w:noVBand="1" w:val="04A0"/>
      </w:tblPr>
      <w:tblGrid>
        <w:gridCol w:w="3024"/>
        <w:gridCol w:w="6768"/>
      </w:tblGrid>
      <w:tr>
        <w:tc>
          <w:tcPr>
            <w:tcW w:type="dxa" w:w="4968"/>
            <w:shd w:fill="10212E"/>
          </w:tcPr>
          <w:p>
            <w:r>
              <w:rPr>
                <w:rFonts w:ascii="Aptos" w:hAnsi="Aptos"/>
                <w:b/>
                <w:color w:val="FFFFFF"/>
                <w:sz w:val="19"/>
              </w:rPr>
              <w:t>Item</w:t>
            </w:r>
          </w:p>
        </w:tc>
        <w:tc>
          <w:tcPr>
            <w:tcW w:type="dxa" w:w="4968"/>
            <w:shd w:fill="10212E"/>
          </w:tcPr>
          <w:p>
            <w:r>
              <w:rPr>
                <w:rFonts w:ascii="Aptos" w:hAnsi="Aptos"/>
                <w:b/>
                <w:color w:val="FFFFFF"/>
                <w:sz w:val="19"/>
              </w:rPr>
              <w:t>Exact requirement</w:t>
            </w:r>
          </w:p>
        </w:tc>
      </w:tr>
      <w:tr>
        <w:tc>
          <w:tcPr>
            <w:tcW w:type="dxa" w:w="3024"/>
            <w:vAlign w:val="top"/>
            <w:shd w:fill="F7FAFB"/>
            <w:tcBorders>
              <w:bottom w:val="single" w:sz="4" w:color="E1E8EC"/>
            </w:tcBorders>
          </w:tcPr>
          <w:p>
            <w:r>
              <w:rPr>
                <w:rFonts w:ascii="Aptos" w:hAnsi="Aptos"/>
                <w:b/>
                <w:color w:val="1E2A33"/>
                <w:sz w:val="19"/>
              </w:rPr>
              <w:t>Compare with sources</w:t>
            </w:r>
          </w:p>
        </w:tc>
        <w:tc>
          <w:tcPr>
            <w:tcW w:type="dxa" w:w="6768"/>
            <w:vAlign w:val="top"/>
            <w:shd w:fill="F7FAFB"/>
            <w:tcBorders>
              <w:bottom w:val="single" w:sz="4" w:color="E1E8EC"/>
            </w:tcBorders>
          </w:tcPr>
          <w:p>
            <w:r>
              <w:rPr>
                <w:rFonts w:ascii="Aptos" w:hAnsi="Aptos"/>
                <w:b w:val="0"/>
                <w:color w:val="1E2A33"/>
                <w:sz w:val="19"/>
              </w:rPr>
              <w:t>H3: Compare with web and academic sources</w:t>
              <w:br/>
              <w:t>Body: Compare submitted content with sources available on the web and more than 500 million indexed academic texts.</w:t>
              <w:br/>
              <w:t>Proof: 500M+ indexed academic texts</w:t>
            </w:r>
          </w:p>
        </w:tc>
      </w:tr>
      <w:tr>
        <w:tc>
          <w:tcPr>
            <w:tcW w:type="dxa" w:w="3024"/>
            <w:vAlign w:val="top"/>
            <w:tcBorders>
              <w:bottom w:val="single" w:sz="4" w:color="E1E8EC"/>
            </w:tcBorders>
          </w:tcPr>
          <w:p>
            <w:r>
              <w:rPr>
                <w:rFonts w:ascii="Aptos" w:hAnsi="Aptos"/>
                <w:b/>
                <w:color w:val="1E2A33"/>
                <w:sz w:val="19"/>
              </w:rPr>
              <w:t>Inspect the result</w:t>
            </w:r>
          </w:p>
        </w:tc>
        <w:tc>
          <w:tcPr>
            <w:tcW w:type="dxa" w:w="6768"/>
            <w:vAlign w:val="top"/>
            <w:tcBorders>
              <w:bottom w:val="single" w:sz="4" w:color="E1E8EC"/>
            </w:tcBorders>
          </w:tcPr>
          <w:p>
            <w:r>
              <w:rPr>
                <w:rFonts w:ascii="Aptos" w:hAnsi="Aptos"/>
                <w:b w:val="0"/>
                <w:color w:val="1E2A33"/>
                <w:sz w:val="19"/>
              </w:rPr>
              <w:t>H3: Inspect matches source by source</w:t>
              <w:br/>
              <w:t>Body: Review where matching or similar text appears and open the corresponding source to understand the result in context.</w:t>
            </w:r>
          </w:p>
        </w:tc>
      </w:tr>
      <w:tr>
        <w:tc>
          <w:tcPr>
            <w:tcW w:type="dxa" w:w="3024"/>
            <w:vAlign w:val="top"/>
            <w:shd w:fill="F7FAFB"/>
            <w:tcBorders>
              <w:bottom w:val="single" w:sz="4" w:color="E1E8EC"/>
            </w:tcBorders>
          </w:tcPr>
          <w:p>
            <w:r>
              <w:rPr>
                <w:rFonts w:ascii="Aptos" w:hAnsi="Aptos"/>
                <w:b/>
                <w:color w:val="1E2A33"/>
                <w:sz w:val="19"/>
              </w:rPr>
              <w:t>Use the workflow you need</w:t>
            </w:r>
          </w:p>
        </w:tc>
        <w:tc>
          <w:tcPr>
            <w:tcW w:type="dxa" w:w="6768"/>
            <w:vAlign w:val="top"/>
            <w:shd w:fill="F7FAFB"/>
            <w:tcBorders>
              <w:bottom w:val="single" w:sz="4" w:color="E1E8EC"/>
            </w:tcBorders>
          </w:tcPr>
          <w:p>
            <w:r>
              <w:rPr>
                <w:rFonts w:ascii="Aptos" w:hAnsi="Aptos"/>
                <w:b w:val="0"/>
                <w:color w:val="1E2A33"/>
                <w:sz w:val="19"/>
              </w:rPr>
              <w:t>H3: Check text or documents your way</w:t>
              <w:br/>
              <w:t>Body: Paste text or upload a supported document, exclude references and in-text citations when appropriate, and download or print a PDF report when you need an offline copy.</w:t>
            </w:r>
          </w:p>
        </w:tc>
      </w:tr>
    </w:tbl>
    <w:p/>
    <w:p>
      <w:r>
        <w:rPr>
          <w:rFonts w:ascii="Aptos" w:hAnsi="Aptos"/>
          <w:b/>
          <w:color w:val="10212E"/>
          <w:sz w:val="21"/>
        </w:rPr>
        <w:t xml:space="preserve">Required factual coverage retained: </w:t>
      </w:r>
      <w:r>
        <w:rPr>
          <w:rFonts w:ascii="Aptos" w:hAnsi="Aptos"/>
          <w:color w:val="25333D"/>
          <w:sz w:val="21"/>
        </w:rPr>
        <w:t>web sources; 500M+ indexed academic texts; interactive/source-by-source match review; text input; supported document upload; references/in-text citation exclusions; PDF report.</w:t>
      </w:r>
    </w:p>
    <w:p>
      <w:pPr>
        <w:pStyle w:val="Heading1"/>
        <w:keepNext/>
      </w:pPr>
      <w:r>
        <w:t>7. P1 - correct section order</w:t>
      </w:r>
    </w:p>
    <w:p>
      <w:r>
        <w:rPr>
          <w:rFonts w:ascii="Aptos" w:hAnsi="Aptos"/>
          <w:b/>
          <w:color w:val="10212E"/>
          <w:sz w:val="21"/>
        </w:rPr>
        <w:t xml:space="preserve">Current commercial order: </w:t>
      </w:r>
      <w:r>
        <w:rPr>
          <w:rFonts w:ascii="Aptos" w:hAnsi="Aptos"/>
          <w:color w:val="25333D"/>
          <w:sz w:val="21"/>
        </w:rPr>
        <w:t>Main Pricing -&gt; Core Value -&gt; AI Pricing -&gt; Optional Services -&gt; Custom &amp; High Volume -&gt; FAQ -&gt; Free Check.</w:t>
      </w:r>
    </w:p>
    <w:p>
      <w:r>
        <w:rPr>
          <w:rFonts w:ascii="Aptos" w:hAnsi="Aptos"/>
          <w:b/>
          <w:color w:val="08798C"/>
          <w:sz w:val="21"/>
        </w:rPr>
        <w:t xml:space="preserve">Required order: </w:t>
      </w:r>
      <w:r>
        <w:rPr>
          <w:rFonts w:ascii="Aptos" w:hAnsi="Aptos"/>
          <w:b/>
          <w:color w:val="10212E"/>
          <w:sz w:val="21"/>
        </w:rPr>
        <w:t>Main Pricing -&gt; Core Value -&gt; AI Pricing -&gt; Custom &amp; High Volume -&gt; Optional Services -&gt; FAQ -&gt; Free Check.</w:t>
      </w:r>
    </w:p>
    <w:p>
      <w:r>
        <w:rPr>
          <w:rFonts w:ascii="Aptos" w:hAnsi="Aptos"/>
          <w:b/>
          <w:color w:val="10212E"/>
          <w:sz w:val="21"/>
        </w:rPr>
        <w:t xml:space="preserve">Reason: </w:t>
      </w:r>
      <w:r>
        <w:rPr>
          <w:rFonts w:ascii="Aptos" w:hAnsi="Aptos"/>
          <w:color w:val="25333D"/>
          <w:sz w:val="21"/>
        </w:rPr>
        <w:t>high-volume/custom access is a direct continuation of pricing intent; Paper Analysis, Spell Check, and Readability Check are peripheral optional services and must remain secondary.</w:t>
      </w:r>
    </w:p>
    <w:p>
      <w:pPr>
        <w:pStyle w:val="Heading1"/>
        <w:keepNext/>
      </w:pPr>
      <w:r>
        <w:t>8. P2 - clarify the Custom &amp; High Volume block</w:t>
      </w:r>
    </w:p>
    <w:p>
      <w:r>
        <w:rPr>
          <w:rFonts w:ascii="Aptos" w:hAnsi="Aptos"/>
          <w:b/>
          <w:color w:val="10212E"/>
          <w:sz w:val="21"/>
        </w:rPr>
        <w:t xml:space="preserve">Keep H2: </w:t>
      </w:r>
      <w:r>
        <w:rPr>
          <w:rFonts w:ascii="Aptos" w:hAnsi="Aptos"/>
          <w:color w:val="25333D"/>
          <w:sz w:val="21"/>
        </w:rPr>
        <w:t>Need a custom or high-volume option?</w:t>
      </w:r>
    </w:p>
    <w:p>
      <w:r>
        <w:rPr>
          <w:rFonts w:ascii="Aptos" w:hAnsi="Aptos"/>
          <w:b/>
          <w:color w:val="10212E"/>
          <w:sz w:val="21"/>
        </w:rPr>
        <w:t xml:space="preserve">Replace body with: </w:t>
      </w:r>
      <w:r>
        <w:rPr>
          <w:rFonts w:ascii="Aptos" w:hAnsi="Aptos"/>
          <w:b/>
          <w:color w:val="10212E"/>
          <w:sz w:val="21"/>
        </w:rPr>
        <w:t>If the standard pricing options do not fit your checking volume or requirements, explore the available custom and high-volume options.</w:t>
      </w:r>
    </w:p>
    <w:p>
      <w:r>
        <w:rPr>
          <w:rFonts w:ascii="Aptos" w:hAnsi="Aptos"/>
          <w:b/>
          <w:color w:val="10212E"/>
          <w:sz w:val="21"/>
        </w:rPr>
        <w:t xml:space="preserve">Replace CTA label with: </w:t>
      </w:r>
      <w:r>
        <w:rPr>
          <w:rFonts w:ascii="Aptos" w:hAnsi="Aptos"/>
          <w:b/>
          <w:color w:val="10212E"/>
          <w:sz w:val="21"/>
        </w:rPr>
        <w:t>Explore high-volume options</w:t>
      </w:r>
    </w:p>
    <w:p>
      <w:r>
        <w:rPr>
          <w:rFonts w:ascii="Aptos" w:hAnsi="Aptos"/>
          <w:b/>
          <w:color w:val="10212E"/>
          <w:sz w:val="21"/>
        </w:rPr>
        <w:t xml:space="preserve">Destination: </w:t>
      </w:r>
      <w:r>
        <w:rPr>
          <w:rFonts w:ascii="Aptos" w:hAnsi="Aptos"/>
          <w:color w:val="25333D"/>
          <w:sz w:val="21"/>
        </w:rPr>
        <w:t>/vip</w:t>
      </w:r>
    </w:p>
    <w:tbl>
      <w:tblPr>
        <w:tblW w:type="auto" w:w="0"/>
        <w:jc w:val="center"/>
        <w:tblLayout w:type="autofit"/>
        <w:tblLook w:firstColumn="1" w:firstRow="1" w:lastColumn="0" w:lastRow="0" w:noHBand="0" w:noVBand="1" w:val="04A0"/>
      </w:tblPr>
      <w:tblGrid>
        <w:gridCol w:w="9936"/>
      </w:tblGrid>
      <w:tr>
        <w:trPr>
          <w:cantSplit/>
        </w:trPr>
        <w:tc>
          <w:tcPr>
            <w:tcW w:type="dxa" w:w="9936"/>
            <w:shd w:fill="EEF9FA"/>
            <w:tcBorders>
              <w:top w:val="single" w:sz="8" w:color="8ED5DF"/>
              <w:left w:val="single" w:sz="8" w:color="8ED5DF"/>
              <w:bottom w:val="single" w:sz="8" w:color="8ED5DF"/>
              <w:right w:val="single" w:sz="8" w:color="8ED5DF"/>
            </w:tcBorders>
          </w:tcPr>
          <w:p>
            <w:pPr>
              <w:spacing w:after="60"/>
            </w:pPr>
            <w:r>
              <w:rPr>
                <w:rFonts w:ascii="Aptos" w:hAnsi="Aptos"/>
                <w:b/>
                <w:color w:val="0B4D59"/>
                <w:sz w:val="22"/>
              </w:rPr>
              <w:t>Do not invent VIP benefits</w:t>
            </w:r>
          </w:p>
          <w:p>
            <w:pPr>
              <w:spacing w:after="0"/>
            </w:pPr>
            <w:r>
              <w:rPr>
                <w:rFonts w:ascii="Aptos" w:hAnsi="Aptos"/>
                <w:color w:val="24313A"/>
                <w:sz w:val="20"/>
              </w:rPr>
              <w:t>Do not add dedicated manager, discounts, invoicing, custom Storage, submission limits, SLAs, or other VIP/high-volume benefits unless separately confirmed.</w:t>
            </w:r>
          </w:p>
        </w:tc>
      </w:tr>
    </w:tbl>
    <w:p>
      <w:pPr>
        <w:spacing w:after="0"/>
      </w:pPr>
    </w:p>
    <w:p>
      <w:pPr>
        <w:pStyle w:val="Heading1"/>
        <w:keepNext/>
      </w:pPr>
      <w:r>
        <w:t>9. Preserve these sections with no content redesign</w:t>
      </w:r>
    </w:p>
    <w:p>
      <w:pPr>
        <w:pStyle w:val="ListBullet"/>
        <w:spacing w:after="60"/>
      </w:pPr>
      <w:r>
        <w:rPr>
          <w:rFonts w:ascii="Aptos" w:hAnsi="Aptos"/>
          <w:color w:val="25333D"/>
          <w:sz w:val="21"/>
        </w:rPr>
        <w:t>Main Pricing Hero + production widget shell, except normal production binding and clean routes.</w:t>
      </w:r>
    </w:p>
    <w:p>
      <w:pPr>
        <w:pStyle w:val="ListBullet"/>
        <w:spacing w:after="60"/>
      </w:pPr>
      <w:r>
        <w:rPr>
          <w:rFonts w:ascii="Aptos" w:hAnsi="Aptos"/>
          <w:color w:val="25333D"/>
          <w:sz w:val="21"/>
        </w:rPr>
        <w:t>AI section heading, explanatory paragraph, AI/plagiarism distinction, Learn about AI detection link, and custom-volume Contact us link. Add selection/purchase interaction; do not rewrite the section into a new sales page.</w:t>
      </w:r>
    </w:p>
    <w:p>
      <w:pPr>
        <w:pStyle w:val="ListBullet"/>
        <w:spacing w:after="60"/>
      </w:pPr>
      <w:r>
        <w:rPr>
          <w:rFonts w:ascii="Aptos" w:hAnsi="Aptos"/>
          <w:color w:val="25333D"/>
          <w:sz w:val="21"/>
        </w:rPr>
        <w:t>Other Writing Services content and compact three-card treatment.</w:t>
      </w:r>
    </w:p>
    <w:p>
      <w:pPr>
        <w:pStyle w:val="ListBullet"/>
        <w:spacing w:after="60"/>
      </w:pPr>
      <w:r>
        <w:rPr>
          <w:rFonts w:ascii="Aptos" w:hAnsi="Aptos"/>
          <w:color w:val="25333D"/>
          <w:sz w:val="21"/>
        </w:rPr>
        <w:t>All Pricing FAQ questions/answers except the Storage wording correction above.</w:t>
      </w:r>
    </w:p>
    <w:p>
      <w:pPr>
        <w:pStyle w:val="ListBullet"/>
        <w:spacing w:after="60"/>
      </w:pPr>
      <w:r>
        <w:rPr>
          <w:rFonts w:ascii="Aptos" w:hAnsi="Aptos"/>
          <w:color w:val="25333D"/>
          <w:sz w:val="21"/>
        </w:rPr>
        <w:t>Final free-check CTA and its current plagiarism-only wording.</w:t>
      </w:r>
    </w:p>
    <w:p>
      <w:pPr>
        <w:pStyle w:val="Heading1"/>
        <w:keepNext/>
      </w:pPr>
      <w:r>
        <w:t>10. Production and technical gates</w:t>
      </w:r>
    </w:p>
    <w:tbl>
      <w:tblPr>
        <w:tblW w:type="auto" w:w="0"/>
        <w:jc w:val="center"/>
        <w:tblLayout w:type="fixed"/>
        <w:tblLook w:firstColumn="1" w:firstRow="1" w:lastColumn="0" w:lastRow="0" w:noHBand="0" w:noVBand="1" w:val="04A0"/>
      </w:tblPr>
      <w:tblGrid>
        <w:gridCol w:w="3024"/>
        <w:gridCol w:w="6768"/>
      </w:tblGrid>
      <w:tr>
        <w:tc>
          <w:tcPr>
            <w:tcW w:type="dxa" w:w="4968"/>
            <w:shd w:fill="10212E"/>
          </w:tcPr>
          <w:p>
            <w:r>
              <w:rPr>
                <w:rFonts w:ascii="Aptos" w:hAnsi="Aptos"/>
                <w:b/>
                <w:color w:val="FFFFFF"/>
                <w:sz w:val="19"/>
              </w:rPr>
              <w:t>Item</w:t>
            </w:r>
          </w:p>
        </w:tc>
        <w:tc>
          <w:tcPr>
            <w:tcW w:type="dxa" w:w="4968"/>
            <w:shd w:fill="10212E"/>
          </w:tcPr>
          <w:p>
            <w:r>
              <w:rPr>
                <w:rFonts w:ascii="Aptos" w:hAnsi="Aptos"/>
                <w:b/>
                <w:color w:val="FFFFFF"/>
                <w:sz w:val="19"/>
              </w:rPr>
              <w:t>Exact requirement</w:t>
            </w:r>
          </w:p>
        </w:tc>
      </w:tr>
      <w:tr>
        <w:tc>
          <w:tcPr>
            <w:tcW w:type="dxa" w:w="3024"/>
            <w:vAlign w:val="top"/>
            <w:shd w:fill="F7FAFB"/>
            <w:tcBorders>
              <w:bottom w:val="single" w:sz="4" w:color="E1E8EC"/>
            </w:tcBorders>
          </w:tcPr>
          <w:p>
            <w:r>
              <w:rPr>
                <w:rFonts w:ascii="Aptos" w:hAnsi="Aptos"/>
                <w:b/>
                <w:color w:val="1E2A33"/>
                <w:sz w:val="19"/>
              </w:rPr>
              <w:t>Main pricing data</w:t>
            </w:r>
          </w:p>
        </w:tc>
        <w:tc>
          <w:tcPr>
            <w:tcW w:type="dxa" w:w="6768"/>
            <w:vAlign w:val="top"/>
            <w:shd w:fill="F7FAFB"/>
            <w:tcBorders>
              <w:bottom w:val="single" w:sz="4" w:color="E1E8EC"/>
            </w:tcBorders>
          </w:tcPr>
          <w:p>
            <w:r>
              <w:rPr>
                <w:rFonts w:ascii="Aptos" w:hAnsi="Aptos"/>
                <w:b w:val="0"/>
                <w:color w:val="1E2A33"/>
                <w:sz w:val="19"/>
              </w:rPr>
              <w:t>Use the authoritative production pricing widget/data source shared with the Homepage. Do not ship prototype placeholder pricing-data.js as a second source of truth.</w:t>
            </w:r>
          </w:p>
        </w:tc>
      </w:tr>
      <w:tr>
        <w:tc>
          <w:tcPr>
            <w:tcW w:type="dxa" w:w="3024"/>
            <w:vAlign w:val="top"/>
            <w:tcBorders>
              <w:bottom w:val="single" w:sz="4" w:color="E1E8EC"/>
            </w:tcBorders>
          </w:tcPr>
          <w:p>
            <w:r>
              <w:rPr>
                <w:rFonts w:ascii="Aptos" w:hAnsi="Aptos"/>
                <w:b/>
                <w:color w:val="1E2A33"/>
                <w:sz w:val="19"/>
              </w:rPr>
              <w:t>AI pricing data</w:t>
            </w:r>
          </w:p>
        </w:tc>
        <w:tc>
          <w:tcPr>
            <w:tcW w:type="dxa" w:w="6768"/>
            <w:vAlign w:val="top"/>
            <w:tcBorders>
              <w:bottom w:val="single" w:sz="4" w:color="E1E8EC"/>
            </w:tcBorders>
          </w:tcPr>
          <w:p>
            <w:r>
              <w:rPr>
                <w:rFonts w:ascii="Aptos" w:hAnsi="Aptos"/>
                <w:b w:val="0"/>
                <w:color w:val="1E2A33"/>
                <w:sz w:val="19"/>
              </w:rPr>
              <w:t>Use the authoritative production pricing source. The prototype values are a verified snapshot only.</w:t>
            </w:r>
          </w:p>
        </w:tc>
      </w:tr>
      <w:tr>
        <w:tc>
          <w:tcPr>
            <w:tcW w:type="dxa" w:w="3024"/>
            <w:vAlign w:val="top"/>
            <w:shd w:fill="F7FAFB"/>
            <w:tcBorders>
              <w:bottom w:val="single" w:sz="4" w:color="E1E8EC"/>
            </w:tcBorders>
          </w:tcPr>
          <w:p>
            <w:r>
              <w:rPr>
                <w:rFonts w:ascii="Aptos" w:hAnsi="Aptos"/>
                <w:b/>
                <w:color w:val="1E2A33"/>
                <w:sz w:val="19"/>
              </w:rPr>
              <w:t>AI purchase action</w:t>
            </w:r>
          </w:p>
        </w:tc>
        <w:tc>
          <w:tcPr>
            <w:tcW w:type="dxa" w:w="6768"/>
            <w:vAlign w:val="top"/>
            <w:shd w:fill="F7FAFB"/>
            <w:tcBorders>
              <w:bottom w:val="single" w:sz="4" w:color="E1E8EC"/>
            </w:tcBorders>
          </w:tcPr>
          <w:p>
            <w:r>
              <w:rPr>
                <w:rFonts w:ascii="Aptos" w:hAnsi="Aptos"/>
                <w:b w:val="0"/>
                <w:color w:val="1E2A33"/>
                <w:sz w:val="19"/>
              </w:rPr>
              <w:t>Bind the selected AI package to the real purchase/account flow. Do not invent a URL.</w:t>
            </w:r>
          </w:p>
        </w:tc>
      </w:tr>
      <w:tr>
        <w:tc>
          <w:tcPr>
            <w:tcW w:type="dxa" w:w="3024"/>
            <w:vAlign w:val="top"/>
            <w:tcBorders>
              <w:bottom w:val="single" w:sz="4" w:color="E1E8EC"/>
            </w:tcBorders>
          </w:tcPr>
          <w:p>
            <w:r>
              <w:rPr>
                <w:rFonts w:ascii="Aptos" w:hAnsi="Aptos"/>
                <w:b/>
                <w:color w:val="1E2A33"/>
                <w:sz w:val="19"/>
              </w:rPr>
              <w:t>Clean routes</w:t>
            </w:r>
          </w:p>
        </w:tc>
        <w:tc>
          <w:tcPr>
            <w:tcW w:type="dxa" w:w="6768"/>
            <w:vAlign w:val="top"/>
            <w:tcBorders>
              <w:bottom w:val="single" w:sz="4" w:color="E1E8EC"/>
            </w:tcBorders>
          </w:tcPr>
          <w:p>
            <w:r>
              <w:rPr>
                <w:rFonts w:ascii="Aptos" w:hAnsi="Aptos"/>
                <w:b w:val="0"/>
                <w:color w:val="1E2A33"/>
                <w:sz w:val="19"/>
              </w:rPr>
              <w:t>Replace prototype .html links with clean production routes.</w:t>
            </w:r>
          </w:p>
        </w:tc>
      </w:tr>
      <w:tr>
        <w:tc>
          <w:tcPr>
            <w:tcW w:type="dxa" w:w="3024"/>
            <w:vAlign w:val="top"/>
            <w:shd w:fill="F7FAFB"/>
            <w:tcBorders>
              <w:bottom w:val="single" w:sz="4" w:color="E1E8EC"/>
            </w:tcBorders>
          </w:tcPr>
          <w:p>
            <w:r>
              <w:rPr>
                <w:rFonts w:ascii="Aptos" w:hAnsi="Aptos"/>
                <w:b/>
                <w:color w:val="1E2A33"/>
                <w:sz w:val="19"/>
              </w:rPr>
              <w:t>Tabs</w:t>
            </w:r>
          </w:p>
        </w:tc>
        <w:tc>
          <w:tcPr>
            <w:tcW w:type="dxa" w:w="6768"/>
            <w:vAlign w:val="top"/>
            <w:shd w:fill="F7FAFB"/>
            <w:tcBorders>
              <w:bottom w:val="single" w:sz="4" w:color="E1E8EC"/>
            </w:tcBorders>
          </w:tcPr>
          <w:p>
            <w:r>
              <w:rPr>
                <w:rFonts w:ascii="Aptos" w:hAnsi="Aptos"/>
                <w:b w:val="0"/>
                <w:color w:val="1E2A33"/>
                <w:sz w:val="19"/>
              </w:rPr>
              <w:t>Ensure selected-state semantics and keyboard accessibility for One-time / Monthly / 3-Months / Yearly.</w:t>
            </w:r>
          </w:p>
        </w:tc>
      </w:tr>
      <w:tr>
        <w:tc>
          <w:tcPr>
            <w:tcW w:type="dxa" w:w="3024"/>
            <w:vAlign w:val="top"/>
            <w:tcBorders>
              <w:bottom w:val="single" w:sz="4" w:color="E1E8EC"/>
            </w:tcBorders>
          </w:tcPr>
          <w:p>
            <w:r>
              <w:rPr>
                <w:rFonts w:ascii="Aptos" w:hAnsi="Aptos"/>
                <w:b/>
                <w:color w:val="1E2A33"/>
                <w:sz w:val="19"/>
              </w:rPr>
              <w:t>AI selector</w:t>
            </w:r>
          </w:p>
        </w:tc>
        <w:tc>
          <w:tcPr>
            <w:tcW w:type="dxa" w:w="6768"/>
            <w:vAlign w:val="top"/>
            <w:tcBorders>
              <w:bottom w:val="single" w:sz="4" w:color="E1E8EC"/>
            </w:tcBorders>
          </w:tcPr>
          <w:p>
            <w:r>
              <w:rPr>
                <w:rFonts w:ascii="Aptos" w:hAnsi="Aptos"/>
                <w:b w:val="0"/>
                <w:color w:val="1E2A33"/>
                <w:sz w:val="19"/>
              </w:rPr>
              <w:t>Selected state must be keyboard accessible and understandable without color alone.</w:t>
            </w:r>
          </w:p>
        </w:tc>
      </w:tr>
      <w:tr>
        <w:tc>
          <w:tcPr>
            <w:tcW w:type="dxa" w:w="3024"/>
            <w:vAlign w:val="top"/>
            <w:shd w:fill="F7FAFB"/>
            <w:tcBorders>
              <w:bottom w:val="single" w:sz="4" w:color="E1E8EC"/>
            </w:tcBorders>
          </w:tcPr>
          <w:p>
            <w:r>
              <w:rPr>
                <w:rFonts w:ascii="Aptos" w:hAnsi="Aptos"/>
                <w:b/>
                <w:color w:val="1E2A33"/>
                <w:sz w:val="19"/>
              </w:rPr>
              <w:t>Structured data</w:t>
            </w:r>
          </w:p>
        </w:tc>
        <w:tc>
          <w:tcPr>
            <w:tcW w:type="dxa" w:w="6768"/>
            <w:vAlign w:val="top"/>
            <w:shd w:fill="F7FAFB"/>
            <w:tcBorders>
              <w:bottom w:val="single" w:sz="4" w:color="E1E8EC"/>
            </w:tcBorders>
          </w:tcPr>
          <w:p>
            <w:r>
              <w:rPr>
                <w:rFonts w:ascii="Aptos" w:hAnsi="Aptos"/>
                <w:b w:val="0"/>
                <w:color w:val="1E2A33"/>
                <w:sz w:val="19"/>
              </w:rPr>
              <w:t>If Product/Offer or FAQ structured data is used, it must match the visible production price/content and use the same authoritative pricing source.</w:t>
            </w:r>
          </w:p>
        </w:tc>
      </w:tr>
      <w:tr>
        <w:tc>
          <w:tcPr>
            <w:tcW w:type="dxa" w:w="3024"/>
            <w:vAlign w:val="top"/>
            <w:tcBorders>
              <w:bottom w:val="single" w:sz="4" w:color="E1E8EC"/>
            </w:tcBorders>
          </w:tcPr>
          <w:p>
            <w:r>
              <w:rPr>
                <w:rFonts w:ascii="Aptos" w:hAnsi="Aptos"/>
                <w:b/>
                <w:color w:val="1E2A33"/>
                <w:sz w:val="19"/>
              </w:rPr>
              <w:t>Head</w:t>
            </w:r>
          </w:p>
        </w:tc>
        <w:tc>
          <w:tcPr>
            <w:tcW w:type="dxa" w:w="6768"/>
            <w:vAlign w:val="top"/>
            <w:tcBorders>
              <w:bottom w:val="single" w:sz="4" w:color="E1E8EC"/>
            </w:tcBorders>
          </w:tcPr>
          <w:p>
            <w:r>
              <w:rPr>
                <w:rFonts w:ascii="Aptos" w:hAnsi="Aptos"/>
                <w:b w:val="0"/>
                <w:color w:val="1E2A33"/>
                <w:sz w:val="19"/>
              </w:rPr>
              <w:t>Production Title, meta description, canonical, robots and schema are developer/SEO launch QA. Do not infer them from body markup alone.</w:t>
            </w:r>
          </w:p>
        </w:tc>
      </w:tr>
    </w:tbl>
    <w:p/>
    <w:p>
      <w:pPr>
        <w:pStyle w:val="Heading1"/>
        <w:keepNext/>
      </w:pPr>
      <w:r>
        <w:t>11. Definition of Done / QA checklist</w:t>
      </w:r>
    </w:p>
    <w:p>
      <w:pPr>
        <w:pStyle w:val="ListBullet"/>
        <w:spacing w:after="60"/>
      </w:pPr>
      <w:r>
        <w:rPr>
          <w:rFonts w:ascii="Aptos" w:hAnsi="Aptos"/>
          <w:color w:val="25333D"/>
          <w:sz w:val="21"/>
        </w:rPr>
        <w:t>The page still looks recognizably like the currently approved Pricing page; no broad redesign occurred.</w:t>
      </w:r>
    </w:p>
    <w:p>
      <w:pPr>
        <w:pStyle w:val="ListBullet"/>
        <w:spacing w:after="60"/>
      </w:pPr>
      <w:r>
        <w:rPr>
          <w:rFonts w:ascii="Aptos" w:hAnsi="Aptos"/>
          <w:color w:val="25333D"/>
          <w:sz w:val="21"/>
        </w:rPr>
        <w:t>Main plagiarism-plan widget still has One-time / Monthly / 3-Months / Yearly and is production-data driven.</w:t>
      </w:r>
    </w:p>
    <w:p>
      <w:pPr>
        <w:pStyle w:val="ListBullet"/>
        <w:spacing w:after="60"/>
      </w:pPr>
      <w:r>
        <w:rPr>
          <w:rFonts w:ascii="Aptos" w:hAnsi="Aptos"/>
          <w:color w:val="25333D"/>
          <w:sz w:val="21"/>
        </w:rPr>
        <w:t>One-time helper still states that the purchased quota does not expire.</w:t>
      </w:r>
    </w:p>
    <w:p>
      <w:pPr>
        <w:pStyle w:val="ListBullet"/>
        <w:spacing w:after="60"/>
      </w:pPr>
      <w:r>
        <w:rPr>
          <w:rFonts w:ascii="Aptos" w:hAnsi="Aptos"/>
          <w:color w:val="25333D"/>
          <w:sz w:val="21"/>
        </w:rPr>
        <w:t>AI packages are selectable; exactly one selection is visually/semantically clear; the CTA updates to the selected word allowance.</w:t>
      </w:r>
    </w:p>
    <w:p>
      <w:pPr>
        <w:pStyle w:val="ListBullet"/>
        <w:spacing w:after="60"/>
      </w:pPr>
      <w:r>
        <w:rPr>
          <w:rFonts w:ascii="Aptos" w:hAnsi="Aptos"/>
          <w:color w:val="25333D"/>
          <w:sz w:val="21"/>
        </w:rPr>
        <w:t>AI package CTA is a purchase continuation action, not a link to the AI Detector landing page.</w:t>
      </w:r>
    </w:p>
    <w:p>
      <w:pPr>
        <w:pStyle w:val="ListBullet"/>
        <w:spacing w:after="60"/>
      </w:pPr>
      <w:r>
        <w:rPr>
          <w:rFonts w:ascii="Aptos" w:hAnsi="Aptos"/>
          <w:color w:val="25333D"/>
          <w:sz w:val="21"/>
        </w:rPr>
        <w:t>No manually maintained production AI price table exists independently of the authoritative pricing source.</w:t>
      </w:r>
    </w:p>
    <w:p>
      <w:pPr>
        <w:pStyle w:val="ListBullet"/>
        <w:spacing w:after="60"/>
      </w:pPr>
      <w:r>
        <w:rPr>
          <w:rFonts w:ascii="Aptos" w:hAnsi="Aptos"/>
          <w:color w:val="25333D"/>
          <w:sz w:val="21"/>
        </w:rPr>
        <w:t>Bare Storage does not remain in plan-entitlement copy; report storage is used where that is the confirmed feature.</w:t>
      </w:r>
    </w:p>
    <w:p>
      <w:pPr>
        <w:pStyle w:val="ListBullet"/>
        <w:spacing w:after="60"/>
      </w:pPr>
      <w:r>
        <w:rPr>
          <w:rFonts w:ascii="Aptos" w:hAnsi="Aptos"/>
          <w:color w:val="25333D"/>
          <w:sz w:val="21"/>
        </w:rPr>
        <w:t>Core Product Value has the three approved content groups and retains all mandatory product facts without six equal cards.</w:t>
      </w:r>
    </w:p>
    <w:p>
      <w:pPr>
        <w:pStyle w:val="ListBullet"/>
        <w:spacing w:after="60"/>
      </w:pPr>
      <w:r>
        <w:rPr>
          <w:rFonts w:ascii="Aptos" w:hAnsi="Aptos"/>
          <w:color w:val="25333D"/>
          <w:sz w:val="21"/>
        </w:rPr>
        <w:t>Custom &amp; High Volume appears before Optional Writing Services.</w:t>
      </w:r>
    </w:p>
    <w:p>
      <w:pPr>
        <w:pStyle w:val="ListBullet"/>
        <w:spacing w:after="60"/>
      </w:pPr>
      <w:r>
        <w:rPr>
          <w:rFonts w:ascii="Aptos" w:hAnsi="Aptos"/>
          <w:color w:val="25333D"/>
          <w:sz w:val="21"/>
        </w:rPr>
        <w:t>Visible high-volume copy uses custom/high-volume language rather than requiring users to understand VIP jargon.</w:t>
      </w:r>
    </w:p>
    <w:p>
      <w:pPr>
        <w:pStyle w:val="ListBullet"/>
        <w:spacing w:after="60"/>
      </w:pPr>
      <w:r>
        <w:rPr>
          <w:rFonts w:ascii="Aptos" w:hAnsi="Aptos"/>
          <w:color w:val="25333D"/>
          <w:sz w:val="21"/>
        </w:rPr>
        <w:t>Optional Writing Services remains visually secondary.</w:t>
      </w:r>
    </w:p>
    <w:p>
      <w:pPr>
        <w:pStyle w:val="ListBullet"/>
        <w:spacing w:after="60"/>
      </w:pPr>
      <w:r>
        <w:rPr>
          <w:rFonts w:ascii="Aptos" w:hAnsi="Aptos"/>
          <w:color w:val="25333D"/>
          <w:sz w:val="21"/>
        </w:rPr>
        <w:t>FAQ content is unchanged except for the Storage clarification.</w:t>
      </w:r>
    </w:p>
    <w:p>
      <w:pPr>
        <w:pStyle w:val="ListBullet"/>
        <w:spacing w:after="60"/>
      </w:pPr>
      <w:r>
        <w:rPr>
          <w:rFonts w:ascii="Aptos" w:hAnsi="Aptos"/>
          <w:color w:val="25333D"/>
          <w:sz w:val="21"/>
        </w:rPr>
        <w:t>Final free-check CTA remains plagiarism-only and does not render a second checker.</w:t>
      </w:r>
    </w:p>
    <w:p>
      <w:pPr>
        <w:pStyle w:val="ListBullet"/>
        <w:spacing w:after="60"/>
      </w:pPr>
      <w:r>
        <w:rPr>
          <w:rFonts w:ascii="Aptos" w:hAnsi="Aptos"/>
          <w:color w:val="25333D"/>
          <w:sz w:val="21"/>
        </w:rPr>
        <w:t>Production URLs are clean and all interactive controls work with keyboard input.</w:t>
      </w:r>
    </w:p>
    <w:p>
      <w:pPr>
        <w:pStyle w:val="ListBullet"/>
        <w:spacing w:after="60"/>
      </w:pPr>
      <w:r>
        <w:rPr>
          <w:rFonts w:ascii="Aptos" w:hAnsi="Aptos"/>
          <w:color w:val="25333D"/>
          <w:sz w:val="21"/>
        </w:rPr>
        <w:t>No new pricing, entitlement, cancellation, SLA, Storage, API, or AI claims have been invented.</w:t>
      </w:r>
    </w:p>
    <w:p>
      <w:pPr>
        <w:pStyle w:val="Heading1"/>
        <w:keepNext/>
      </w:pPr>
      <w:r>
        <w:t>12. Final instruction to Claude</w:t>
      </w:r>
    </w:p>
    <w:tbl>
      <w:tblPr>
        <w:tblW w:type="auto" w:w="0"/>
        <w:jc w:val="center"/>
        <w:tblLayout w:type="autofit"/>
        <w:tblLook w:firstColumn="1" w:firstRow="1" w:lastColumn="0" w:lastRow="0" w:noHBand="0" w:noVBand="1" w:val="04A0"/>
      </w:tblPr>
      <w:tblGrid>
        <w:gridCol w:w="9936"/>
      </w:tblGrid>
      <w:tr>
        <w:trPr>
          <w:cantSplit/>
        </w:trPr>
        <w:tc>
          <w:tcPr>
            <w:tcW w:type="dxa" w:w="9936"/>
            <w:shd w:fill="EAF7F8"/>
            <w:tcBorders>
              <w:top w:val="single" w:sz="8" w:color="69C5D2"/>
              <w:left w:val="single" w:sz="8" w:color="69C5D2"/>
              <w:bottom w:val="single" w:sz="8" w:color="69C5D2"/>
              <w:right w:val="single" w:sz="8" w:color="69C5D2"/>
            </w:tcBorders>
          </w:tcPr>
          <w:p>
            <w:pPr>
              <w:spacing w:after="60"/>
            </w:pPr>
            <w:r>
              <w:rPr>
                <w:rFonts w:ascii="Aptos" w:hAnsi="Aptos"/>
                <w:b/>
                <w:color w:val="0B4D59"/>
                <w:sz w:val="22"/>
              </w:rPr>
              <w:t>Preserve first, correct second</w:t>
            </w:r>
          </w:p>
          <w:p>
            <w:pPr>
              <w:spacing w:after="0"/>
            </w:pPr>
            <w:r>
              <w:rPr>
                <w:rFonts w:ascii="Aptos" w:hAnsi="Aptos"/>
                <w:color w:val="24313A"/>
                <w:sz w:val="20"/>
              </w:rPr>
              <w:t>Apply only the changes in this document. If a current Pricing-page element is not explicitly named here, preserve it. Do not use this correction batch as permission to redesign the whole page, add new sections, create new claims, or change the approved global design system.</w:t>
            </w:r>
          </w:p>
        </w:tc>
      </w:tr>
    </w:tbl>
    <w:p>
      <w:pPr>
        <w:spacing w:after="0"/>
      </w:pPr>
    </w:p>
    <w:p>
      <w:pPr>
        <w:spacing w:before="440"/>
        <w:jc w:val="center"/>
      </w:pPr>
      <w:r>
        <w:rPr>
          <w:rFonts w:ascii="Aptos" w:hAnsi="Aptos"/>
          <w:b/>
          <w:color w:val="A33C2C"/>
          <w:sz w:val="20"/>
        </w:rPr>
        <w:t>Section Library status: do not add or freeze any Pricing sections until the corrected page passes final QA and approval.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A959D"/>
        <w:sz w:val="16"/>
      </w:rPr>
      <w:t>PlagiarismSearch SEO Recovery 2026 - Pricing Targeted Corrections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12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1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1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12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