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PlagiarismSearch</w:t>
        <w:br/>
        <w:t>University Plagiarism Checker</w:t>
      </w:r>
    </w:p>
    <w:p>
      <w:pPr>
        <w:jc w:val="center"/>
      </w:pPr>
      <w:r>
        <w:rPr>
          <w:b/>
          <w:color w:val="E65E4C"/>
          <w:sz w:val="30"/>
        </w:rPr>
        <w:t>Claude Implementation Brief v2</w:t>
      </w:r>
    </w:p>
    <w:p>
      <w:pPr>
        <w:jc w:val="center"/>
      </w:pPr>
      <w:r>
        <w:rPr>
          <w:b/>
          <w:sz w:val="22"/>
        </w:rPr>
        <w:t>Content &amp; Funnel Contract + Design Freedom Brief</w:t>
      </w:r>
    </w:p>
    <w:p>
      <w:pPr>
        <w:jc w:val="center"/>
      </w:pPr>
      <w:r>
        <w:rPr>
          <w:sz w:val="18"/>
        </w:rPr>
        <w:t>EN / university-plagiarism-checker / 2026-09-04</w:t>
      </w:r>
    </w:p>
    <w:tbl>
      <w:tblPr>
        <w:tblW w:type="auto" w:w="0"/>
        <w:jc w:val="center"/>
        <w:tblLook w:firstColumn="1" w:firstRow="1" w:lastColumn="0" w:lastRow="0" w:noHBand="0" w:noVBand="1" w:val="04A0"/>
      </w:tblPr>
      <w:tblGrid>
        <w:gridCol w:w="10224"/>
      </w:tblGrid>
      <w:tr>
        <w:tc>
          <w:tcPr>
            <w:tcW w:type="dxa" w:w="10224"/>
            <w:shd w:fill="E9F7FA"/>
            <w:tcMar>
              <w:top w:w="110" w:type="dxa"/>
              <w:start w:w="130" w:type="dxa"/>
              <w:bottom w:w="110" w:type="dxa"/>
              <w:end w:w="130" w:type="dxa"/>
            </w:tcMar>
          </w:tcPr>
          <w:p>
            <w:r>
              <w:rPr>
                <w:b/>
                <w:sz w:val="20"/>
              </w:rPr>
              <w:t>Core instruction</w:t>
            </w:r>
          </w:p>
          <w:p>
            <w:pPr/>
            <w:r>
              <w:t>This is a redesign brief for the approved PlagiarismSearch visual system. The content architecture, product facts, funnel, SEO intent, and required copy are fixed. The visual composition is deliberately NOT fixed. A supplied list of facts is not a prescribed list of cards.</w:t>
            </w:r>
          </w:p>
        </w:tc>
      </w:tr>
    </w:tbl>
    <w:p>
      <w:pPr>
        <w:spacing w:after="20"/>
      </w:pPr>
    </w:p>
    <w:p>
      <w:pPr>
        <w:pStyle w:val="Heading1"/>
      </w:pPr>
      <w:r>
        <w:t>1. Purpose and Claude role</w:t>
      </w:r>
    </w:p>
    <w:p>
      <w:r>
        <w:t>Claude is the visual/implementation executor, not the product researcher, copywriter, or product-fact authority. The first version became too repetitive because factual lists were translated too literally into equal-card grids. This v2 brief fixes that problem by separating locked content from design freedom.</w:t>
      </w:r>
    </w:p>
    <w:p>
      <w:pPr>
        <w:pStyle w:val="ListBullet"/>
        <w:spacing w:after="40"/>
      </w:pPr>
      <w:r>
        <w:rPr>
          <w:b/>
        </w:rPr>
        <w:t xml:space="preserve">Locked: </w:t>
      </w:r>
      <w:r>
        <w:t>page role, search intent, section order, product facts, factual distinctions, exact copy, CTA labels/destinations, form content, FAQ content, SEO requirements.</w:t>
      </w:r>
    </w:p>
    <w:p>
      <w:pPr>
        <w:pStyle w:val="ListBullet"/>
        <w:spacing w:after="40"/>
      </w:pPr>
      <w:r>
        <w:rPr>
          <w:b/>
        </w:rPr>
        <w:t xml:space="preserve">Flexible: </w:t>
      </w:r>
      <w:r>
        <w:t>section composition, asymmetry, columns, visual rhythm, diagrams, lanes, tabs, progressive reveal, spacing, card usage, orientation, micro-animation, and other composition choices inside the approved design system.</w:t>
      </w:r>
    </w:p>
    <w:p>
      <w:pPr>
        <w:pStyle w:val="ListBullet"/>
        <w:spacing w:after="40"/>
      </w:pPr>
      <w:r>
        <w:rPr>
          <w:b/>
        </w:rPr>
        <w:t xml:space="preserve">Forbidden: </w:t>
      </w:r>
      <w:r>
        <w:t>inventing product UI, product facts, permissions, analytics, workflows, pricing, SLAs, integrations, storage behavior, or claims that are not supplied here.</w:t>
      </w:r>
    </w:p>
    <w:tbl>
      <w:tblPr>
        <w:tblW w:type="auto" w:w="0"/>
        <w:jc w:val="center"/>
        <w:tblLook w:firstColumn="1" w:firstRow="1" w:lastColumn="0" w:lastRow="0" w:noHBand="0" w:noVBand="1" w:val="04A0"/>
      </w:tblPr>
      <w:tblGrid>
        <w:gridCol w:w="10224"/>
      </w:tblGrid>
      <w:tr>
        <w:tc>
          <w:tcPr>
            <w:tcW w:type="dxa" w:w="10224"/>
            <w:shd w:fill="FFF3EE"/>
            <w:tcMar>
              <w:top w:w="110" w:type="dxa"/>
              <w:start w:w="130" w:type="dxa"/>
              <w:bottom w:w="110" w:type="dxa"/>
              <w:end w:w="130" w:type="dxa"/>
            </w:tcMar>
          </w:tcPr>
          <w:p>
            <w:r>
              <w:rPr>
                <w:b/>
                <w:sz w:val="20"/>
              </w:rPr>
              <w:t>Critical design rule</w:t>
            </w:r>
          </w:p>
          <w:p>
            <w:pPr/>
            <w:r>
              <w:t>Do not default to equal-card grids merely because several factual points are supplied. Prefer relationships, hierarchy, process, contrast, diagrams, or one strong focal visual when they communicate the information better.</w:t>
            </w:r>
          </w:p>
        </w:tc>
      </w:tr>
    </w:tbl>
    <w:p>
      <w:pPr>
        <w:spacing w:after="20"/>
      </w:pPr>
    </w:p>
    <w:p>
      <w:pPr>
        <w:pStyle w:val="Heading1"/>
      </w:pPr>
      <w:r>
        <w:t>2. Source-of-truth precedence</w:t>
      </w:r>
    </w:p>
    <w:p>
      <w:pPr>
        <w:pStyle w:val="ListNumber"/>
        <w:spacing w:after="40"/>
      </w:pPr>
      <w:r>
        <w:t>Confirmed PlagiarismSearch product facts and current production behavior supplied by the project team.</w:t>
      </w:r>
    </w:p>
    <w:p>
      <w:pPr>
        <w:pStyle w:val="ListNumber"/>
        <w:spacing w:after="40"/>
      </w:pPr>
      <w:r>
        <w:t>This v2 brief: exact content, funnel, required relationships, CTA destinations, and constraints.</w:t>
      </w:r>
    </w:p>
    <w:p>
      <w:pPr>
        <w:pStyle w:val="ListNumber"/>
        <w:spacing w:after="40"/>
      </w:pPr>
      <w:r>
        <w:t>Approved PlagiarismSearch global design system and global shell established by the already approved pages.</w:t>
      </w:r>
    </w:p>
    <w:p>
      <w:pPr>
        <w:pStyle w:val="ListNumber"/>
        <w:spacing w:after="40"/>
      </w:pPr>
      <w:r>
        <w:t>Existing University v1 implementation only as a visual/history reference. Its repeated card-grid layouts are NOT authoritative.</w:t>
      </w:r>
    </w:p>
    <w:p>
      <w:pPr>
        <w:pStyle w:val="ListNumber"/>
        <w:spacing w:after="40"/>
      </w:pPr>
      <w:r>
        <w:t>Claude design judgment inside the Design Freedom Envelope in this brief.</w:t>
      </w:r>
    </w:p>
    <w:tbl>
      <w:tblPr>
        <w:tblW w:type="auto" w:w="0"/>
        <w:jc w:val="center"/>
        <w:tblLook w:firstColumn="1" w:firstRow="1" w:lastColumn="0" w:lastRow="0" w:noHBand="0" w:noVBand="1" w:val="04A0"/>
      </w:tblPr>
      <w:tblGrid>
        <w:gridCol w:w="10224"/>
      </w:tblGrid>
      <w:tr>
        <w:tc>
          <w:tcPr>
            <w:tcW w:type="dxa" w:w="10224"/>
            <w:shd w:fill="F7F7FB"/>
            <w:tcMar>
              <w:top w:w="110" w:type="dxa"/>
              <w:start w:w="130" w:type="dxa"/>
              <w:bottom w:w="110" w:type="dxa"/>
              <w:end w:w="130" w:type="dxa"/>
            </w:tcMar>
          </w:tcPr>
          <w:p>
            <w:r>
              <w:rPr>
                <w:b/>
                <w:sz w:val="20"/>
              </w:rPr>
              <w:t>Important</w:t>
            </w:r>
          </w:p>
          <w:p>
            <w:pPr/>
            <w:r>
              <w:t>Do not preserve a v1 section simply because it already exists. Preserve only the approved global visual language and explicitly reusable product evidence (especially the real plagiarism report).</w:t>
            </w:r>
          </w:p>
        </w:tc>
      </w:tr>
    </w:tbl>
    <w:p>
      <w:pPr>
        <w:spacing w:after="20"/>
      </w:pPr>
    </w:p>
    <w:p>
      <w:pPr>
        <w:pStyle w:val="Heading1"/>
      </w:pPr>
      <w:r>
        <w:t>3. Page contract</w:t>
      </w:r>
    </w:p>
    <w:tbl>
      <w:tblPr>
        <w:tblStyle w:val="TableGrid"/>
        <w:tblW w:type="auto" w:w="0"/>
        <w:jc w:val="center"/>
        <w:tblLook w:firstColumn="1" w:firstRow="1" w:lastColumn="0" w:lastRow="0" w:noHBand="0" w:noVBand="1" w:val="04A0"/>
      </w:tblPr>
      <w:tblGrid>
        <w:gridCol w:w="5112"/>
        <w:gridCol w:w="5112"/>
      </w:tblGrid>
      <w:tr>
        <w:tc>
          <w:tcPr>
            <w:tcW w:type="dxa" w:w="5112"/>
            <w:shd w:fill="EAF1F7"/>
          </w:tcPr>
          <w:p>
            <w:r>
              <w:rPr>
                <w:b/>
              </w:rPr>
              <w:t>Item</w:t>
            </w:r>
          </w:p>
        </w:tc>
        <w:tc>
          <w:tcPr>
            <w:tcW w:type="dxa" w:w="5112"/>
            <w:shd w:fill="EAF1F7"/>
          </w:tcPr>
          <w:p>
            <w:r>
              <w:rPr>
                <w:b/>
              </w:rPr>
              <w:t>Approved implementation</w:t>
            </w:r>
          </w:p>
        </w:tc>
      </w:tr>
      <w:tr>
        <w:tc>
          <w:tcPr>
            <w:tcW w:type="dxa" w:w="5112"/>
            <w:vAlign w:val="top"/>
            <w:tcMar>
              <w:top w:w="90" w:type="dxa"/>
              <w:start w:w="100" w:type="dxa"/>
              <w:bottom w:w="90" w:type="dxa"/>
              <w:end w:w="100" w:type="dxa"/>
            </w:tcMar>
          </w:tcPr>
          <w:p>
            <w:r>
              <w:t>Production URL</w:t>
            </w:r>
          </w:p>
        </w:tc>
        <w:tc>
          <w:tcPr>
            <w:tcW w:type="dxa" w:w="5112"/>
            <w:vAlign w:val="top"/>
            <w:tcMar>
              <w:top w:w="90" w:type="dxa"/>
              <w:start w:w="100" w:type="dxa"/>
              <w:bottom w:w="90" w:type="dxa"/>
              <w:end w:w="100" w:type="dxa"/>
            </w:tcMar>
          </w:tcPr>
          <w:p>
            <w:r>
              <w:t>https://plagiarismsearch.com/university-plagiarism-checker</w:t>
            </w:r>
          </w:p>
        </w:tc>
      </w:tr>
      <w:tr>
        <w:tc>
          <w:tcPr>
            <w:tcW w:type="dxa" w:w="5112"/>
            <w:vAlign w:val="top"/>
            <w:tcMar>
              <w:top w:w="90" w:type="dxa"/>
              <w:start w:w="100" w:type="dxa"/>
              <w:bottom w:w="90" w:type="dxa"/>
              <w:end w:w="100" w:type="dxa"/>
            </w:tcMar>
          </w:tcPr>
          <w:p>
            <w:r>
              <w:t>Primary owner intent</w:t>
            </w:r>
          </w:p>
        </w:tc>
        <w:tc>
          <w:tcPr>
            <w:tcW w:type="dxa" w:w="5112"/>
            <w:vAlign w:val="top"/>
            <w:tcMar>
              <w:top w:w="90" w:type="dxa"/>
              <w:start w:w="100" w:type="dxa"/>
              <w:bottom w:w="90" w:type="dxa"/>
              <w:end w:w="100" w:type="dxa"/>
            </w:tcMar>
          </w:tcPr>
          <w:p>
            <w:r>
              <w:t>University / higher-education institutional plagiarism checking.</w:t>
            </w:r>
          </w:p>
        </w:tc>
      </w:tr>
      <w:tr>
        <w:tc>
          <w:tcPr>
            <w:tcW w:type="dxa" w:w="5112"/>
            <w:vAlign w:val="top"/>
            <w:tcMar>
              <w:top w:w="90" w:type="dxa"/>
              <w:start w:w="100" w:type="dxa"/>
              <w:bottom w:w="90" w:type="dxa"/>
              <w:end w:w="100" w:type="dxa"/>
            </w:tcMar>
          </w:tcPr>
          <w:p>
            <w:r>
              <w:t>Primary audience</w:t>
            </w:r>
          </w:p>
        </w:tc>
        <w:tc>
          <w:tcPr>
            <w:tcW w:type="dxa" w:w="5112"/>
            <w:vAlign w:val="top"/>
            <w:tcMar>
              <w:top w:w="90" w:type="dxa"/>
              <w:start w:w="100" w:type="dxa"/>
              <w:bottom w:w="90" w:type="dxa"/>
              <w:end w:w="100" w:type="dxa"/>
            </w:tcMar>
          </w:tcPr>
          <w:p>
            <w:r>
              <w:t>Institutional decision makers, administrators, academic-integrity stakeholders, educators, and technical/LMS stakeholders.</w:t>
            </w:r>
          </w:p>
        </w:tc>
      </w:tr>
      <w:tr>
        <w:tc>
          <w:tcPr>
            <w:tcW w:type="dxa" w:w="5112"/>
            <w:vAlign w:val="top"/>
            <w:tcMar>
              <w:top w:w="90" w:type="dxa"/>
              <w:start w:w="100" w:type="dxa"/>
              <w:bottom w:w="90" w:type="dxa"/>
              <w:end w:w="100" w:type="dxa"/>
            </w:tcMar>
          </w:tcPr>
          <w:p>
            <w:r>
              <w:t>Primary conversion</w:t>
            </w:r>
          </w:p>
        </w:tc>
        <w:tc>
          <w:tcPr>
            <w:tcW w:type="dxa" w:w="5112"/>
            <w:vAlign w:val="top"/>
            <w:tcMar>
              <w:top w:w="90" w:type="dxa"/>
              <w:start w:w="100" w:type="dxa"/>
              <w:bottom w:w="90" w:type="dxa"/>
              <w:end w:w="100" w:type="dxa"/>
            </w:tcMar>
          </w:tcPr>
          <w:p>
            <w:r>
              <w:t>Institutional inquiry / pricing request.</w:t>
            </w:r>
          </w:p>
        </w:tc>
      </w:tr>
      <w:tr>
        <w:tc>
          <w:tcPr>
            <w:tcW w:type="dxa" w:w="5112"/>
            <w:vAlign w:val="top"/>
            <w:tcMar>
              <w:top w:w="90" w:type="dxa"/>
              <w:start w:w="100" w:type="dxa"/>
              <w:bottom w:w="90" w:type="dxa"/>
              <w:end w:w="100" w:type="dxa"/>
            </w:tcMar>
          </w:tcPr>
          <w:p>
            <w:r>
              <w:t>Secondary jobs</w:t>
            </w:r>
          </w:p>
        </w:tc>
        <w:tc>
          <w:tcPr>
            <w:tcW w:type="dxa" w:w="5112"/>
            <w:vAlign w:val="top"/>
            <w:tcMar>
              <w:top w:w="90" w:type="dxa"/>
              <w:start w:w="100" w:type="dxa"/>
              <w:bottom w:w="90" w:type="dxa"/>
              <w:end w:w="100" w:type="dxa"/>
            </w:tcMar>
          </w:tcPr>
          <w:p>
            <w:r>
              <w:t>Show report evidence; explain institutional control; explain source/Storage model; help the institution choose a deployment path.</w:t>
            </w:r>
          </w:p>
        </w:tc>
      </w:tr>
      <w:tr>
        <w:tc>
          <w:tcPr>
            <w:tcW w:type="dxa" w:w="5112"/>
            <w:vAlign w:val="top"/>
            <w:tcMar>
              <w:top w:w="90" w:type="dxa"/>
              <w:start w:w="100" w:type="dxa"/>
              <w:bottom w:w="90" w:type="dxa"/>
              <w:end w:w="100" w:type="dxa"/>
            </w:tcMar>
          </w:tcPr>
          <w:p>
            <w:r>
              <w:t>Do not let this page become</w:t>
            </w:r>
          </w:p>
        </w:tc>
        <w:tc>
          <w:tcPr>
            <w:tcW w:type="dxa" w:w="5112"/>
            <w:vAlign w:val="top"/>
            <w:tcMar>
              <w:top w:w="90" w:type="dxa"/>
              <w:start w:w="100" w:type="dxa"/>
              <w:bottom w:w="90" w:type="dxa"/>
              <w:end w:w="100" w:type="dxa"/>
            </w:tcMar>
          </w:tcPr>
          <w:p>
            <w:r>
              <w:t>A Moodle owner page, API owner page, AI Detector owner page, Organization Management manual, or generic feature catalog.</w:t>
            </w:r>
          </w:p>
        </w:tc>
      </w:tr>
    </w:tbl>
    <w:p>
      <w:pPr>
        <w:pStyle w:val="Heading2"/>
      </w:pPr>
      <w:r>
        <w:t>Required buyer journey:</w:t>
      </w:r>
    </w:p>
    <w:p>
      <w:pPr>
        <w:pStyle w:val="ListNumber"/>
        <w:spacing w:after="40"/>
      </w:pPr>
      <w:r>
        <w:t>Is this a solution for a university / higher-education institution?</w:t>
      </w:r>
    </w:p>
    <w:p>
      <w:pPr>
        <w:pStyle w:val="ListNumber"/>
        <w:spacing w:after="40"/>
      </w:pPr>
      <w:r>
        <w:t>What evidence will educators actually review?</w:t>
      </w:r>
    </w:p>
    <w:p>
      <w:pPr>
        <w:pStyle w:val="ListNumber"/>
        <w:spacing w:after="40"/>
      </w:pPr>
      <w:r>
        <w:t>Can the institution centrally manage members, permissions, and checking resources?</w:t>
      </w:r>
    </w:p>
    <w:p>
      <w:pPr>
        <w:pStyle w:val="ListNumber"/>
        <w:spacing w:after="40"/>
      </w:pPr>
      <w:r>
        <w:t>What sources are used, what is Storage, and what happens to documents/reports?</w:t>
      </w:r>
    </w:p>
    <w:p>
      <w:pPr>
        <w:pStyle w:val="ListNumber"/>
        <w:spacing w:after="40"/>
      </w:pPr>
      <w:r>
        <w:t>Which deployment path fits our environment?</w:t>
      </w:r>
    </w:p>
    <w:p>
      <w:pPr>
        <w:pStyle w:val="ListNumber"/>
        <w:spacing w:after="40"/>
      </w:pPr>
      <w:r>
        <w:t>Can AI checking be added without confusing AI detection with plagiarism checking?</w:t>
      </w:r>
    </w:p>
    <w:p>
      <w:pPr>
        <w:pStyle w:val="ListNumber"/>
        <w:spacing w:after="40"/>
      </w:pPr>
      <w:r>
        <w:t>How do we discuss setup and institutional pricing?</w:t>
      </w:r>
    </w:p>
    <w:p>
      <w:pPr>
        <w:pStyle w:val="Heading1"/>
      </w:pPr>
      <w:r>
        <w:t>4. Content rules: LOCKED COPY vs INFORMATION CONTRACT</w:t>
      </w:r>
    </w:p>
    <w:p>
      <w:r>
        <w:t>To avoid the v1 problem, this brief uses two content types:</w:t>
      </w:r>
    </w:p>
    <w:p>
      <w:pPr>
        <w:pStyle w:val="ListBullet"/>
        <w:spacing w:after="40"/>
      </w:pPr>
      <w:r>
        <w:rPr>
          <w:b/>
        </w:rPr>
        <w:t xml:space="preserve">LOCKED COPY: </w:t>
      </w:r>
      <w:r>
        <w:t>must appear in the rendered page with the same meaning and wording. Claude may place it within the section, but may not rewrite factual meaning or remove it.</w:t>
      </w:r>
    </w:p>
    <w:p>
      <w:pPr>
        <w:pStyle w:val="ListBullet"/>
        <w:spacing w:after="40"/>
      </w:pPr>
      <w:r>
        <w:rPr>
          <w:b/>
        </w:rPr>
        <w:t xml:space="preserve">INFORMATION CONTRACT: </w:t>
      </w:r>
      <w:r>
        <w:t>defines entities, relationships, and distinctions that must be visualized. It is not a prescribed layout and should not be treated as copy that must appear as separate cards.</w:t>
      </w:r>
    </w:p>
    <w:tbl>
      <w:tblPr>
        <w:tblW w:type="auto" w:w="0"/>
        <w:jc w:val="center"/>
        <w:tblLook w:firstColumn="1" w:firstRow="1" w:lastColumn="0" w:lastRow="0" w:noHBand="0" w:noVBand="1" w:val="04A0"/>
      </w:tblPr>
      <w:tblGrid>
        <w:gridCol w:w="10224"/>
      </w:tblGrid>
      <w:tr>
        <w:tc>
          <w:tcPr>
            <w:tcW w:type="dxa" w:w="10224"/>
            <w:shd w:fill="EAF7EF"/>
            <w:tcMar>
              <w:top w:w="110" w:type="dxa"/>
              <w:start w:w="130" w:type="dxa"/>
              <w:bottom w:w="110" w:type="dxa"/>
              <w:end w:w="130" w:type="dxa"/>
            </w:tcMar>
          </w:tcPr>
          <w:p>
            <w:r>
              <w:rPr>
                <w:b/>
                <w:sz w:val="20"/>
              </w:rPr>
              <w:t>HTML requirement</w:t>
            </w:r>
          </w:p>
          <w:p>
            <w:pPr/>
            <w:r>
              <w:t>Meaningful diagram text must remain accessible as HTML or accessible SVG/semantic alternatives. Do not bake important SEO/product text only into a PNG image.</w:t>
            </w:r>
          </w:p>
        </w:tc>
      </w:tr>
    </w:tbl>
    <w:p>
      <w:pPr>
        <w:spacing w:after="20"/>
      </w:pPr>
    </w:p>
    <w:p>
      <w:pPr>
        <w:pStyle w:val="Heading1"/>
      </w:pPr>
      <w:r>
        <w:t>5. SEO and semantic HTML</w:t>
      </w:r>
    </w:p>
    <w:tbl>
      <w:tblPr>
        <w:tblStyle w:val="TableGrid"/>
        <w:tblW w:type="auto" w:w="0"/>
        <w:jc w:val="center"/>
        <w:tblLook w:firstColumn="1" w:firstRow="1" w:lastColumn="0" w:lastRow="0" w:noHBand="0" w:noVBand="1" w:val="04A0"/>
      </w:tblPr>
      <w:tblGrid>
        <w:gridCol w:w="5112"/>
        <w:gridCol w:w="5112"/>
      </w:tblGrid>
      <w:tr>
        <w:tc>
          <w:tcPr>
            <w:tcW w:type="dxa" w:w="5112"/>
            <w:shd w:fill="EAF1F7"/>
          </w:tcPr>
          <w:p>
            <w:r>
              <w:rPr>
                <w:b/>
              </w:rPr>
              <w:t>Item</w:t>
            </w:r>
          </w:p>
        </w:tc>
        <w:tc>
          <w:tcPr>
            <w:tcW w:type="dxa" w:w="5112"/>
            <w:shd w:fill="EAF1F7"/>
          </w:tcPr>
          <w:p>
            <w:r>
              <w:rPr>
                <w:b/>
              </w:rPr>
              <w:t>Approved implementation</w:t>
            </w:r>
          </w:p>
        </w:tc>
      </w:tr>
      <w:tr>
        <w:tc>
          <w:tcPr>
            <w:tcW w:type="dxa" w:w="5112"/>
            <w:vAlign w:val="top"/>
            <w:tcMar>
              <w:top w:w="90" w:type="dxa"/>
              <w:start w:w="100" w:type="dxa"/>
              <w:bottom w:w="90" w:type="dxa"/>
              <w:end w:w="100" w:type="dxa"/>
            </w:tcMar>
          </w:tcPr>
          <w:p>
            <w:r>
              <w:t>Title</w:t>
            </w:r>
          </w:p>
        </w:tc>
        <w:tc>
          <w:tcPr>
            <w:tcW w:type="dxa" w:w="5112"/>
            <w:vAlign w:val="top"/>
            <w:tcMar>
              <w:top w:w="90" w:type="dxa"/>
              <w:start w:w="100" w:type="dxa"/>
              <w:bottom w:w="90" w:type="dxa"/>
              <w:end w:w="100" w:type="dxa"/>
            </w:tcMar>
          </w:tcPr>
          <w:p>
            <w:r>
              <w:t>University Plagiarism Checker for Higher Education | PlagiarismSearch</w:t>
            </w:r>
          </w:p>
        </w:tc>
      </w:tr>
      <w:tr>
        <w:tc>
          <w:tcPr>
            <w:tcW w:type="dxa" w:w="5112"/>
            <w:vAlign w:val="top"/>
            <w:tcMar>
              <w:top w:w="90" w:type="dxa"/>
              <w:start w:w="100" w:type="dxa"/>
              <w:bottom w:w="90" w:type="dxa"/>
              <w:end w:w="100" w:type="dxa"/>
            </w:tcMar>
          </w:tcPr>
          <w:p>
            <w:r>
              <w:t>Meta description</w:t>
            </w:r>
          </w:p>
        </w:tc>
        <w:tc>
          <w:tcPr>
            <w:tcW w:type="dxa" w:w="5112"/>
            <w:vAlign w:val="top"/>
            <w:tcMar>
              <w:top w:w="90" w:type="dxa"/>
              <w:start w:w="100" w:type="dxa"/>
              <w:bottom w:w="90" w:type="dxa"/>
              <w:end w:w="100" w:type="dxa"/>
            </w:tcMar>
          </w:tcPr>
          <w:p>
            <w:r>
              <w:t>Manage plagiarism checking across your university with source-based reports, organization permissions, institutional Storage, LMS integrations, and API access.</w:t>
            </w:r>
          </w:p>
        </w:tc>
      </w:tr>
      <w:tr>
        <w:tc>
          <w:tcPr>
            <w:tcW w:type="dxa" w:w="5112"/>
            <w:vAlign w:val="top"/>
            <w:tcMar>
              <w:top w:w="90" w:type="dxa"/>
              <w:start w:w="100" w:type="dxa"/>
              <w:bottom w:w="90" w:type="dxa"/>
              <w:end w:w="100" w:type="dxa"/>
            </w:tcMar>
          </w:tcPr>
          <w:p>
            <w:r>
              <w:t>Canonical</w:t>
            </w:r>
          </w:p>
        </w:tc>
        <w:tc>
          <w:tcPr>
            <w:tcW w:type="dxa" w:w="5112"/>
            <w:vAlign w:val="top"/>
            <w:tcMar>
              <w:top w:w="90" w:type="dxa"/>
              <w:start w:w="100" w:type="dxa"/>
              <w:bottom w:w="90" w:type="dxa"/>
              <w:end w:w="100" w:type="dxa"/>
            </w:tcMar>
          </w:tcPr>
          <w:p>
            <w:r>
              <w:t>https://plagiarismsearch.com/university-plagiarism-checker</w:t>
            </w:r>
          </w:p>
        </w:tc>
      </w:tr>
      <w:tr>
        <w:tc>
          <w:tcPr>
            <w:tcW w:type="dxa" w:w="5112"/>
            <w:vAlign w:val="top"/>
            <w:tcMar>
              <w:top w:w="90" w:type="dxa"/>
              <w:start w:w="100" w:type="dxa"/>
              <w:bottom w:w="90" w:type="dxa"/>
              <w:end w:w="100" w:type="dxa"/>
            </w:tcMar>
          </w:tcPr>
          <w:p>
            <w:r>
              <w:t>H1</w:t>
            </w:r>
          </w:p>
        </w:tc>
        <w:tc>
          <w:tcPr>
            <w:tcW w:type="dxa" w:w="5112"/>
            <w:vAlign w:val="top"/>
            <w:tcMar>
              <w:top w:w="90" w:type="dxa"/>
              <w:start w:w="100" w:type="dxa"/>
              <w:bottom w:w="90" w:type="dxa"/>
              <w:end w:w="100" w:type="dxa"/>
            </w:tcMar>
          </w:tcPr>
          <w:p>
            <w:r>
              <w:t>University Plagiarism Checker</w:t>
            </w:r>
          </w:p>
        </w:tc>
      </w:tr>
      <w:tr>
        <w:tc>
          <w:tcPr>
            <w:tcW w:type="dxa" w:w="5112"/>
            <w:vAlign w:val="top"/>
            <w:tcMar>
              <w:top w:w="90" w:type="dxa"/>
              <w:start w:w="100" w:type="dxa"/>
              <w:bottom w:w="90" w:type="dxa"/>
              <w:end w:w="100" w:type="dxa"/>
            </w:tcMar>
          </w:tcPr>
          <w:p>
            <w:r>
              <w:t>Heading rule</w:t>
            </w:r>
          </w:p>
        </w:tc>
        <w:tc>
          <w:tcPr>
            <w:tcW w:type="dxa" w:w="5112"/>
            <w:vAlign w:val="top"/>
            <w:tcMar>
              <w:top w:w="90" w:type="dxa"/>
              <w:start w:w="100" w:type="dxa"/>
              <w:bottom w:w="90" w:type="dxa"/>
              <w:end w:w="100" w:type="dxa"/>
            </w:tcMar>
          </w:tcPr>
          <w:p>
            <w:r>
              <w:t>Exactly one H1. Major page acts are H2. Use H3 only for genuine semantic subsections. Eyebrows and diagram labels are not semantic heading levels.</w:t>
            </w:r>
          </w:p>
        </w:tc>
      </w:tr>
      <w:tr>
        <w:tc>
          <w:tcPr>
            <w:tcW w:type="dxa" w:w="5112"/>
            <w:vAlign w:val="top"/>
            <w:tcMar>
              <w:top w:w="90" w:type="dxa"/>
              <w:start w:w="100" w:type="dxa"/>
              <w:bottom w:w="90" w:type="dxa"/>
              <w:end w:w="100" w:type="dxa"/>
            </w:tcMar>
          </w:tcPr>
          <w:p>
            <w:r>
              <w:t>Primary semantic focus</w:t>
            </w:r>
          </w:p>
        </w:tc>
        <w:tc>
          <w:tcPr>
            <w:tcW w:type="dxa" w:w="5112"/>
            <w:vAlign w:val="top"/>
            <w:tcMar>
              <w:top w:w="90" w:type="dxa"/>
              <w:start w:w="100" w:type="dxa"/>
              <w:bottom w:w="90" w:type="dxa"/>
              <w:end w:w="100" w:type="dxa"/>
            </w:tcMar>
          </w:tcPr>
          <w:p>
            <w:r>
              <w:t>University plagiarism checker; plagiarism checking for universities / colleges / higher education; institutional plagiarism checking.</w:t>
            </w:r>
          </w:p>
        </w:tc>
      </w:tr>
      <w:tr>
        <w:tc>
          <w:tcPr>
            <w:tcW w:type="dxa" w:w="5112"/>
            <w:vAlign w:val="top"/>
            <w:tcMar>
              <w:top w:w="90" w:type="dxa"/>
              <w:start w:w="100" w:type="dxa"/>
              <w:bottom w:w="90" w:type="dxa"/>
              <w:end w:w="100" w:type="dxa"/>
            </w:tcMar>
          </w:tcPr>
          <w:p>
            <w:r>
              <w:t>Supporting topics</w:t>
            </w:r>
          </w:p>
        </w:tc>
        <w:tc>
          <w:tcPr>
            <w:tcW w:type="dxa" w:w="5112"/>
            <w:vAlign w:val="top"/>
            <w:tcMar>
              <w:top w:w="90" w:type="dxa"/>
              <w:start w:w="100" w:type="dxa"/>
              <w:bottom w:w="90" w:type="dxa"/>
              <w:end w:w="100" w:type="dxa"/>
            </w:tcMar>
          </w:tcPr>
          <w:p>
            <w:r>
              <w:t>Institutional reports, organization management, academic/source checking, Organization Storage, Moodle, Canvas, API, optional AI checking.</w:t>
            </w:r>
          </w:p>
        </w:tc>
      </w:tr>
    </w:tbl>
    <w:tbl>
      <w:tblPr>
        <w:tblW w:type="auto" w:w="0"/>
        <w:jc w:val="center"/>
        <w:tblLook w:firstColumn="1" w:firstRow="1" w:lastColumn="0" w:lastRow="0" w:noHBand="0" w:noVBand="1" w:val="04A0"/>
      </w:tblPr>
      <w:tblGrid>
        <w:gridCol w:w="10224"/>
      </w:tblGrid>
      <w:tr>
        <w:tc>
          <w:tcPr>
            <w:tcW w:type="dxa" w:w="10224"/>
            <w:shd w:fill="FFF7E6"/>
            <w:tcMar>
              <w:top w:w="110" w:type="dxa"/>
              <w:start w:w="130" w:type="dxa"/>
              <w:bottom w:w="110" w:type="dxa"/>
              <w:end w:w="130" w:type="dxa"/>
            </w:tcMar>
          </w:tcPr>
          <w:p>
            <w:r>
              <w:rPr>
                <w:b/>
                <w:sz w:val="20"/>
              </w:rPr>
              <w:t>SEO boundary</w:t>
            </w:r>
          </w:p>
          <w:p>
            <w:pPr/>
            <w:r>
              <w:t>Moodle, Canvas, API, and AI are supporting subtopics here. Their dedicated owner pages must remain the deeper destination. Do not expand this page into a competing owner page for those intents.</w:t>
            </w:r>
          </w:p>
        </w:tc>
      </w:tr>
    </w:tbl>
    <w:p>
      <w:pPr>
        <w:spacing w:after="20"/>
      </w:pPr>
    </w:p>
    <w:p>
      <w:pPr>
        <w:pStyle w:val="Heading1"/>
      </w:pPr>
      <w:r>
        <w:t>6. Final page architecture</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EAF1F7"/>
          </w:tcPr>
          <w:p>
            <w:r>
              <w:rPr>
                <w:b/>
              </w:rPr>
              <w:t>#</w:t>
            </w:r>
          </w:p>
        </w:tc>
        <w:tc>
          <w:tcPr>
            <w:tcW w:type="dxa" w:w="3408"/>
            <w:shd w:fill="EAF1F7"/>
          </w:tcPr>
          <w:p>
            <w:r>
              <w:rPr>
                <w:b/>
              </w:rPr>
              <w:t>Section</w:t>
            </w:r>
          </w:p>
        </w:tc>
        <w:tc>
          <w:tcPr>
            <w:tcW w:type="dxa" w:w="3408"/>
            <w:shd w:fill="EAF1F7"/>
          </w:tcPr>
          <w:p>
            <w:r>
              <w:rPr>
                <w:b/>
              </w:rPr>
              <w:t>Job</w:t>
            </w:r>
          </w:p>
        </w:tc>
      </w:tr>
      <w:tr>
        <w:tc>
          <w:tcPr>
            <w:tcW w:type="dxa" w:w="3408"/>
            <w:tcMar>
              <w:top w:w="90" w:type="dxa"/>
              <w:start w:w="100" w:type="dxa"/>
              <w:bottom w:w="90" w:type="dxa"/>
              <w:end w:w="100" w:type="dxa"/>
            </w:tcMar>
          </w:tcPr>
          <w:p>
            <w:r>
              <w:t>01</w:t>
            </w:r>
          </w:p>
        </w:tc>
        <w:tc>
          <w:tcPr>
            <w:tcW w:type="dxa" w:w="3408"/>
            <w:tcMar>
              <w:top w:w="90" w:type="dxa"/>
              <w:start w:w="100" w:type="dxa"/>
              <w:bottom w:w="90" w:type="dxa"/>
              <w:end w:w="100" w:type="dxa"/>
            </w:tcMar>
          </w:tcPr>
          <w:p>
            <w:r>
              <w:t>Institutional Hero</w:t>
            </w:r>
          </w:p>
        </w:tc>
        <w:tc>
          <w:tcPr>
            <w:tcW w:type="dxa" w:w="3408"/>
            <w:tcMar>
              <w:top w:w="90" w:type="dxa"/>
              <w:start w:w="100" w:type="dxa"/>
              <w:bottom w:w="90" w:type="dxa"/>
              <w:end w:w="100" w:type="dxa"/>
            </w:tcMar>
          </w:tcPr>
          <w:p>
            <w:r>
              <w:t>Positioning + institutional outcome + primary CTA</w:t>
            </w:r>
          </w:p>
        </w:tc>
      </w:tr>
      <w:tr>
        <w:tc>
          <w:tcPr>
            <w:tcW w:type="dxa" w:w="3408"/>
            <w:tcMar>
              <w:top w:w="90" w:type="dxa"/>
              <w:start w:w="100" w:type="dxa"/>
              <w:bottom w:w="90" w:type="dxa"/>
              <w:end w:w="100" w:type="dxa"/>
            </w:tcMar>
          </w:tcPr>
          <w:p>
            <w:r>
              <w:t>02</w:t>
            </w:r>
          </w:p>
        </w:tc>
        <w:tc>
          <w:tcPr>
            <w:tcW w:type="dxa" w:w="3408"/>
            <w:tcMar>
              <w:top w:w="90" w:type="dxa"/>
              <w:start w:w="100" w:type="dxa"/>
              <w:bottom w:w="90" w:type="dxa"/>
              <w:end w:w="100" w:type="dxa"/>
            </w:tcMar>
          </w:tcPr>
          <w:p>
            <w:r>
              <w:t>Report Evidence</w:t>
            </w:r>
          </w:p>
        </w:tc>
        <w:tc>
          <w:tcPr>
            <w:tcW w:type="dxa" w:w="3408"/>
            <w:tcMar>
              <w:top w:w="90" w:type="dxa"/>
              <w:start w:w="100" w:type="dxa"/>
              <w:bottom w:w="90" w:type="dxa"/>
              <w:end w:w="100" w:type="dxa"/>
            </w:tcMar>
          </w:tcPr>
          <w:p>
            <w:r>
              <w:t>Real product proof educators can review</w:t>
            </w:r>
          </w:p>
        </w:tc>
      </w:tr>
      <w:tr>
        <w:tc>
          <w:tcPr>
            <w:tcW w:type="dxa" w:w="3408"/>
            <w:tcMar>
              <w:top w:w="90" w:type="dxa"/>
              <w:start w:w="100" w:type="dxa"/>
              <w:bottom w:w="90" w:type="dxa"/>
              <w:end w:w="100" w:type="dxa"/>
            </w:tcMar>
          </w:tcPr>
          <w:p>
            <w:r>
              <w:t>03</w:t>
            </w:r>
          </w:p>
        </w:tc>
        <w:tc>
          <w:tcPr>
            <w:tcW w:type="dxa" w:w="3408"/>
            <w:tcMar>
              <w:top w:w="90" w:type="dxa"/>
              <w:start w:w="100" w:type="dxa"/>
              <w:bottom w:w="90" w:type="dxa"/>
              <w:end w:w="100" w:type="dxa"/>
            </w:tcMar>
          </w:tcPr>
          <w:p>
            <w:r>
              <w:t>Institutional Control</w:t>
            </w:r>
          </w:p>
        </w:tc>
        <w:tc>
          <w:tcPr>
            <w:tcW w:type="dxa" w:w="3408"/>
            <w:tcMar>
              <w:top w:w="90" w:type="dxa"/>
              <w:start w:w="100" w:type="dxa"/>
              <w:bottom w:w="90" w:type="dxa"/>
              <w:end w:w="100" w:type="dxa"/>
            </w:tcMar>
          </w:tcPr>
          <w:p>
            <w:r>
              <w:t>Members + permissions + checking resources as one relationship system</w:t>
            </w:r>
          </w:p>
        </w:tc>
      </w:tr>
      <w:tr>
        <w:tc>
          <w:tcPr>
            <w:tcW w:type="dxa" w:w="3408"/>
            <w:tcMar>
              <w:top w:w="90" w:type="dxa"/>
              <w:start w:w="100" w:type="dxa"/>
              <w:bottom w:w="90" w:type="dxa"/>
              <w:end w:w="100" w:type="dxa"/>
            </w:tcMar>
          </w:tcPr>
          <w:p>
            <w:r>
              <w:t>04</w:t>
            </w:r>
          </w:p>
        </w:tc>
        <w:tc>
          <w:tcPr>
            <w:tcW w:type="dxa" w:w="3408"/>
            <w:tcMar>
              <w:top w:w="90" w:type="dxa"/>
              <w:start w:w="100" w:type="dxa"/>
              <w:bottom w:w="90" w:type="dxa"/>
              <w:end w:w="100" w:type="dxa"/>
            </w:tcMar>
          </w:tcPr>
          <w:p>
            <w:r>
              <w:t>Sources, Storage &amp; Document Handling</w:t>
            </w:r>
          </w:p>
        </w:tc>
        <w:tc>
          <w:tcPr>
            <w:tcW w:type="dxa" w:w="3408"/>
            <w:tcMar>
              <w:top w:w="90" w:type="dxa"/>
              <w:start w:w="100" w:type="dxa"/>
              <w:bottom w:w="90" w:type="dxa"/>
              <w:end w:w="100" w:type="dxa"/>
            </w:tcMar>
          </w:tcPr>
          <w:p>
            <w:r>
              <w:t>Source coverage + Storage distinction + report lifecycle</w:t>
            </w:r>
          </w:p>
        </w:tc>
      </w:tr>
      <w:tr>
        <w:tc>
          <w:tcPr>
            <w:tcW w:type="dxa" w:w="3408"/>
            <w:tcMar>
              <w:top w:w="90" w:type="dxa"/>
              <w:start w:w="100" w:type="dxa"/>
              <w:bottom w:w="90" w:type="dxa"/>
              <w:end w:w="100" w:type="dxa"/>
            </w:tcMar>
          </w:tcPr>
          <w:p>
            <w:r>
              <w:t>05</w:t>
            </w:r>
          </w:p>
        </w:tc>
        <w:tc>
          <w:tcPr>
            <w:tcW w:type="dxa" w:w="3408"/>
            <w:tcMar>
              <w:top w:w="90" w:type="dxa"/>
              <w:start w:w="100" w:type="dxa"/>
              <w:bottom w:w="90" w:type="dxa"/>
              <w:end w:w="100" w:type="dxa"/>
            </w:tcMar>
          </w:tcPr>
          <w:p>
            <w:r>
              <w:t>Deployment</w:t>
            </w:r>
          </w:p>
        </w:tc>
        <w:tc>
          <w:tcPr>
            <w:tcW w:type="dxa" w:w="3408"/>
            <w:tcMar>
              <w:top w:w="90" w:type="dxa"/>
              <w:start w:w="100" w:type="dxa"/>
              <w:bottom w:w="90" w:type="dxa"/>
              <w:end w:w="100" w:type="dxa"/>
            </w:tcMar>
          </w:tcPr>
          <w:p>
            <w:r>
              <w:t>Organization workspace / LMS / API decision</w:t>
            </w:r>
          </w:p>
        </w:tc>
      </w:tr>
      <w:tr>
        <w:tc>
          <w:tcPr>
            <w:tcW w:type="dxa" w:w="3408"/>
            <w:tcMar>
              <w:top w:w="90" w:type="dxa"/>
              <w:start w:w="100" w:type="dxa"/>
              <w:bottom w:w="90" w:type="dxa"/>
              <w:end w:w="100" w:type="dxa"/>
            </w:tcMar>
          </w:tcPr>
          <w:p>
            <w:r>
              <w:t>06</w:t>
            </w:r>
          </w:p>
        </w:tc>
        <w:tc>
          <w:tcPr>
            <w:tcW w:type="dxa" w:w="3408"/>
            <w:tcMar>
              <w:top w:w="90" w:type="dxa"/>
              <w:start w:w="100" w:type="dxa"/>
              <w:bottom w:w="90" w:type="dxa"/>
              <w:end w:w="100" w:type="dxa"/>
            </w:tcMar>
          </w:tcPr>
          <w:p>
            <w:r>
              <w:t>Optional AI Checking</w:t>
            </w:r>
          </w:p>
        </w:tc>
        <w:tc>
          <w:tcPr>
            <w:tcW w:type="dxa" w:w="3408"/>
            <w:tcMar>
              <w:top w:w="90" w:type="dxa"/>
              <w:start w:w="100" w:type="dxa"/>
              <w:bottom w:w="90" w:type="dxa"/>
              <w:end w:w="100" w:type="dxa"/>
            </w:tcMar>
          </w:tcPr>
          <w:p>
            <w:r>
              <w:t>Secondary capability, clearly separated from plagiarism</w:t>
            </w:r>
          </w:p>
        </w:tc>
      </w:tr>
      <w:tr>
        <w:tc>
          <w:tcPr>
            <w:tcW w:type="dxa" w:w="3408"/>
            <w:tcMar>
              <w:top w:w="90" w:type="dxa"/>
              <w:start w:w="100" w:type="dxa"/>
              <w:bottom w:w="90" w:type="dxa"/>
              <w:end w:w="100" w:type="dxa"/>
            </w:tcMar>
          </w:tcPr>
          <w:p>
            <w:r>
              <w:t>07</w:t>
            </w:r>
          </w:p>
        </w:tc>
        <w:tc>
          <w:tcPr>
            <w:tcW w:type="dxa" w:w="3408"/>
            <w:tcMar>
              <w:top w:w="90" w:type="dxa"/>
              <w:start w:w="100" w:type="dxa"/>
              <w:bottom w:w="90" w:type="dxa"/>
              <w:end w:w="100" w:type="dxa"/>
            </w:tcMar>
          </w:tcPr>
          <w:p>
            <w:r>
              <w:t>Institutional Inquiry</w:t>
            </w:r>
          </w:p>
        </w:tc>
        <w:tc>
          <w:tcPr>
            <w:tcW w:type="dxa" w:w="3408"/>
            <w:tcMar>
              <w:top w:w="90" w:type="dxa"/>
              <w:start w:w="100" w:type="dxa"/>
              <w:bottom w:w="90" w:type="dxa"/>
              <w:end w:w="100" w:type="dxa"/>
            </w:tcMar>
          </w:tcPr>
          <w:p>
            <w:r>
              <w:t>Primary conversion</w:t>
            </w:r>
          </w:p>
        </w:tc>
      </w:tr>
      <w:tr>
        <w:tc>
          <w:tcPr>
            <w:tcW w:type="dxa" w:w="3408"/>
            <w:tcMar>
              <w:top w:w="90" w:type="dxa"/>
              <w:start w:w="100" w:type="dxa"/>
              <w:bottom w:w="90" w:type="dxa"/>
              <w:end w:w="100" w:type="dxa"/>
            </w:tcMar>
          </w:tcPr>
          <w:p>
            <w:r>
              <w:t>08</w:t>
            </w:r>
          </w:p>
        </w:tc>
        <w:tc>
          <w:tcPr>
            <w:tcW w:type="dxa" w:w="3408"/>
            <w:tcMar>
              <w:top w:w="90" w:type="dxa"/>
              <w:start w:w="100" w:type="dxa"/>
              <w:bottom w:w="90" w:type="dxa"/>
              <w:end w:w="100" w:type="dxa"/>
            </w:tcMar>
          </w:tcPr>
          <w:p>
            <w:r>
              <w:t>University FAQ</w:t>
            </w:r>
          </w:p>
        </w:tc>
        <w:tc>
          <w:tcPr>
            <w:tcW w:type="dxa" w:w="3408"/>
            <w:tcMar>
              <w:top w:w="90" w:type="dxa"/>
              <w:start w:w="100" w:type="dxa"/>
              <w:bottom w:w="90" w:type="dxa"/>
              <w:end w:w="100" w:type="dxa"/>
            </w:tcMar>
          </w:tcPr>
          <w:p>
            <w:r>
              <w:t>Objection handling + long-tail</w:t>
            </w:r>
          </w:p>
        </w:tc>
      </w:tr>
      <w:tr>
        <w:tc>
          <w:tcPr>
            <w:tcW w:type="dxa" w:w="3408"/>
            <w:tcMar>
              <w:top w:w="90" w:type="dxa"/>
              <w:start w:w="100" w:type="dxa"/>
              <w:bottom w:w="90" w:type="dxa"/>
              <w:end w:w="100" w:type="dxa"/>
            </w:tcMar>
          </w:tcPr>
          <w:p>
            <w:r>
              <w:t>09</w:t>
            </w:r>
          </w:p>
        </w:tc>
        <w:tc>
          <w:tcPr>
            <w:tcW w:type="dxa" w:w="3408"/>
            <w:tcMar>
              <w:top w:w="90" w:type="dxa"/>
              <w:start w:w="100" w:type="dxa"/>
              <w:bottom w:w="90" w:type="dxa"/>
              <w:end w:w="100" w:type="dxa"/>
            </w:tcMar>
          </w:tcPr>
          <w:p>
            <w:r>
              <w:t>Final CTA</w:t>
            </w:r>
          </w:p>
        </w:tc>
        <w:tc>
          <w:tcPr>
            <w:tcW w:type="dxa" w:w="3408"/>
            <w:tcMar>
              <w:top w:w="90" w:type="dxa"/>
              <w:start w:w="100" w:type="dxa"/>
              <w:bottom w:w="90" w:type="dxa"/>
              <w:end w:w="100" w:type="dxa"/>
            </w:tcMar>
          </w:tcPr>
          <w:p>
            <w:r>
              <w:t>Close the decision journey</w:t>
            </w:r>
          </w:p>
        </w:tc>
      </w:tr>
    </w:tbl>
    <w:p>
      <w:pPr>
        <w:pStyle w:val="Heading1"/>
      </w:pPr>
      <w:r>
        <w:t>7. Section 01 — Institutional Hero</w:t>
      </w:r>
    </w:p>
    <w:tbl>
      <w:tblPr>
        <w:tblStyle w:val="TableGrid"/>
        <w:tblW w:type="auto" w:w="0"/>
        <w:jc w:val="center"/>
        <w:tblLook w:firstColumn="1" w:firstRow="1" w:lastColumn="0" w:lastRow="0" w:noHBand="0" w:noVBand="1" w:val="04A0"/>
      </w:tblPr>
      <w:tblGrid>
        <w:gridCol w:w="5112"/>
        <w:gridCol w:w="5112"/>
      </w:tblGrid>
      <w:tr>
        <w:tc>
          <w:tcPr>
            <w:tcW w:type="dxa" w:w="5112"/>
            <w:shd w:fill="EAF1F7"/>
          </w:tcPr>
          <w:p>
            <w:r>
              <w:rPr>
                <w:b/>
              </w:rPr>
              <w:t>Item</w:t>
            </w:r>
          </w:p>
        </w:tc>
        <w:tc>
          <w:tcPr>
            <w:tcW w:type="dxa" w:w="5112"/>
            <w:shd w:fill="EAF1F7"/>
          </w:tcPr>
          <w:p>
            <w:r>
              <w:rPr>
                <w:b/>
              </w:rPr>
              <w:t>Approved implementation</w:t>
            </w:r>
          </w:p>
        </w:tc>
      </w:tr>
      <w:tr>
        <w:tc>
          <w:tcPr>
            <w:tcW w:type="dxa" w:w="5112"/>
            <w:vAlign w:val="top"/>
            <w:tcMar>
              <w:top w:w="90" w:type="dxa"/>
              <w:start w:w="100" w:type="dxa"/>
              <w:bottom w:w="90" w:type="dxa"/>
              <w:end w:w="100" w:type="dxa"/>
            </w:tcMar>
          </w:tcPr>
          <w:p>
            <w:r>
              <w:t>Anchor</w:t>
            </w:r>
          </w:p>
        </w:tc>
        <w:tc>
          <w:tcPr>
            <w:tcW w:type="dxa" w:w="5112"/>
            <w:vAlign w:val="top"/>
            <w:tcMar>
              <w:top w:w="90" w:type="dxa"/>
              <w:start w:w="100" w:type="dxa"/>
              <w:bottom w:w="90" w:type="dxa"/>
              <w:end w:w="100" w:type="dxa"/>
            </w:tcMar>
          </w:tcPr>
          <w:p>
            <w:r>
              <w:t>#university-plagiarism-checker</w:t>
            </w:r>
          </w:p>
        </w:tc>
      </w:tr>
      <w:tr>
        <w:tc>
          <w:tcPr>
            <w:tcW w:type="dxa" w:w="5112"/>
            <w:vAlign w:val="top"/>
            <w:tcMar>
              <w:top w:w="90" w:type="dxa"/>
              <w:start w:w="100" w:type="dxa"/>
              <w:bottom w:w="90" w:type="dxa"/>
              <w:end w:w="100" w:type="dxa"/>
            </w:tcMar>
          </w:tcPr>
          <w:p>
            <w:r>
              <w:t>Role</w:t>
            </w:r>
          </w:p>
        </w:tc>
        <w:tc>
          <w:tcPr>
            <w:tcW w:type="dxa" w:w="5112"/>
            <w:vAlign w:val="top"/>
            <w:tcMar>
              <w:top w:w="90" w:type="dxa"/>
              <w:start w:w="100" w:type="dxa"/>
              <w:bottom w:w="90" w:type="dxa"/>
              <w:end w:w="100" w:type="dxa"/>
            </w:tcMar>
          </w:tcPr>
          <w:p>
            <w:r>
              <w:t>Positioning. Confirm this is an institutional solution and establish Review / Manage / Integrate as the three high-level outcomes.</w:t>
            </w:r>
          </w:p>
        </w:tc>
      </w:tr>
    </w:tbl>
    <w:p>
      <w:r>
        <w:rPr>
          <w:b/>
          <w:color w:val="0889A6"/>
          <w:sz w:val="16"/>
        </w:rPr>
        <w:t>EYEBROW — LOCKED COPY</w:t>
      </w:r>
    </w:p>
    <w:p>
      <w:r>
        <w:rPr>
          <w:b/>
          <w:color w:val="0D1C34"/>
          <w:sz w:val="26"/>
        </w:rPr>
        <w:t>FOR UNIVERSITIES &amp; HIGHER EDUCATION</w:t>
      </w:r>
    </w:p>
    <w:p>
      <w:r>
        <w:rPr>
          <w:b/>
          <w:color w:val="0889A6"/>
          <w:sz w:val="16"/>
        </w:rPr>
        <w:t>H1 — LOCKED COPY</w:t>
      </w:r>
    </w:p>
    <w:p>
      <w:r>
        <w:rPr>
          <w:b/>
          <w:color w:val="0D1C34"/>
          <w:sz w:val="26"/>
        </w:rPr>
        <w:t>University Plagiarism Checker</w:t>
      </w:r>
    </w:p>
    <w:p>
      <w:r>
        <w:rPr>
          <w:b/>
          <w:color w:val="0889A6"/>
          <w:sz w:val="16"/>
        </w:rPr>
        <w:t>SUPPORTING COPY — LOCKED COPY</w:t>
      </w:r>
    </w:p>
    <w:p>
      <w:r>
        <w:rPr>
          <w:b/>
          <w:color w:val="0D1C34"/>
          <w:sz w:val="26"/>
        </w:rPr>
        <w:t>Give educators source evidence they can review and administrators the controls to manage institutional access, checking resources, and Storage. Use PlagiarismSearch directly, through your LMS, or through the API.</w:t>
      </w:r>
    </w:p>
    <w:tbl>
      <w:tblPr>
        <w:tblStyle w:val="TableGrid"/>
        <w:tblW w:type="auto" w:w="0"/>
        <w:jc w:val="center"/>
        <w:tblLook w:firstColumn="1" w:firstRow="1" w:lastColumn="0" w:lastRow="0" w:noHBand="0" w:noVBand="1" w:val="04A0"/>
      </w:tblPr>
      <w:tblGrid>
        <w:gridCol w:w="5112"/>
        <w:gridCol w:w="5112"/>
      </w:tblGrid>
      <w:tr>
        <w:tc>
          <w:tcPr>
            <w:tcW w:type="dxa" w:w="5112"/>
            <w:shd w:fill="EAF1F7"/>
          </w:tcPr>
          <w:p>
            <w:r>
              <w:rPr>
                <w:b/>
              </w:rPr>
              <w:t>Item</w:t>
            </w:r>
          </w:p>
        </w:tc>
        <w:tc>
          <w:tcPr>
            <w:tcW w:type="dxa" w:w="5112"/>
            <w:shd w:fill="EAF1F7"/>
          </w:tcPr>
          <w:p>
            <w:r>
              <w:rPr>
                <w:b/>
              </w:rPr>
              <w:t>Approved implementation</w:t>
            </w:r>
          </w:p>
        </w:tc>
      </w:tr>
      <w:tr>
        <w:tc>
          <w:tcPr>
            <w:tcW w:type="dxa" w:w="5112"/>
            <w:vAlign w:val="top"/>
            <w:tcMar>
              <w:top w:w="90" w:type="dxa"/>
              <w:start w:w="100" w:type="dxa"/>
              <w:bottom w:w="90" w:type="dxa"/>
              <w:end w:w="100" w:type="dxa"/>
            </w:tcMar>
          </w:tcPr>
          <w:p>
            <w:r>
              <w:t>Primary CTA</w:t>
            </w:r>
          </w:p>
        </w:tc>
        <w:tc>
          <w:tcPr>
            <w:tcW w:type="dxa" w:w="5112"/>
            <w:vAlign w:val="top"/>
            <w:tcMar>
              <w:top w:w="90" w:type="dxa"/>
              <w:start w:w="100" w:type="dxa"/>
              <w:bottom w:w="90" w:type="dxa"/>
              <w:end w:w="100" w:type="dxa"/>
            </w:tcMar>
          </w:tcPr>
          <w:p>
            <w:r>
              <w:t>Request institutional pricing → #institutional-inquiry</w:t>
            </w:r>
          </w:p>
        </w:tc>
      </w:tr>
      <w:tr>
        <w:tc>
          <w:tcPr>
            <w:tcW w:type="dxa" w:w="5112"/>
            <w:vAlign w:val="top"/>
            <w:tcMar>
              <w:top w:w="90" w:type="dxa"/>
              <w:start w:w="100" w:type="dxa"/>
              <w:bottom w:w="90" w:type="dxa"/>
              <w:end w:w="100" w:type="dxa"/>
            </w:tcMar>
          </w:tcPr>
          <w:p>
            <w:r>
              <w:t>Secondary CTA</w:t>
            </w:r>
          </w:p>
        </w:tc>
        <w:tc>
          <w:tcPr>
            <w:tcW w:type="dxa" w:w="5112"/>
            <w:vAlign w:val="top"/>
            <w:tcMar>
              <w:top w:w="90" w:type="dxa"/>
              <w:start w:w="100" w:type="dxa"/>
              <w:bottom w:w="90" w:type="dxa"/>
              <w:end w:w="100" w:type="dxa"/>
            </w:tcMar>
          </w:tcPr>
          <w:p>
            <w:r>
              <w:t>See how it works → #institutional-report</w:t>
            </w:r>
          </w:p>
        </w:tc>
      </w:tr>
      <w:tr>
        <w:tc>
          <w:tcPr>
            <w:tcW w:type="dxa" w:w="5112"/>
            <w:vAlign w:val="top"/>
            <w:tcMar>
              <w:top w:w="90" w:type="dxa"/>
              <w:start w:w="100" w:type="dxa"/>
              <w:bottom w:w="90" w:type="dxa"/>
              <w:end w:w="100" w:type="dxa"/>
            </w:tcMar>
          </w:tcPr>
          <w:p>
            <w:r>
              <w:t>Supporting line</w:t>
            </w:r>
          </w:p>
        </w:tc>
        <w:tc>
          <w:tcPr>
            <w:tcW w:type="dxa" w:w="5112"/>
            <w:vAlign w:val="top"/>
            <w:tcMar>
              <w:top w:w="90" w:type="dxa"/>
              <w:start w:w="100" w:type="dxa"/>
              <w:bottom w:w="90" w:type="dxa"/>
              <w:end w:w="100" w:type="dxa"/>
            </w:tcMar>
          </w:tcPr>
          <w:p>
            <w:r>
              <w:t>For universities, colleges, academic departments, and other higher-education institutions.</w:t>
            </w:r>
          </w:p>
        </w:tc>
      </w:tr>
    </w:tbl>
    <w:p>
      <w:pPr>
        <w:pStyle w:val="Heading2"/>
      </w:pPr>
      <w:r>
        <w:t>Hero visual — INFORMATION CONTRACT</w:t>
      </w:r>
    </w:p>
    <w:p>
      <w:pPr>
        <w:pStyle w:val="ListBullet"/>
        <w:spacing w:after="40"/>
      </w:pPr>
      <w:r>
        <w:rPr>
          <w:b/>
        </w:rPr>
        <w:t xml:space="preserve">Review — </w:t>
      </w:r>
      <w:r>
        <w:t>Source evidence for educators.</w:t>
      </w:r>
    </w:p>
    <w:p>
      <w:pPr>
        <w:pStyle w:val="ListBullet"/>
        <w:spacing w:after="40"/>
      </w:pPr>
      <w:r>
        <w:rPr>
          <w:b/>
        </w:rPr>
        <w:t xml:space="preserve">Manage — </w:t>
      </w:r>
      <w:r>
        <w:t>People, permissions, and institutional resources.</w:t>
      </w:r>
    </w:p>
    <w:p>
      <w:pPr>
        <w:pStyle w:val="ListBullet"/>
        <w:spacing w:after="40"/>
      </w:pPr>
      <w:r>
        <w:rPr>
          <w:b/>
        </w:rPr>
        <w:t xml:space="preserve">Integrate — </w:t>
      </w:r>
      <w:r>
        <w:t>Direct workspace, LMS, or API.</w:t>
      </w:r>
    </w:p>
    <w:tbl>
      <w:tblPr>
        <w:tblW w:type="auto" w:w="0"/>
        <w:jc w:val="center"/>
        <w:tblLook w:firstColumn="1" w:firstRow="1" w:lastColumn="0" w:lastRow="0" w:noHBand="0" w:noVBand="1" w:val="04A0"/>
      </w:tblPr>
      <w:tblGrid>
        <w:gridCol w:w="10224"/>
      </w:tblGrid>
      <w:tr>
        <w:tc>
          <w:tcPr>
            <w:tcW w:type="dxa" w:w="10224"/>
            <w:shd w:fill="E9F7FA"/>
            <w:tcMar>
              <w:top w:w="110" w:type="dxa"/>
              <w:start w:w="130" w:type="dxa"/>
              <w:bottom w:w="110" w:type="dxa"/>
              <w:end w:w="130" w:type="dxa"/>
            </w:tcMar>
          </w:tcPr>
          <w:p>
            <w:r>
              <w:rPr>
                <w:b/>
                <w:sz w:val="20"/>
              </w:rPr>
              <w:t>Design freedom</w:t>
            </w:r>
          </w:p>
          <w:p>
            <w:pPr/>
            <w:r>
              <w:t>Present this institutional system using any composition that fits the approved PlagiarismSearch language: connected system, hub, asymmetrical composition, lanes, or another strong structure. Do not simply repeat three equal deployment cards from v1.</w:t>
            </w:r>
          </w:p>
        </w:tc>
      </w:tr>
    </w:tbl>
    <w:p>
      <w:pPr>
        <w:spacing w:after="20"/>
      </w:pPr>
    </w:p>
    <w:p>
      <w:pPr>
        <w:pStyle w:val="ListBullet"/>
        <w:spacing w:after="40"/>
      </w:pPr>
      <w:r>
        <w:t>Do not invent an administrator dashboard.</w:t>
      </w:r>
    </w:p>
    <w:p>
      <w:pPr>
        <w:pStyle w:val="ListBullet"/>
        <w:spacing w:after="40"/>
      </w:pPr>
      <w:r>
        <w:t>Do not place a plagiarism checker form in this hero.</w:t>
      </w:r>
    </w:p>
    <w:p>
      <w:pPr>
        <w:pStyle w:val="ListBullet"/>
        <w:spacing w:after="40"/>
      </w:pPr>
      <w:r>
        <w:t>Do not use generic university stock photography as the primary proof.</w:t>
      </w:r>
    </w:p>
    <w:p>
      <w:pPr>
        <w:pStyle w:val="ListBullet"/>
        <w:spacing w:after="40"/>
      </w:pPr>
      <w:r>
        <w:t>Do not make Organization / Moodle / API the hero story; deployment choice belongs later.</w:t>
      </w:r>
    </w:p>
    <w:p>
      <w:pPr>
        <w:pStyle w:val="Heading1"/>
      </w:pPr>
      <w:r>
        <w:t>8. Section 02 — Report Evidence</w:t>
      </w:r>
    </w:p>
    <w:tbl>
      <w:tblPr>
        <w:tblStyle w:val="TableGrid"/>
        <w:tblW w:type="auto" w:w="0"/>
        <w:jc w:val="center"/>
        <w:tblLook w:firstColumn="1" w:firstRow="1" w:lastColumn="0" w:lastRow="0" w:noHBand="0" w:noVBand="1" w:val="04A0"/>
      </w:tblPr>
      <w:tblGrid>
        <w:gridCol w:w="5112"/>
        <w:gridCol w:w="5112"/>
      </w:tblGrid>
      <w:tr>
        <w:tc>
          <w:tcPr>
            <w:tcW w:type="dxa" w:w="5112"/>
            <w:shd w:fill="EAF1F7"/>
          </w:tcPr>
          <w:p>
            <w:r>
              <w:rPr>
                <w:b/>
              </w:rPr>
              <w:t>Item</w:t>
            </w:r>
          </w:p>
        </w:tc>
        <w:tc>
          <w:tcPr>
            <w:tcW w:type="dxa" w:w="5112"/>
            <w:shd w:fill="EAF1F7"/>
          </w:tcPr>
          <w:p>
            <w:r>
              <w:rPr>
                <w:b/>
              </w:rPr>
              <w:t>Approved implementation</w:t>
            </w:r>
          </w:p>
        </w:tc>
      </w:tr>
      <w:tr>
        <w:tc>
          <w:tcPr>
            <w:tcW w:type="dxa" w:w="5112"/>
            <w:vAlign w:val="top"/>
            <w:tcMar>
              <w:top w:w="90" w:type="dxa"/>
              <w:start w:w="100" w:type="dxa"/>
              <w:bottom w:w="90" w:type="dxa"/>
              <w:end w:w="100" w:type="dxa"/>
            </w:tcMar>
          </w:tcPr>
          <w:p>
            <w:r>
              <w:t>Anchor</w:t>
            </w:r>
          </w:p>
        </w:tc>
        <w:tc>
          <w:tcPr>
            <w:tcW w:type="dxa" w:w="5112"/>
            <w:vAlign w:val="top"/>
            <w:tcMar>
              <w:top w:w="90" w:type="dxa"/>
              <w:start w:w="100" w:type="dxa"/>
              <w:bottom w:w="90" w:type="dxa"/>
              <w:end w:w="100" w:type="dxa"/>
            </w:tcMar>
          </w:tcPr>
          <w:p>
            <w:r>
              <w:t>#institutional-report</w:t>
            </w:r>
          </w:p>
        </w:tc>
      </w:tr>
      <w:tr>
        <w:tc>
          <w:tcPr>
            <w:tcW w:type="dxa" w:w="5112"/>
            <w:vAlign w:val="top"/>
            <w:tcMar>
              <w:top w:w="90" w:type="dxa"/>
              <w:start w:w="100" w:type="dxa"/>
              <w:bottom w:w="90" w:type="dxa"/>
              <w:end w:w="100" w:type="dxa"/>
            </w:tcMar>
          </w:tcPr>
          <w:p>
            <w:r>
              <w:t>Role</w:t>
            </w:r>
          </w:p>
        </w:tc>
        <w:tc>
          <w:tcPr>
            <w:tcW w:type="dxa" w:w="5112"/>
            <w:vAlign w:val="top"/>
            <w:tcMar>
              <w:top w:w="90" w:type="dxa"/>
              <w:start w:w="100" w:type="dxa"/>
              <w:bottom w:w="90" w:type="dxa"/>
              <w:end w:w="100" w:type="dxa"/>
            </w:tcMar>
          </w:tcPr>
          <w:p>
            <w:r>
              <w:t>Product proof. Show what an educator reviews, not a marketing promise.</w:t>
            </w:r>
          </w:p>
        </w:tc>
      </w:tr>
    </w:tbl>
    <w:p>
      <w:r>
        <w:rPr>
          <w:b/>
          <w:color w:val="0889A6"/>
          <w:sz w:val="16"/>
        </w:rPr>
        <w:t>EYEBROW — LOCKED COPY</w:t>
      </w:r>
    </w:p>
    <w:p>
      <w:r>
        <w:rPr>
          <w:b/>
          <w:color w:val="0D1C34"/>
          <w:sz w:val="26"/>
        </w:rPr>
        <w:t>REPORT EVIDENCE</w:t>
      </w:r>
    </w:p>
    <w:p>
      <w:r>
        <w:rPr>
          <w:b/>
          <w:color w:val="0889A6"/>
          <w:sz w:val="16"/>
        </w:rPr>
        <w:t>H2 — LOCKED COPY</w:t>
      </w:r>
    </w:p>
    <w:p>
      <w:r>
        <w:rPr>
          <w:b/>
          <w:color w:val="0D1C34"/>
          <w:sz w:val="26"/>
        </w:rPr>
        <w:t>Give educators evidence they can review</w:t>
      </w:r>
    </w:p>
    <w:p>
      <w:r>
        <w:rPr>
          <w:b/>
          <w:color w:val="0889A6"/>
          <w:sz w:val="16"/>
        </w:rPr>
        <w:t>BODY — LOCKED COPY</w:t>
      </w:r>
    </w:p>
    <w:p>
      <w:r>
        <w:rPr>
          <w:b/>
          <w:color w:val="0D1C34"/>
          <w:sz w:val="26"/>
        </w:rPr>
        <w:t>After a plagiarism check, the report highlights matching and similar passages and connects them to detected sources. Educators can inspect the matched text, open the source, and review citations, references, and surrounding context before deciding how a match should be interpreted.</w:t>
      </w:r>
    </w:p>
    <w:p>
      <w:pPr>
        <w:pStyle w:val="LockedCopy"/>
        <w:spacing w:after="80"/>
      </w:pPr>
      <w:r>
        <w:t>A similarity result is evidence for review, not an automatic finding that academic misconduct occurred.</w:t>
      </w:r>
    </w:p>
    <w:p>
      <w:pPr>
        <w:pStyle w:val="Heading2"/>
      </w:pPr>
      <w:r>
        <w:t>Supporting concepts — LOCKED COPY, but NOT required as three large cards</w:t>
      </w:r>
    </w:p>
    <w:p>
      <w:pPr>
        <w:pStyle w:val="ListBullet"/>
        <w:spacing w:after="40"/>
      </w:pPr>
      <w:r>
        <w:rPr>
          <w:b/>
        </w:rPr>
        <w:t xml:space="preserve">See the match — </w:t>
      </w:r>
      <w:r>
        <w:t>Identify where matching or similar text appears in the submitted document.</w:t>
      </w:r>
    </w:p>
    <w:p>
      <w:pPr>
        <w:pStyle w:val="ListBullet"/>
        <w:spacing w:after="40"/>
      </w:pPr>
      <w:r>
        <w:rPr>
          <w:b/>
        </w:rPr>
        <w:t xml:space="preserve">Open the source — </w:t>
      </w:r>
      <w:r>
        <w:t>Review the source connected to the match.</w:t>
      </w:r>
    </w:p>
    <w:p>
      <w:pPr>
        <w:pStyle w:val="ListBullet"/>
        <w:spacing w:after="40"/>
      </w:pPr>
      <w:r>
        <w:rPr>
          <w:b/>
        </w:rPr>
        <w:t xml:space="preserve">Review the context — </w:t>
      </w:r>
      <w:r>
        <w:t>Consider citations, references, and surrounding text before reaching a conclusion.</w:t>
      </w:r>
    </w:p>
    <w:tbl>
      <w:tblPr>
        <w:tblW w:type="auto" w:w="0"/>
        <w:jc w:val="center"/>
        <w:tblLook w:firstColumn="1" w:firstRow="1" w:lastColumn="0" w:lastRow="0" w:noHBand="0" w:noVBand="1" w:val="04A0"/>
      </w:tblPr>
      <w:tblGrid>
        <w:gridCol w:w="10224"/>
      </w:tblGrid>
      <w:tr>
        <w:tc>
          <w:tcPr>
            <w:tcW w:type="dxa" w:w="10224"/>
            <w:shd w:fill="EAF7EF"/>
            <w:tcMar>
              <w:top w:w="110" w:type="dxa"/>
              <w:start w:w="130" w:type="dxa"/>
              <w:bottom w:w="110" w:type="dxa"/>
              <w:end w:w="130" w:type="dxa"/>
            </w:tcMar>
          </w:tcPr>
          <w:p>
            <w:r>
              <w:rPr>
                <w:b/>
                <w:sz w:val="20"/>
              </w:rPr>
              <w:t>Signature clarification — LOCKED COPY</w:t>
            </w:r>
          </w:p>
          <w:p>
            <w:pPr/>
            <w:r>
              <w:t>Interpret the similarity percentage together with the underlying matches, sources, citations, and context.</w:t>
            </w:r>
          </w:p>
        </w:tc>
      </w:tr>
    </w:tbl>
    <w:p>
      <w:pPr>
        <w:spacing w:after="20"/>
      </w:pPr>
    </w:p>
    <w:p>
      <w:pPr>
        <w:pStyle w:val="ListBullet"/>
        <w:spacing w:after="40"/>
      </w:pPr>
      <w:r>
        <w:t>Reuse the real approved plagiarism report visual/component.</w:t>
      </w:r>
    </w:p>
    <w:p>
      <w:pPr>
        <w:pStyle w:val="ListBullet"/>
        <w:spacing w:after="40"/>
      </w:pPr>
      <w:r>
        <w:t>The report is the focal visual object; supporting concepts should be visually secondary.</w:t>
      </w:r>
    </w:p>
    <w:p>
      <w:pPr>
        <w:pStyle w:val="ListBullet"/>
        <w:spacing w:after="40"/>
      </w:pPr>
      <w:r>
        <w:t>Do not invent “Cheating detected,” “Academic misconduct,” pass/fail thresholds, or university-specific report fields.</w:t>
      </w:r>
    </w:p>
    <w:p>
      <w:pPr>
        <w:pStyle w:val="Heading1"/>
      </w:pPr>
      <w:r>
        <w:t>9. Section 03 — Institutional Control</w:t>
      </w:r>
    </w:p>
    <w:tbl>
      <w:tblPr>
        <w:tblStyle w:val="TableGrid"/>
        <w:tblW w:type="auto" w:w="0"/>
        <w:jc w:val="center"/>
        <w:tblLook w:firstColumn="1" w:firstRow="1" w:lastColumn="0" w:lastRow="0" w:noHBand="0" w:noVBand="1" w:val="04A0"/>
      </w:tblPr>
      <w:tblGrid>
        <w:gridCol w:w="5112"/>
        <w:gridCol w:w="5112"/>
      </w:tblGrid>
      <w:tr>
        <w:tc>
          <w:tcPr>
            <w:tcW w:type="dxa" w:w="5112"/>
            <w:shd w:fill="EAF1F7"/>
          </w:tcPr>
          <w:p>
            <w:r>
              <w:rPr>
                <w:b/>
              </w:rPr>
              <w:t>Item</w:t>
            </w:r>
          </w:p>
        </w:tc>
        <w:tc>
          <w:tcPr>
            <w:tcW w:type="dxa" w:w="5112"/>
            <w:shd w:fill="EAF1F7"/>
          </w:tcPr>
          <w:p>
            <w:r>
              <w:rPr>
                <w:b/>
              </w:rPr>
              <w:t>Approved implementation</w:t>
            </w:r>
          </w:p>
        </w:tc>
      </w:tr>
      <w:tr>
        <w:tc>
          <w:tcPr>
            <w:tcW w:type="dxa" w:w="5112"/>
            <w:vAlign w:val="top"/>
            <w:tcMar>
              <w:top w:w="90" w:type="dxa"/>
              <w:start w:w="100" w:type="dxa"/>
              <w:bottom w:w="90" w:type="dxa"/>
              <w:end w:w="100" w:type="dxa"/>
            </w:tcMar>
          </w:tcPr>
          <w:p>
            <w:r>
              <w:t>Anchor</w:t>
            </w:r>
          </w:p>
        </w:tc>
        <w:tc>
          <w:tcPr>
            <w:tcW w:type="dxa" w:w="5112"/>
            <w:vAlign w:val="top"/>
            <w:tcMar>
              <w:top w:w="90" w:type="dxa"/>
              <w:start w:w="100" w:type="dxa"/>
              <w:bottom w:w="90" w:type="dxa"/>
              <w:end w:w="100" w:type="dxa"/>
            </w:tcMar>
          </w:tcPr>
          <w:p>
            <w:r>
              <w:t>#institutional-management</w:t>
            </w:r>
          </w:p>
        </w:tc>
      </w:tr>
      <w:tr>
        <w:tc>
          <w:tcPr>
            <w:tcW w:type="dxa" w:w="5112"/>
            <w:vAlign w:val="top"/>
            <w:tcMar>
              <w:top w:w="90" w:type="dxa"/>
              <w:start w:w="100" w:type="dxa"/>
              <w:bottom w:w="90" w:type="dxa"/>
              <w:end w:w="100" w:type="dxa"/>
            </w:tcMar>
          </w:tcPr>
          <w:p>
            <w:r>
              <w:t>Role</w:t>
            </w:r>
          </w:p>
        </w:tc>
        <w:tc>
          <w:tcPr>
            <w:tcW w:type="dxa" w:w="5112"/>
            <w:vAlign w:val="top"/>
            <w:tcMar>
              <w:top w:w="90" w:type="dxa"/>
              <w:start w:w="100" w:type="dxa"/>
              <w:bottom w:w="90" w:type="dxa"/>
              <w:end w:w="100" w:type="dxa"/>
            </w:tcMar>
          </w:tcPr>
          <w:p>
            <w:r>
              <w:t>Explain centralized institutional administration as a relationship/system, not a capability grid.</w:t>
            </w:r>
          </w:p>
        </w:tc>
      </w:tr>
    </w:tbl>
    <w:p>
      <w:r>
        <w:rPr>
          <w:b/>
          <w:color w:val="0889A6"/>
          <w:sz w:val="16"/>
        </w:rPr>
        <w:t>EYEBROW — LOCKED COPY</w:t>
      </w:r>
    </w:p>
    <w:p>
      <w:r>
        <w:rPr>
          <w:b/>
          <w:color w:val="0D1C34"/>
          <w:sz w:val="26"/>
        </w:rPr>
        <w:t>INSTITUTIONAL CONTROL</w:t>
      </w:r>
    </w:p>
    <w:p>
      <w:r>
        <w:rPr>
          <w:b/>
          <w:color w:val="0889A6"/>
          <w:sz w:val="16"/>
        </w:rPr>
        <w:t>H2 — LOCKED COPY</w:t>
      </w:r>
    </w:p>
    <w:p>
      <w:r>
        <w:rPr>
          <w:b/>
          <w:color w:val="0D1C34"/>
          <w:sz w:val="26"/>
        </w:rPr>
        <w:t>Manage people, permissions, and checking resources centrally</w:t>
      </w:r>
    </w:p>
    <w:p>
      <w:r>
        <w:rPr>
          <w:b/>
          <w:color w:val="0889A6"/>
          <w:sz w:val="16"/>
        </w:rPr>
        <w:t>INTRO — LOCKED COPY</w:t>
      </w:r>
    </w:p>
    <w:p>
      <w:r>
        <w:rPr>
          <w:b/>
          <w:color w:val="0D1C34"/>
          <w:sz w:val="26"/>
        </w:rPr>
        <w:t>PlagiarismSearch Organization Management gives administrators one place to invite members, manage access, and distribute institutional checking resources.</w:t>
      </w:r>
    </w:p>
    <w:p>
      <w:pPr>
        <w:pStyle w:val="Heading2"/>
      </w:pPr>
      <w:r>
        <w:t>Required content — LOCKED COPY</w:t>
      </w:r>
    </w:p>
    <w:p>
      <w:pPr>
        <w:pStyle w:val="ListBullet"/>
        <w:spacing w:after="40"/>
      </w:pPr>
      <w:r>
        <w:rPr>
          <w:b/>
        </w:rPr>
        <w:t xml:space="preserve">Invite and manage members — </w:t>
      </w:r>
      <w:r>
        <w:t>Invite members by email and manage access as your institutional team changes.</w:t>
      </w:r>
    </w:p>
    <w:p>
      <w:pPr>
        <w:pStyle w:val="ListBullet"/>
        <w:spacing w:after="40"/>
      </w:pPr>
      <w:r>
        <w:rPr>
          <w:b/>
        </w:rPr>
        <w:t xml:space="preserve">Control access — </w:t>
      </w:r>
      <w:r>
        <w:t>Set the permissions members need for Organization Storage, document access, and institutional plagiarism checking.</w:t>
      </w:r>
    </w:p>
    <w:p>
      <w:pPr>
        <w:pStyle w:val="ListBullet"/>
        <w:spacing w:after="40"/>
      </w:pPr>
      <w:r>
        <w:rPr>
          <w:b/>
        </w:rPr>
        <w:t xml:space="preserve">Allocate institutional resources — </w:t>
      </w:r>
      <w:r>
        <w:t>Distribute plagiarism-checking words from the organization balance. If your institution also uses AI detection, AI words can be allocated separately.</w:t>
      </w:r>
    </w:p>
    <w:p>
      <w:pPr>
        <w:pStyle w:val="ListBullet"/>
        <w:spacing w:after="40"/>
      </w:pPr>
      <w:r>
        <w:rPr>
          <w:b/>
        </w:rPr>
        <w:t xml:space="preserve">Keep personal and organization usage separate — </w:t>
      </w:r>
      <w:r>
        <w:t>Members keep their personal balance separate from the organization balance.</w:t>
      </w:r>
    </w:p>
    <w:tbl>
      <w:tblPr>
        <w:tblStyle w:val="TableGrid"/>
        <w:tblW w:type="auto" w:w="0"/>
        <w:jc w:val="center"/>
        <w:tblLook w:firstColumn="1" w:firstRow="1" w:lastColumn="0" w:lastRow="0" w:noHBand="0" w:noVBand="1" w:val="04A0"/>
      </w:tblPr>
      <w:tblGrid>
        <w:gridCol w:w="5112"/>
        <w:gridCol w:w="5112"/>
      </w:tblGrid>
      <w:tr>
        <w:tc>
          <w:tcPr>
            <w:tcW w:type="dxa" w:w="5112"/>
            <w:shd w:fill="EAF1F7"/>
          </w:tcPr>
          <w:p>
            <w:r>
              <w:rPr>
                <w:b/>
              </w:rPr>
              <w:t>Item</w:t>
            </w:r>
          </w:p>
        </w:tc>
        <w:tc>
          <w:tcPr>
            <w:tcW w:type="dxa" w:w="5112"/>
            <w:shd w:fill="EAF1F7"/>
          </w:tcPr>
          <w:p>
            <w:r>
              <w:rPr>
                <w:b/>
              </w:rPr>
              <w:t>Approved implementation</w:t>
            </w:r>
          </w:p>
        </w:tc>
      </w:tr>
      <w:tr>
        <w:tc>
          <w:tcPr>
            <w:tcW w:type="dxa" w:w="5112"/>
            <w:vAlign w:val="top"/>
            <w:tcMar>
              <w:top w:w="90" w:type="dxa"/>
              <w:start w:w="100" w:type="dxa"/>
              <w:bottom w:w="90" w:type="dxa"/>
              <w:end w:w="100" w:type="dxa"/>
            </w:tcMar>
          </w:tcPr>
          <w:p>
            <w:r>
              <w:t>CTA</w:t>
            </w:r>
          </w:p>
        </w:tc>
        <w:tc>
          <w:tcPr>
            <w:tcW w:type="dxa" w:w="5112"/>
            <w:vAlign w:val="top"/>
            <w:tcMar>
              <w:top w:w="90" w:type="dxa"/>
              <w:start w:w="100" w:type="dxa"/>
              <w:bottom w:w="90" w:type="dxa"/>
              <w:end w:w="100" w:type="dxa"/>
            </w:tcMar>
          </w:tcPr>
          <w:p>
            <w:r>
              <w:t>Explore Organization Management → /organization-management</w:t>
            </w:r>
          </w:p>
        </w:tc>
      </w:tr>
    </w:tbl>
    <w:p>
      <w:pPr>
        <w:pStyle w:val="Heading2"/>
      </w:pPr>
      <w:r>
        <w:t>INFORMATION CONTRACT A — Organization Management visual</w:t>
      </w:r>
    </w:p>
    <w:p>
      <w:pPr>
        <w:pStyle w:val="ListBullet"/>
        <w:spacing w:after="40"/>
      </w:pPr>
      <w:r>
        <w:rPr>
          <w:b/>
        </w:rPr>
        <w:t xml:space="preserve">Purpose — </w:t>
      </w:r>
      <w:r>
        <w:t>Answer: “How are people added, access managed, and institutional resources distributed?”</w:t>
      </w:r>
    </w:p>
    <w:p>
      <w:pPr>
        <w:pStyle w:val="ListBullet"/>
        <w:spacing w:after="40"/>
      </w:pPr>
      <w:r>
        <w:rPr>
          <w:b/>
        </w:rPr>
        <w:t xml:space="preserve">Entities — </w:t>
      </w:r>
      <w:r>
        <w:t>Administrator; invited member; organization member; permissions; plagiarism balance; AI balance (only where AI is used); Organization resources / Storage.</w:t>
      </w:r>
    </w:p>
    <w:p>
      <w:pPr>
        <w:pStyle w:val="ListBullet"/>
        <w:spacing w:after="40"/>
      </w:pPr>
      <w:r>
        <w:rPr>
          <w:b/>
        </w:rPr>
        <w:t xml:space="preserve">Relationship 1 — </w:t>
      </w:r>
      <w:r>
        <w:t>Administrator creates/manages the organization and invites a member by email.</w:t>
      </w:r>
    </w:p>
    <w:p>
      <w:pPr>
        <w:pStyle w:val="ListBullet"/>
        <w:spacing w:after="40"/>
      </w:pPr>
      <w:r>
        <w:rPr>
          <w:b/>
        </w:rPr>
        <w:t xml:space="preserve">Relationship 2 — </w:t>
      </w:r>
      <w:r>
        <w:t>Invitation is pending until accepted; after acceptance the member joins the organization.</w:t>
      </w:r>
    </w:p>
    <w:p>
      <w:pPr>
        <w:pStyle w:val="ListBullet"/>
        <w:spacing w:after="40"/>
      </w:pPr>
      <w:r>
        <w:rPr>
          <w:b/>
        </w:rPr>
        <w:t xml:space="preserve">Relationship 3 — </w:t>
      </w:r>
      <w:r>
        <w:t>After joining, the administrator can manage relevant permissions, allocate plagiarism-checking words, and allocate AI words separately when AI checking is used.</w:t>
      </w:r>
    </w:p>
    <w:p>
      <w:pPr>
        <w:pStyle w:val="ListBullet"/>
        <w:spacing w:after="40"/>
      </w:pPr>
      <w:r>
        <w:rPr>
          <w:b/>
        </w:rPr>
        <w:t xml:space="preserve">Relationship 4 — </w:t>
      </w:r>
      <w:r>
        <w:t>Organization member uses the institutional resources allowed by those permissions.</w:t>
      </w:r>
    </w:p>
    <w:p>
      <w:pPr>
        <w:pStyle w:val="ListBullet"/>
        <w:spacing w:after="40"/>
      </w:pPr>
      <w:r>
        <w:rPr>
          <w:b/>
        </w:rPr>
        <w:t xml:space="preserve">Critical distinction — </w:t>
      </w:r>
      <w:r>
        <w:t>Personal balance remains separate from organization balance.</w:t>
      </w:r>
    </w:p>
    <w:tbl>
      <w:tblPr>
        <w:tblW w:type="auto" w:w="0"/>
        <w:jc w:val="center"/>
        <w:tblLook w:firstColumn="1" w:firstRow="1" w:lastColumn="0" w:lastRow="0" w:noHBand="0" w:noVBand="1" w:val="04A0"/>
      </w:tblPr>
      <w:tblGrid>
        <w:gridCol w:w="10224"/>
      </w:tblGrid>
      <w:tr>
        <w:tc>
          <w:tcPr>
            <w:tcW w:type="dxa" w:w="10224"/>
            <w:shd w:fill="FFF3EE"/>
            <w:tcMar>
              <w:top w:w="110" w:type="dxa"/>
              <w:start w:w="130" w:type="dxa"/>
              <w:bottom w:w="110" w:type="dxa"/>
              <w:end w:w="130" w:type="dxa"/>
            </w:tcMar>
          </w:tcPr>
          <w:p>
            <w:r>
              <w:rPr>
                <w:b/>
                <w:sz w:val="20"/>
              </w:rPr>
              <w:t>Do not invent</w:t>
            </w:r>
          </w:p>
          <w:p>
            <w:pPr/>
            <w:r>
              <w:t>Do not claim “Administrator = full access rights” unless that exact permission model is confirmed. Do not invent departments, faculty hierarchy, SSO, analytics, audit logs, seats, or permission levels not supplied by the product team.</w:t>
            </w:r>
          </w:p>
        </w:tc>
      </w:tr>
    </w:tbl>
    <w:p>
      <w:pPr>
        <w:spacing w:after="20"/>
      </w:pPr>
    </w:p>
    <w:tbl>
      <w:tblPr>
        <w:tblW w:type="auto" w:w="0"/>
        <w:jc w:val="center"/>
        <w:tblLook w:firstColumn="1" w:firstRow="1" w:lastColumn="0" w:lastRow="0" w:noHBand="0" w:noVBand="1" w:val="04A0"/>
      </w:tblPr>
      <w:tblGrid>
        <w:gridCol w:w="10224"/>
      </w:tblGrid>
      <w:tr>
        <w:tc>
          <w:tcPr>
            <w:tcW w:type="dxa" w:w="10224"/>
            <w:shd w:fill="E9F7FA"/>
            <w:tcMar>
              <w:top w:w="110" w:type="dxa"/>
              <w:start w:w="130" w:type="dxa"/>
              <w:bottom w:w="110" w:type="dxa"/>
              <w:end w:w="130" w:type="dxa"/>
            </w:tcMar>
          </w:tcPr>
          <w:p>
            <w:r>
              <w:rPr>
                <w:b/>
                <w:sz w:val="20"/>
              </w:rPr>
              <w:t>Design freedom</w:t>
            </w:r>
          </w:p>
          <w:p>
            <w:pPr/>
            <w:r>
              <w:t>This can be a flow, node diagram, pathway, interactive progressive reveal, vertical/horizontal relationship map, or hybrid composition. The information relationships are fixed; the layout is not.</w:t>
            </w:r>
          </w:p>
        </w:tc>
      </w:tr>
    </w:tbl>
    <w:p>
      <w:pPr>
        <w:spacing w:after="20"/>
      </w:pPr>
    </w:p>
    <w:p>
      <w:pPr>
        <w:pStyle w:val="Heading1"/>
      </w:pPr>
      <w:r>
        <w:t>10. Section 04 — Sources, Storage &amp; Document Handling</w:t>
      </w:r>
    </w:p>
    <w:tbl>
      <w:tblPr>
        <w:tblStyle w:val="TableGrid"/>
        <w:tblW w:type="auto" w:w="0"/>
        <w:jc w:val="center"/>
        <w:tblLook w:firstColumn="1" w:firstRow="1" w:lastColumn="0" w:lastRow="0" w:noHBand="0" w:noVBand="1" w:val="04A0"/>
      </w:tblPr>
      <w:tblGrid>
        <w:gridCol w:w="5112"/>
        <w:gridCol w:w="5112"/>
      </w:tblGrid>
      <w:tr>
        <w:tc>
          <w:tcPr>
            <w:tcW w:type="dxa" w:w="5112"/>
            <w:shd w:fill="EAF1F7"/>
          </w:tcPr>
          <w:p>
            <w:r>
              <w:rPr>
                <w:b/>
              </w:rPr>
              <w:t>Item</w:t>
            </w:r>
          </w:p>
        </w:tc>
        <w:tc>
          <w:tcPr>
            <w:tcW w:type="dxa" w:w="5112"/>
            <w:shd w:fill="EAF1F7"/>
          </w:tcPr>
          <w:p>
            <w:r>
              <w:rPr>
                <w:b/>
              </w:rPr>
              <w:t>Approved implementation</w:t>
            </w:r>
          </w:p>
        </w:tc>
      </w:tr>
      <w:tr>
        <w:tc>
          <w:tcPr>
            <w:tcW w:type="dxa" w:w="5112"/>
            <w:vAlign w:val="top"/>
            <w:tcMar>
              <w:top w:w="90" w:type="dxa"/>
              <w:start w:w="100" w:type="dxa"/>
              <w:bottom w:w="90" w:type="dxa"/>
              <w:end w:w="100" w:type="dxa"/>
            </w:tcMar>
          </w:tcPr>
          <w:p>
            <w:r>
              <w:t>Anchor</w:t>
            </w:r>
          </w:p>
        </w:tc>
        <w:tc>
          <w:tcPr>
            <w:tcW w:type="dxa" w:w="5112"/>
            <w:vAlign w:val="top"/>
            <w:tcMar>
              <w:top w:w="90" w:type="dxa"/>
              <w:start w:w="100" w:type="dxa"/>
              <w:bottom w:w="90" w:type="dxa"/>
              <w:end w:w="100" w:type="dxa"/>
            </w:tcMar>
          </w:tcPr>
          <w:p>
            <w:r>
              <w:t>#institutional-sources</w:t>
            </w:r>
          </w:p>
        </w:tc>
      </w:tr>
      <w:tr>
        <w:tc>
          <w:tcPr>
            <w:tcW w:type="dxa" w:w="5112"/>
            <w:vAlign w:val="top"/>
            <w:tcMar>
              <w:top w:w="90" w:type="dxa"/>
              <w:start w:w="100" w:type="dxa"/>
              <w:bottom w:w="90" w:type="dxa"/>
              <w:end w:w="100" w:type="dxa"/>
            </w:tcMar>
          </w:tcPr>
          <w:p>
            <w:r>
              <w:t>Role</w:t>
            </w:r>
          </w:p>
        </w:tc>
        <w:tc>
          <w:tcPr>
            <w:tcW w:type="dxa" w:w="5112"/>
            <w:vAlign w:val="top"/>
            <w:tcMar>
              <w:top w:w="90" w:type="dxa"/>
              <w:start w:w="100" w:type="dxa"/>
              <w:bottom w:w="90" w:type="dxa"/>
              <w:end w:w="100" w:type="dxa"/>
            </w:tcMar>
          </w:tcPr>
          <w:p>
            <w:r>
              <w:t>Explain comparison sources, scan controls, report lifecycle, and Organization Storage as one coherent model.</w:t>
            </w:r>
          </w:p>
        </w:tc>
      </w:tr>
    </w:tbl>
    <w:p>
      <w:r>
        <w:rPr>
          <w:b/>
          <w:color w:val="0889A6"/>
          <w:sz w:val="16"/>
        </w:rPr>
        <w:t>EYEBROW — LOCKED COPY</w:t>
      </w:r>
    </w:p>
    <w:p>
      <w:r>
        <w:rPr>
          <w:b/>
          <w:color w:val="0D1C34"/>
          <w:sz w:val="26"/>
        </w:rPr>
        <w:t>SOURCES &amp; STORAGE</w:t>
      </w:r>
    </w:p>
    <w:p>
      <w:r>
        <w:rPr>
          <w:b/>
          <w:color w:val="0889A6"/>
          <w:sz w:val="16"/>
        </w:rPr>
        <w:t>H2 — LOCKED COPY</w:t>
      </w:r>
    </w:p>
    <w:p>
      <w:r>
        <w:rPr>
          <w:b/>
          <w:color w:val="0D1C34"/>
          <w:sz w:val="26"/>
        </w:rPr>
        <w:t>Choose what each check compares — and what enters institutional Storage</w:t>
      </w:r>
    </w:p>
    <w:p>
      <w:r>
        <w:rPr>
          <w:b/>
          <w:color w:val="0889A6"/>
          <w:sz w:val="16"/>
        </w:rPr>
        <w:t>INTRO — LOCKED COPY</w:t>
      </w:r>
    </w:p>
    <w:p>
      <w:r>
        <w:rPr>
          <w:b/>
          <w:color w:val="0D1C34"/>
          <w:sz w:val="26"/>
        </w:rPr>
        <w:t>A plagiarism check can use external sources and your institution’s own Storage. The comparison sources, scan controls, report retention, and Storage workflow remain separate.</w:t>
      </w:r>
    </w:p>
    <w:p>
      <w:pPr>
        <w:pStyle w:val="Heading2"/>
      </w:pPr>
      <w:r>
        <w:t>Required content — LOCKED COPY</w:t>
      </w:r>
    </w:p>
    <w:p>
      <w:pPr>
        <w:pStyle w:val="ListBullet"/>
        <w:spacing w:after="40"/>
      </w:pPr>
      <w:r>
        <w:rPr>
          <w:b/>
        </w:rPr>
        <w:t xml:space="preserve">Web sources — </w:t>
      </w:r>
      <w:r>
        <w:t>Compare submitted work with sources available on the web.</w:t>
      </w:r>
    </w:p>
    <w:p>
      <w:pPr>
        <w:pStyle w:val="ListBullet"/>
        <w:spacing w:after="40"/>
      </w:pPr>
      <w:r>
        <w:rPr>
          <w:b/>
        </w:rPr>
        <w:t xml:space="preserve">Academic database — </w:t>
      </w:r>
      <w:r>
        <w:t>Include more than 500 million indexed academic texts when academic source coverage matters. Supporting proof: 500M+ indexed academic texts.</w:t>
      </w:r>
    </w:p>
    <w:p>
      <w:pPr>
        <w:pStyle w:val="ListBullet"/>
        <w:spacing w:after="40"/>
      </w:pPr>
      <w:r>
        <w:rPr>
          <w:b/>
        </w:rPr>
        <w:t xml:space="preserve">Organization Storage — </w:t>
      </w:r>
      <w:r>
        <w:t>Use your institution’s Storage as an additional comparison source when the relevant permissions and workflow are enabled.</w:t>
      </w:r>
    </w:p>
    <w:p>
      <w:pPr>
        <w:pStyle w:val="ListBullet"/>
        <w:spacing w:after="40"/>
      </w:pPr>
      <w:r>
        <w:rPr>
          <w:b/>
        </w:rPr>
        <w:t xml:space="preserve">References and citations — </w:t>
      </w:r>
      <w:r>
        <w:t>Exclude references and in-text citations when those parts should not affect the similarity result.</w:t>
      </w:r>
    </w:p>
    <w:tbl>
      <w:tblPr>
        <w:tblW w:type="auto" w:w="0"/>
        <w:jc w:val="center"/>
        <w:tblLook w:firstColumn="1" w:firstRow="1" w:lastColumn="0" w:lastRow="0" w:noHBand="0" w:noVBand="1" w:val="04A0"/>
      </w:tblPr>
      <w:tblGrid>
        <w:gridCol w:w="10224"/>
      </w:tblGrid>
      <w:tr>
        <w:tc>
          <w:tcPr>
            <w:tcW w:type="dxa" w:w="10224"/>
            <w:shd w:fill="FFF3EE"/>
            <w:tcMar>
              <w:top w:w="110" w:type="dxa"/>
              <w:start w:w="130" w:type="dxa"/>
              <w:bottom w:w="110" w:type="dxa"/>
              <w:end w:w="130" w:type="dxa"/>
            </w:tcMar>
          </w:tcPr>
          <w:p>
            <w:r>
              <w:rPr>
                <w:b/>
                <w:sz w:val="20"/>
              </w:rPr>
              <w:t>Critical clarification — LOCKED COPY</w:t>
            </w:r>
          </w:p>
          <w:p>
            <w:pPr/>
            <w:r>
              <w:t>Running a plagiarism check does not automatically add the document to Organization Storage. Adding material to Storage is a separate, intentional workflow.</w:t>
            </w:r>
          </w:p>
        </w:tc>
      </w:tr>
    </w:tbl>
    <w:p>
      <w:pPr>
        <w:spacing w:after="20"/>
      </w:pPr>
    </w:p>
    <w:tbl>
      <w:tblPr>
        <w:tblW w:type="auto" w:w="0"/>
        <w:jc w:val="center"/>
        <w:tblLook w:firstColumn="1" w:firstRow="1" w:lastColumn="0" w:lastRow="0" w:noHBand="0" w:noVBand="1" w:val="04A0"/>
      </w:tblPr>
      <w:tblGrid>
        <w:gridCol w:w="10224"/>
      </w:tblGrid>
      <w:tr>
        <w:tc>
          <w:tcPr>
            <w:tcW w:type="dxa" w:w="10224"/>
            <w:shd w:fill="F2F6FA"/>
            <w:tcMar>
              <w:top w:w="110" w:type="dxa"/>
              <w:start w:w="130" w:type="dxa"/>
              <w:bottom w:w="110" w:type="dxa"/>
              <w:end w:w="130" w:type="dxa"/>
            </w:tcMar>
          </w:tcPr>
          <w:p>
            <w:r>
              <w:rPr>
                <w:b/>
                <w:sz w:val="20"/>
              </w:rPr>
              <w:t>Report lifecycle — LOCKED COPY</w:t>
            </w:r>
          </w:p>
          <w:p>
            <w:pPr/>
            <w:r>
              <w:t>Generated reports may remain available in the account for convenient access and can be permanently deleted when they are no longer needed.</w:t>
            </w:r>
          </w:p>
        </w:tc>
      </w:tr>
    </w:tbl>
    <w:p>
      <w:pPr>
        <w:spacing w:after="20"/>
      </w:pPr>
    </w:p>
    <w:tbl>
      <w:tblPr>
        <w:tblStyle w:val="TableGrid"/>
        <w:tblW w:type="auto" w:w="0"/>
        <w:jc w:val="center"/>
        <w:tblLook w:firstColumn="1" w:firstRow="1" w:lastColumn="0" w:lastRow="0" w:noHBand="0" w:noVBand="1" w:val="04A0"/>
      </w:tblPr>
      <w:tblGrid>
        <w:gridCol w:w="5112"/>
        <w:gridCol w:w="5112"/>
      </w:tblGrid>
      <w:tr>
        <w:tc>
          <w:tcPr>
            <w:tcW w:type="dxa" w:w="5112"/>
            <w:shd w:fill="EAF1F7"/>
          </w:tcPr>
          <w:p>
            <w:r>
              <w:rPr>
                <w:b/>
              </w:rPr>
              <w:t>Item</w:t>
            </w:r>
          </w:p>
        </w:tc>
        <w:tc>
          <w:tcPr>
            <w:tcW w:type="dxa" w:w="5112"/>
            <w:shd w:fill="EAF1F7"/>
          </w:tcPr>
          <w:p>
            <w:r>
              <w:rPr>
                <w:b/>
              </w:rPr>
              <w:t>Approved implementation</w:t>
            </w:r>
          </w:p>
        </w:tc>
      </w:tr>
      <w:tr>
        <w:tc>
          <w:tcPr>
            <w:tcW w:type="dxa" w:w="5112"/>
            <w:vAlign w:val="top"/>
            <w:tcMar>
              <w:top w:w="90" w:type="dxa"/>
              <w:start w:w="100" w:type="dxa"/>
              <w:bottom w:w="90" w:type="dxa"/>
              <w:end w:w="100" w:type="dxa"/>
            </w:tcMar>
          </w:tcPr>
          <w:p>
            <w:r>
              <w:t>Privacy CTA</w:t>
            </w:r>
          </w:p>
        </w:tc>
        <w:tc>
          <w:tcPr>
            <w:tcW w:type="dxa" w:w="5112"/>
            <w:vAlign w:val="top"/>
            <w:tcMar>
              <w:top w:w="90" w:type="dxa"/>
              <w:start w:w="100" w:type="dxa"/>
              <w:bottom w:w="90" w:type="dxa"/>
              <w:end w:w="100" w:type="dxa"/>
            </w:tcMar>
          </w:tcPr>
          <w:p>
            <w:r>
              <w:t>Read the Privacy Policy → /policy</w:t>
            </w:r>
          </w:p>
        </w:tc>
      </w:tr>
    </w:tbl>
    <w:p>
      <w:pPr>
        <w:pStyle w:val="Heading2"/>
      </w:pPr>
      <w:r>
        <w:t>INFORMATION CONTRACT B — Sources + Storage visual</w:t>
      </w:r>
    </w:p>
    <w:p>
      <w:pPr>
        <w:pStyle w:val="ListBullet"/>
        <w:spacing w:after="40"/>
      </w:pPr>
      <w:r>
        <w:rPr>
          <w:b/>
        </w:rPr>
        <w:t xml:space="preserve">Input — </w:t>
      </w:r>
      <w:r>
        <w:t>Submitted work.</w:t>
      </w:r>
    </w:p>
    <w:p>
      <w:pPr>
        <w:pStyle w:val="ListBullet"/>
        <w:spacing w:after="40"/>
      </w:pPr>
      <w:r>
        <w:rPr>
          <w:b/>
        </w:rPr>
        <w:t xml:space="preserve">Plagiarism check — </w:t>
      </w:r>
      <w:r>
        <w:t>The analysis step.</w:t>
      </w:r>
    </w:p>
    <w:p>
      <w:pPr>
        <w:pStyle w:val="ListBullet"/>
        <w:spacing w:after="40"/>
      </w:pPr>
      <w:r>
        <w:rPr>
          <w:b/>
        </w:rPr>
        <w:t xml:space="preserve">Possible external comparison sources — </w:t>
      </w:r>
      <w:r>
        <w:t>Web sources; Academic database (500M+ indexed academic texts).</w:t>
      </w:r>
    </w:p>
    <w:p>
      <w:pPr>
        <w:pStyle w:val="ListBullet"/>
        <w:spacing w:after="40"/>
      </w:pPr>
      <w:r>
        <w:rPr>
          <w:b/>
        </w:rPr>
        <w:t xml:space="preserve">Possible institution-controlled source — </w:t>
      </w:r>
      <w:r>
        <w:t>Organization Storage when enabled/permitted.</w:t>
      </w:r>
    </w:p>
    <w:p>
      <w:pPr>
        <w:pStyle w:val="ListBullet"/>
        <w:spacing w:after="40"/>
      </w:pPr>
      <w:r>
        <w:rPr>
          <w:b/>
        </w:rPr>
        <w:t xml:space="preserve">Independent scan control — </w:t>
      </w:r>
      <w:r>
        <w:t>References / in-text citations may be excluded as configured.</w:t>
      </w:r>
    </w:p>
    <w:p>
      <w:pPr>
        <w:pStyle w:val="ListBullet"/>
        <w:spacing w:after="40"/>
      </w:pPr>
      <w:r>
        <w:rPr>
          <w:b/>
        </w:rPr>
        <w:t xml:space="preserve">Output — </w:t>
      </w:r>
      <w:r>
        <w:t>Report.</w:t>
      </w:r>
    </w:p>
    <w:p>
      <w:pPr>
        <w:pStyle w:val="ListBullet"/>
        <w:spacing w:after="40"/>
      </w:pPr>
      <w:r>
        <w:rPr>
          <w:b/>
        </w:rPr>
        <w:t xml:space="preserve">Separate Storage branch — </w:t>
      </w:r>
      <w:r>
        <w:t>Selected material → explicit/enabled Storage workflow → Organization Storage → may participate in future comparisons.</w:t>
      </w:r>
    </w:p>
    <w:p>
      <w:pPr>
        <w:pStyle w:val="ListBullet"/>
        <w:spacing w:after="40"/>
      </w:pPr>
      <w:r>
        <w:rPr>
          <w:b/>
        </w:rPr>
        <w:t xml:space="preserve">Mandatory distinction — </w:t>
      </w:r>
      <w:r>
        <w:t>Plagiarism check ≠ automatic addition to Organization Storage.</w:t>
      </w:r>
    </w:p>
    <w:p>
      <w:pPr>
        <w:pStyle w:val="ListBullet"/>
        <w:spacing w:after="40"/>
      </w:pPr>
      <w:r>
        <w:rPr>
          <w:b/>
        </w:rPr>
        <w:t xml:space="preserve">Supporting lifecycle — </w:t>
      </w:r>
      <w:r>
        <w:t>Report availability/deletion is separate from the institutional Storage workflow.</w:t>
      </w:r>
    </w:p>
    <w:tbl>
      <w:tblPr>
        <w:tblW w:type="auto" w:w="0"/>
        <w:jc w:val="center"/>
        <w:tblLook w:firstColumn="1" w:firstRow="1" w:lastColumn="0" w:lastRow="0" w:noHBand="0" w:noVBand="1" w:val="04A0"/>
      </w:tblPr>
      <w:tblGrid>
        <w:gridCol w:w="10224"/>
      </w:tblGrid>
      <w:tr>
        <w:tc>
          <w:tcPr>
            <w:tcW w:type="dxa" w:w="10224"/>
            <w:shd w:fill="E9F7FA"/>
            <w:tcMar>
              <w:top w:w="110" w:type="dxa"/>
              <w:start w:w="130" w:type="dxa"/>
              <w:bottom w:w="110" w:type="dxa"/>
              <w:end w:w="130" w:type="dxa"/>
            </w:tcMar>
          </w:tcPr>
          <w:p>
            <w:r>
              <w:rPr>
                <w:b/>
                <w:sz w:val="20"/>
              </w:rPr>
              <w:t>Design freedom</w:t>
            </w:r>
          </w:p>
          <w:p>
            <w:pPr/>
            <w:r>
              <w:t>Use a source map, branching architecture, flow, split-system visual, or animated relationship model. The Storage branch must NOT look like an automatic consequence of running a check.</w:t>
            </w:r>
          </w:p>
        </w:tc>
      </w:tr>
    </w:tbl>
    <w:p>
      <w:pPr>
        <w:spacing w:after="20"/>
      </w:pPr>
    </w:p>
    <w:p>
      <w:pPr>
        <w:pStyle w:val="ListBullet"/>
        <w:spacing w:after="40"/>
      </w:pPr>
      <w:r>
        <w:t>Do not show a global student-paper repository.</w:t>
      </w:r>
    </w:p>
    <w:p>
      <w:pPr>
        <w:pStyle w:val="ListBullet"/>
        <w:spacing w:after="40"/>
      </w:pPr>
      <w:r>
        <w:t>Do not imply automatic ingestion.</w:t>
      </w:r>
    </w:p>
    <w:p>
      <w:pPr>
        <w:pStyle w:val="ListBullet"/>
        <w:spacing w:after="40"/>
      </w:pPr>
      <w:r>
        <w:t>Do not imply a cross-university repository.</w:t>
      </w:r>
    </w:p>
    <w:p>
      <w:pPr>
        <w:pStyle w:val="ListBullet"/>
        <w:spacing w:after="40"/>
      </w:pPr>
      <w:r>
        <w:t>Do not use “No data storage.”</w:t>
      </w:r>
    </w:p>
    <w:p>
      <w:pPr>
        <w:pStyle w:val="ListBullet"/>
        <w:spacing w:after="40"/>
      </w:pPr>
      <w:r>
        <w:t>Do not invent a retention period or database count.</w:t>
      </w:r>
    </w:p>
    <w:p>
      <w:pPr>
        <w:pStyle w:val="Heading1"/>
      </w:pPr>
      <w:r>
        <w:t>11. Section 05 — Deployment</w:t>
      </w:r>
    </w:p>
    <w:tbl>
      <w:tblPr>
        <w:tblStyle w:val="TableGrid"/>
        <w:tblW w:type="auto" w:w="0"/>
        <w:jc w:val="center"/>
        <w:tblLook w:firstColumn="1" w:firstRow="1" w:lastColumn="0" w:lastRow="0" w:noHBand="0" w:noVBand="1" w:val="04A0"/>
      </w:tblPr>
      <w:tblGrid>
        <w:gridCol w:w="5112"/>
        <w:gridCol w:w="5112"/>
      </w:tblGrid>
      <w:tr>
        <w:tc>
          <w:tcPr>
            <w:tcW w:type="dxa" w:w="5112"/>
            <w:shd w:fill="EAF1F7"/>
          </w:tcPr>
          <w:p>
            <w:r>
              <w:rPr>
                <w:b/>
              </w:rPr>
              <w:t>Item</w:t>
            </w:r>
          </w:p>
        </w:tc>
        <w:tc>
          <w:tcPr>
            <w:tcW w:type="dxa" w:w="5112"/>
            <w:shd w:fill="EAF1F7"/>
          </w:tcPr>
          <w:p>
            <w:r>
              <w:rPr>
                <w:b/>
              </w:rPr>
              <w:t>Approved implementation</w:t>
            </w:r>
          </w:p>
        </w:tc>
      </w:tr>
      <w:tr>
        <w:tc>
          <w:tcPr>
            <w:tcW w:type="dxa" w:w="5112"/>
            <w:vAlign w:val="top"/>
            <w:tcMar>
              <w:top w:w="90" w:type="dxa"/>
              <w:start w:w="100" w:type="dxa"/>
              <w:bottom w:w="90" w:type="dxa"/>
              <w:end w:w="100" w:type="dxa"/>
            </w:tcMar>
          </w:tcPr>
          <w:p>
            <w:r>
              <w:t>Anchor</w:t>
            </w:r>
          </w:p>
        </w:tc>
        <w:tc>
          <w:tcPr>
            <w:tcW w:type="dxa" w:w="5112"/>
            <w:vAlign w:val="top"/>
            <w:tcMar>
              <w:top w:w="90" w:type="dxa"/>
              <w:start w:w="100" w:type="dxa"/>
              <w:bottom w:w="90" w:type="dxa"/>
              <w:end w:w="100" w:type="dxa"/>
            </w:tcMar>
          </w:tcPr>
          <w:p>
            <w:r>
              <w:t>#institutional-workflow</w:t>
            </w:r>
          </w:p>
        </w:tc>
      </w:tr>
      <w:tr>
        <w:tc>
          <w:tcPr>
            <w:tcW w:type="dxa" w:w="5112"/>
            <w:vAlign w:val="top"/>
            <w:tcMar>
              <w:top w:w="90" w:type="dxa"/>
              <w:start w:w="100" w:type="dxa"/>
              <w:bottom w:w="90" w:type="dxa"/>
              <w:end w:w="100" w:type="dxa"/>
            </w:tcMar>
          </w:tcPr>
          <w:p>
            <w:r>
              <w:t>Role</w:t>
            </w:r>
          </w:p>
        </w:tc>
        <w:tc>
          <w:tcPr>
            <w:tcW w:type="dxa" w:w="5112"/>
            <w:vAlign w:val="top"/>
            <w:tcMar>
              <w:top w:w="90" w:type="dxa"/>
              <w:start w:w="100" w:type="dxa"/>
              <w:bottom w:w="90" w:type="dxa"/>
              <w:end w:w="100" w:type="dxa"/>
            </w:tcMar>
          </w:tcPr>
          <w:p>
            <w:r>
              <w:t>Help an institution choose direct institutional access, LMS integration, or a custom API workflow.</w:t>
            </w:r>
          </w:p>
        </w:tc>
      </w:tr>
    </w:tbl>
    <w:p>
      <w:r>
        <w:rPr>
          <w:b/>
          <w:color w:val="0889A6"/>
          <w:sz w:val="16"/>
        </w:rPr>
        <w:t>EYEBROW — LOCKED COPY</w:t>
      </w:r>
    </w:p>
    <w:p>
      <w:r>
        <w:rPr>
          <w:b/>
          <w:color w:val="0D1C34"/>
          <w:sz w:val="26"/>
        </w:rPr>
        <w:t>DEPLOYMENT</w:t>
      </w:r>
    </w:p>
    <w:p>
      <w:r>
        <w:rPr>
          <w:b/>
          <w:color w:val="0889A6"/>
          <w:sz w:val="16"/>
        </w:rPr>
        <w:t>H2 — LOCKED COPY</w:t>
      </w:r>
    </w:p>
    <w:p>
      <w:r>
        <w:rPr>
          <w:b/>
          <w:color w:val="0D1C34"/>
          <w:sz w:val="26"/>
        </w:rPr>
        <w:t>Use PlagiarismSearch in the workflow your institution already has</w:t>
      </w:r>
    </w:p>
    <w:p>
      <w:r>
        <w:rPr>
          <w:b/>
          <w:color w:val="0889A6"/>
          <w:sz w:val="16"/>
        </w:rPr>
        <w:t>INTRO — LOCKED COPY</w:t>
      </w:r>
    </w:p>
    <w:p>
      <w:r>
        <w:rPr>
          <w:b/>
          <w:color w:val="0D1C34"/>
          <w:sz w:val="26"/>
        </w:rPr>
        <w:t>Choose direct institutional access, an LMS integration, or a custom API workflow. The right path depends on where your users already submit, check, and review work.</w:t>
      </w:r>
    </w:p>
    <w:p>
      <w:pPr>
        <w:pStyle w:val="Heading2"/>
      </w:pPr>
      <w:r>
        <w:t>Path 1 — LOCKED COPY</w:t>
      </w:r>
    </w:p>
    <w:p>
      <w:pPr>
        <w:pStyle w:val="ListBullet"/>
        <w:spacing w:after="40"/>
      </w:pPr>
      <w:r>
        <w:rPr>
          <w:b/>
        </w:rPr>
        <w:t xml:space="preserve">Label — </w:t>
      </w:r>
      <w:r>
        <w:t>MANAGED INSTITUTIONAL ACCESS</w:t>
      </w:r>
    </w:p>
    <w:p>
      <w:pPr>
        <w:pStyle w:val="ListBullet"/>
        <w:spacing w:after="40"/>
      </w:pPr>
      <w:r>
        <w:rPr>
          <w:b/>
        </w:rPr>
        <w:t xml:space="preserve">Title — </w:t>
      </w:r>
      <w:r>
        <w:t>Organization workspace</w:t>
      </w:r>
    </w:p>
    <w:p>
      <w:pPr>
        <w:pStyle w:val="ListBullet"/>
        <w:spacing w:after="40"/>
      </w:pPr>
      <w:r>
        <w:rPr>
          <w:b/>
        </w:rPr>
        <w:t xml:space="preserve">Body — </w:t>
      </w:r>
      <w:r>
        <w:t>Use PlagiarismSearch directly when you need centralized member management, permissions, institutional balances, and Organization Storage without building a custom integration.</w:t>
      </w:r>
    </w:p>
    <w:p>
      <w:pPr>
        <w:pStyle w:val="ListBullet"/>
        <w:spacing w:after="40"/>
      </w:pPr>
      <w:r>
        <w:rPr>
          <w:b/>
        </w:rPr>
        <w:t xml:space="preserve">CTA — </w:t>
      </w:r>
      <w:r>
        <w:t>Explore Organization Management → /organization-management</w:t>
      </w:r>
    </w:p>
    <w:p>
      <w:pPr>
        <w:pStyle w:val="Heading2"/>
      </w:pPr>
      <w:r>
        <w:t>Path 2 — LOCKED COPY</w:t>
      </w:r>
    </w:p>
    <w:p>
      <w:pPr>
        <w:pStyle w:val="ListBullet"/>
        <w:spacing w:after="40"/>
      </w:pPr>
      <w:r>
        <w:rPr>
          <w:b/>
        </w:rPr>
        <w:t xml:space="preserve">Label — </w:t>
      </w:r>
      <w:r>
        <w:t>LMS WORKFLOW</w:t>
      </w:r>
    </w:p>
    <w:p>
      <w:pPr>
        <w:pStyle w:val="ListBullet"/>
        <w:spacing w:after="40"/>
      </w:pPr>
      <w:r>
        <w:rPr>
          <w:b/>
        </w:rPr>
        <w:t xml:space="preserve">Title — </w:t>
      </w:r>
      <w:r>
        <w:t>Moodle &amp; Canvas</w:t>
      </w:r>
    </w:p>
    <w:p>
      <w:pPr>
        <w:pStyle w:val="ListBullet"/>
        <w:spacing w:after="40"/>
      </w:pPr>
      <w:r>
        <w:rPr>
          <w:b/>
        </w:rPr>
        <w:t xml:space="preserve">Body — </w:t>
      </w:r>
      <w:r>
        <w:t>Keep plagiarism checking inside the LMS when course and submission workflows already live there. Moodle lets administrators configure when checks run, which sources are searched, whether material is added to Storage, and what report information students can see.</w:t>
      </w:r>
    </w:p>
    <w:p>
      <w:pPr>
        <w:pStyle w:val="ListBullet"/>
        <w:spacing w:after="40"/>
      </w:pPr>
      <w:r>
        <w:rPr>
          <w:b/>
        </w:rPr>
        <w:t xml:space="preserve">CTA 1 — </w:t>
      </w:r>
      <w:r>
        <w:t>View Moodle integration → /integration-guide</w:t>
      </w:r>
    </w:p>
    <w:p>
      <w:pPr>
        <w:pStyle w:val="ListBullet"/>
        <w:spacing w:after="40"/>
      </w:pPr>
      <w:r>
        <w:rPr>
          <w:b/>
        </w:rPr>
        <w:t xml:space="preserve">CTA 2 — </w:t>
      </w:r>
      <w:r>
        <w:t>View Canvas integration → /canvas-integration</w:t>
      </w:r>
    </w:p>
    <w:tbl>
      <w:tblPr>
        <w:tblW w:type="auto" w:w="0"/>
        <w:jc w:val="center"/>
        <w:tblLook w:firstColumn="1" w:firstRow="1" w:lastColumn="0" w:lastRow="0" w:noHBand="0" w:noVBand="1" w:val="04A0"/>
      </w:tblPr>
      <w:tblGrid>
        <w:gridCol w:w="10224"/>
      </w:tblGrid>
      <w:tr>
        <w:tc>
          <w:tcPr>
            <w:tcW w:type="dxa" w:w="10224"/>
            <w:shd w:fill="FFF7E6"/>
            <w:tcMar>
              <w:top w:w="110" w:type="dxa"/>
              <w:start w:w="130" w:type="dxa"/>
              <w:bottom w:w="110" w:type="dxa"/>
              <w:end w:w="130" w:type="dxa"/>
            </w:tcMar>
          </w:tcPr>
          <w:p>
            <w:r>
              <w:rPr>
                <w:b/>
                <w:sz w:val="20"/>
              </w:rPr>
              <w:t>Canvas boundary</w:t>
            </w:r>
          </w:p>
          <w:p>
            <w:pPr/>
            <w:r>
              <w:t>Do not add Canvas-specific controls or feature claims in this University page unless they are separately confirmed. Canvas is represented here as a confirmed integration path and linked to its dedicated page.</w:t>
            </w:r>
          </w:p>
        </w:tc>
      </w:tr>
    </w:tbl>
    <w:p>
      <w:pPr>
        <w:spacing w:after="20"/>
      </w:pPr>
    </w:p>
    <w:p>
      <w:pPr>
        <w:pStyle w:val="Heading2"/>
      </w:pPr>
      <w:r>
        <w:t>Path 3 — LOCKED COPY</w:t>
      </w:r>
    </w:p>
    <w:p>
      <w:pPr>
        <w:pStyle w:val="ListBullet"/>
        <w:spacing w:after="40"/>
      </w:pPr>
      <w:r>
        <w:rPr>
          <w:b/>
        </w:rPr>
        <w:t xml:space="preserve">Label — </w:t>
      </w:r>
      <w:r>
        <w:t>CUSTOM INTEGRATION</w:t>
      </w:r>
    </w:p>
    <w:p>
      <w:pPr>
        <w:pStyle w:val="ListBullet"/>
        <w:spacing w:after="40"/>
      </w:pPr>
      <w:r>
        <w:rPr>
          <w:b/>
        </w:rPr>
        <w:t xml:space="preserve">Title — </w:t>
      </w:r>
      <w:r>
        <w:t>API</w:t>
      </w:r>
    </w:p>
    <w:p>
      <w:pPr>
        <w:pStyle w:val="ListBullet"/>
        <w:spacing w:after="40"/>
      </w:pPr>
      <w:r>
        <w:rPr>
          <w:b/>
        </w:rPr>
        <w:t xml:space="preserve">Body — </w:t>
      </w:r>
      <w:r>
        <w:t>Use the PlagiarismSearch API when your institution has its own platform or needs plagiarism checking inside a custom technical workflow.</w:t>
      </w:r>
    </w:p>
    <w:p>
      <w:pPr>
        <w:pStyle w:val="ListBullet"/>
        <w:spacing w:after="40"/>
      </w:pPr>
      <w:r>
        <w:rPr>
          <w:b/>
        </w:rPr>
        <w:t xml:space="preserve">CTA — </w:t>
      </w:r>
      <w:r>
        <w:t>Explore the API → /plagiarism-api</w:t>
      </w:r>
    </w:p>
    <w:p>
      <w:pPr>
        <w:pStyle w:val="Heading2"/>
      </w:pPr>
      <w:r>
        <w:t>INFORMATION CONTRACT C — Deployment visual</w:t>
      </w:r>
    </w:p>
    <w:p>
      <w:pPr>
        <w:pStyle w:val="ListBullet"/>
        <w:spacing w:after="40"/>
      </w:pPr>
      <w:r>
        <w:rPr>
          <w:b/>
        </w:rPr>
        <w:t xml:space="preserve">Organization workspace — </w:t>
      </w:r>
      <w:r>
        <w:t>Decision rule: We want centralized institutional access without building an integration. Core concepts: members, permissions, institutional balances, Organization Storage.</w:t>
      </w:r>
    </w:p>
    <w:p>
      <w:pPr>
        <w:pStyle w:val="ListBullet"/>
        <w:spacing w:after="40"/>
      </w:pPr>
      <w:r>
        <w:rPr>
          <w:b/>
        </w:rPr>
        <w:t xml:space="preserve">LMS workflow — </w:t>
      </w:r>
      <w:r>
        <w:t>Decision rule: Course and submission workflows already live in our LMS. Supported routes represented here: Moodle and Canvas.</w:t>
      </w:r>
    </w:p>
    <w:p>
      <w:pPr>
        <w:pStyle w:val="ListBullet"/>
        <w:spacing w:after="40"/>
      </w:pPr>
      <w:r>
        <w:rPr>
          <w:b/>
        </w:rPr>
        <w:t xml:space="preserve">API — </w:t>
      </w:r>
      <w:r>
        <w:t>Decision rule: We have our own platform or need a custom technical workflow.</w:t>
      </w:r>
    </w:p>
    <w:tbl>
      <w:tblPr>
        <w:tblW w:type="auto" w:w="0"/>
        <w:jc w:val="center"/>
        <w:tblLook w:firstColumn="1" w:firstRow="1" w:lastColumn="0" w:lastRow="0" w:noHBand="0" w:noVBand="1" w:val="04A0"/>
      </w:tblPr>
      <w:tblGrid>
        <w:gridCol w:w="10224"/>
      </w:tblGrid>
      <w:tr>
        <w:tc>
          <w:tcPr>
            <w:tcW w:type="dxa" w:w="10224"/>
            <w:shd w:fill="FFF3EE"/>
            <w:tcMar>
              <w:top w:w="110" w:type="dxa"/>
              <w:start w:w="130" w:type="dxa"/>
              <w:bottom w:w="110" w:type="dxa"/>
              <w:end w:w="130" w:type="dxa"/>
            </w:tcMar>
          </w:tcPr>
          <w:p>
            <w:r>
              <w:rPr>
                <w:b/>
                <w:sz w:val="20"/>
              </w:rPr>
              <w:t>Critical distinction</w:t>
            </w:r>
          </w:p>
          <w:p>
            <w:pPr/>
            <w:r>
              <w:t>The Hero says Review / Manage / Integrate. This Deployment section answers “How should we deploy it?” These two sections must not become visual duplicates.</w:t>
            </w:r>
          </w:p>
        </w:tc>
      </w:tr>
    </w:tbl>
    <w:p>
      <w:pPr>
        <w:spacing w:after="20"/>
      </w:pPr>
    </w:p>
    <w:tbl>
      <w:tblPr>
        <w:tblW w:type="auto" w:w="0"/>
        <w:jc w:val="center"/>
        <w:tblLook w:firstColumn="1" w:firstRow="1" w:lastColumn="0" w:lastRow="0" w:noHBand="0" w:noVBand="1" w:val="04A0"/>
      </w:tblPr>
      <w:tblGrid>
        <w:gridCol w:w="10224"/>
      </w:tblGrid>
      <w:tr>
        <w:tc>
          <w:tcPr>
            <w:tcW w:type="dxa" w:w="10224"/>
            <w:shd w:fill="E9F7FA"/>
            <w:tcMar>
              <w:top w:w="110" w:type="dxa"/>
              <w:start w:w="130" w:type="dxa"/>
              <w:bottom w:w="110" w:type="dxa"/>
              <w:end w:w="130" w:type="dxa"/>
            </w:tcMar>
          </w:tcPr>
          <w:p>
            <w:r>
              <w:rPr>
                <w:b/>
                <w:sz w:val="20"/>
              </w:rPr>
              <w:t>Design freedom</w:t>
            </w:r>
          </w:p>
          <w:p>
            <w:pPr/>
            <w:r>
              <w:t>Use a decision tree, three-path diagram, interactive selector, branching path, or connected institutional architecture. Do not default to three equal cards unless that is genuinely the strongest solution.</w:t>
            </w:r>
          </w:p>
        </w:tc>
      </w:tr>
    </w:tbl>
    <w:p>
      <w:pPr>
        <w:spacing w:after="20"/>
      </w:pPr>
    </w:p>
    <w:p>
      <w:pPr>
        <w:pStyle w:val="Heading1"/>
      </w:pPr>
      <w:r>
        <w:t>12. Section 06 — Optional AI Checking</w:t>
      </w:r>
    </w:p>
    <w:tbl>
      <w:tblPr>
        <w:tblStyle w:val="TableGrid"/>
        <w:tblW w:type="auto" w:w="0"/>
        <w:jc w:val="center"/>
        <w:tblLook w:firstColumn="1" w:firstRow="1" w:lastColumn="0" w:lastRow="0" w:noHBand="0" w:noVBand="1" w:val="04A0"/>
      </w:tblPr>
      <w:tblGrid>
        <w:gridCol w:w="5112"/>
        <w:gridCol w:w="5112"/>
      </w:tblGrid>
      <w:tr>
        <w:tc>
          <w:tcPr>
            <w:tcW w:type="dxa" w:w="5112"/>
            <w:shd w:fill="EAF1F7"/>
          </w:tcPr>
          <w:p>
            <w:r>
              <w:rPr>
                <w:b/>
              </w:rPr>
              <w:t>Item</w:t>
            </w:r>
          </w:p>
        </w:tc>
        <w:tc>
          <w:tcPr>
            <w:tcW w:type="dxa" w:w="5112"/>
            <w:shd w:fill="EAF1F7"/>
          </w:tcPr>
          <w:p>
            <w:r>
              <w:rPr>
                <w:b/>
              </w:rPr>
              <w:t>Approved implementation</w:t>
            </w:r>
          </w:p>
        </w:tc>
      </w:tr>
      <w:tr>
        <w:tc>
          <w:tcPr>
            <w:tcW w:type="dxa" w:w="5112"/>
            <w:vAlign w:val="top"/>
            <w:tcMar>
              <w:top w:w="90" w:type="dxa"/>
              <w:start w:w="100" w:type="dxa"/>
              <w:bottom w:w="90" w:type="dxa"/>
              <w:end w:w="100" w:type="dxa"/>
            </w:tcMar>
          </w:tcPr>
          <w:p>
            <w:r>
              <w:t>Anchor</w:t>
            </w:r>
          </w:p>
        </w:tc>
        <w:tc>
          <w:tcPr>
            <w:tcW w:type="dxa" w:w="5112"/>
            <w:vAlign w:val="top"/>
            <w:tcMar>
              <w:top w:w="90" w:type="dxa"/>
              <w:start w:w="100" w:type="dxa"/>
              <w:bottom w:w="90" w:type="dxa"/>
              <w:end w:w="100" w:type="dxa"/>
            </w:tcMar>
          </w:tcPr>
          <w:p>
            <w:r>
              <w:t>#institutional-ai</w:t>
            </w:r>
          </w:p>
        </w:tc>
      </w:tr>
      <w:tr>
        <w:tc>
          <w:tcPr>
            <w:tcW w:type="dxa" w:w="5112"/>
            <w:vAlign w:val="top"/>
            <w:tcMar>
              <w:top w:w="90" w:type="dxa"/>
              <w:start w:w="100" w:type="dxa"/>
              <w:bottom w:w="90" w:type="dxa"/>
              <w:end w:w="100" w:type="dxa"/>
            </w:tcMar>
          </w:tcPr>
          <w:p>
            <w:r>
              <w:t>Role</w:t>
            </w:r>
          </w:p>
        </w:tc>
        <w:tc>
          <w:tcPr>
            <w:tcW w:type="dxa" w:w="5112"/>
            <w:vAlign w:val="top"/>
            <w:tcMar>
              <w:top w:w="90" w:type="dxa"/>
              <w:start w:w="100" w:type="dxa"/>
              <w:bottom w:w="90" w:type="dxa"/>
              <w:end w:w="100" w:type="dxa"/>
            </w:tcMar>
          </w:tcPr>
          <w:p>
            <w:r>
              <w:t>Secondary capability. Clarify that AI analysis is separate from plagiarism checking.</w:t>
            </w:r>
          </w:p>
        </w:tc>
      </w:tr>
    </w:tbl>
    <w:p>
      <w:r>
        <w:rPr>
          <w:b/>
          <w:color w:val="0889A6"/>
          <w:sz w:val="16"/>
        </w:rPr>
        <w:t>EYEBROW — LOCKED COPY</w:t>
      </w:r>
    </w:p>
    <w:p>
      <w:r>
        <w:rPr>
          <w:b/>
          <w:color w:val="0D1C34"/>
          <w:sz w:val="26"/>
        </w:rPr>
        <w:t>OPTIONAL AI CHECKING</w:t>
      </w:r>
    </w:p>
    <w:p>
      <w:r>
        <w:rPr>
          <w:b/>
          <w:color w:val="0889A6"/>
          <w:sz w:val="16"/>
        </w:rPr>
        <w:t>H2 — LOCKED COPY</w:t>
      </w:r>
    </w:p>
    <w:p>
      <w:r>
        <w:rPr>
          <w:b/>
          <w:color w:val="0D1C34"/>
          <w:sz w:val="26"/>
        </w:rPr>
        <w:t>Need AI checking as part of the same institutional setup?</w:t>
      </w:r>
    </w:p>
    <w:p>
      <w:r>
        <w:rPr>
          <w:b/>
          <w:color w:val="0889A6"/>
          <w:sz w:val="16"/>
        </w:rPr>
        <w:t>BODY — LOCKED COPY</w:t>
      </w:r>
    </w:p>
    <w:p>
      <w:r>
        <w:rPr>
          <w:b/>
          <w:color w:val="0D1C34"/>
          <w:sz w:val="26"/>
        </w:rPr>
        <w:t>AI detection is available as a separate analysis within the PlagiarismSearch ecosystem. When an organization uses AI checking, administrators can allocate AI word balance separately from plagiarism-checking balance.</w:t>
      </w:r>
    </w:p>
    <w:tbl>
      <w:tblPr>
        <w:tblW w:type="auto" w:w="0"/>
        <w:jc w:val="center"/>
        <w:tblLook w:firstColumn="1" w:firstRow="1" w:lastColumn="0" w:lastRow="0" w:noHBand="0" w:noVBand="1" w:val="04A0"/>
      </w:tblPr>
      <w:tblGrid>
        <w:gridCol w:w="10224"/>
      </w:tblGrid>
      <w:tr>
        <w:tc>
          <w:tcPr>
            <w:tcW w:type="dxa" w:w="10224"/>
            <w:shd w:fill="FFF3EE"/>
            <w:tcMar>
              <w:top w:w="110" w:type="dxa"/>
              <w:start w:w="130" w:type="dxa"/>
              <w:bottom w:w="110" w:type="dxa"/>
              <w:end w:w="130" w:type="dxa"/>
            </w:tcMar>
          </w:tcPr>
          <w:p>
            <w:r>
              <w:rPr>
                <w:b/>
                <w:sz w:val="20"/>
              </w:rPr>
              <w:t>Critical clarification — LOCKED COPY</w:t>
            </w:r>
          </w:p>
          <w:p>
            <w:pPr/>
            <w:r>
              <w:t>AI-generated text is not automatically plagiarism. Plagiarism checking and AI detection answer different questions and should be interpreted separately.</w:t>
            </w:r>
          </w:p>
        </w:tc>
      </w:tr>
    </w:tbl>
    <w:p>
      <w:pPr>
        <w:spacing w:after="20"/>
      </w:pPr>
    </w:p>
    <w:tbl>
      <w:tblPr>
        <w:tblStyle w:val="TableGrid"/>
        <w:tblW w:type="auto" w:w="0"/>
        <w:jc w:val="center"/>
        <w:tblLook w:firstColumn="1" w:firstRow="1" w:lastColumn="0" w:lastRow="0" w:noHBand="0" w:noVBand="1" w:val="04A0"/>
      </w:tblPr>
      <w:tblGrid>
        <w:gridCol w:w="5112"/>
        <w:gridCol w:w="5112"/>
      </w:tblGrid>
      <w:tr>
        <w:tc>
          <w:tcPr>
            <w:tcW w:type="dxa" w:w="5112"/>
            <w:shd w:fill="EAF1F7"/>
          </w:tcPr>
          <w:p>
            <w:r>
              <w:rPr>
                <w:b/>
              </w:rPr>
              <w:t>Item</w:t>
            </w:r>
          </w:p>
        </w:tc>
        <w:tc>
          <w:tcPr>
            <w:tcW w:type="dxa" w:w="5112"/>
            <w:shd w:fill="EAF1F7"/>
          </w:tcPr>
          <w:p>
            <w:r>
              <w:rPr>
                <w:b/>
              </w:rPr>
              <w:t>Approved implementation</w:t>
            </w:r>
          </w:p>
        </w:tc>
      </w:tr>
      <w:tr>
        <w:tc>
          <w:tcPr>
            <w:tcW w:type="dxa" w:w="5112"/>
            <w:vAlign w:val="top"/>
            <w:tcMar>
              <w:top w:w="90" w:type="dxa"/>
              <w:start w:w="100" w:type="dxa"/>
              <w:bottom w:w="90" w:type="dxa"/>
              <w:end w:w="100" w:type="dxa"/>
            </w:tcMar>
          </w:tcPr>
          <w:p>
            <w:r>
              <w:t>CTA</w:t>
            </w:r>
          </w:p>
        </w:tc>
        <w:tc>
          <w:tcPr>
            <w:tcW w:type="dxa" w:w="5112"/>
            <w:vAlign w:val="top"/>
            <w:tcMar>
              <w:top w:w="90" w:type="dxa"/>
              <w:start w:w="100" w:type="dxa"/>
              <w:bottom w:w="90" w:type="dxa"/>
              <w:end w:w="100" w:type="dxa"/>
            </w:tcMar>
          </w:tcPr>
          <w:p>
            <w:r>
              <w:t>Learn about AI detection → /ai-content-detector</w:t>
            </w:r>
          </w:p>
        </w:tc>
      </w:tr>
    </w:tbl>
    <w:p>
      <w:pPr>
        <w:pStyle w:val="ListBullet"/>
        <w:spacing w:after="40"/>
      </w:pPr>
      <w:r>
        <w:t>Keep this as a compact secondary block.</w:t>
      </w:r>
    </w:p>
    <w:p>
      <w:pPr>
        <w:pStyle w:val="ListBullet"/>
        <w:spacing w:after="40"/>
      </w:pPr>
      <w:r>
        <w:t>Do not add an AI report demo here.</w:t>
      </w:r>
    </w:p>
    <w:p>
      <w:pPr>
        <w:pStyle w:val="ListBullet"/>
        <w:spacing w:after="40"/>
      </w:pPr>
      <w:r>
        <w:t>Do not add model names, accuracy percentages, AI pricing, or AI personas.</w:t>
      </w:r>
    </w:p>
    <w:p>
      <w:pPr>
        <w:pStyle w:val="Heading1"/>
      </w:pPr>
      <w:r>
        <w:t>13. Section 07 — Institutional Inquiry</w:t>
      </w:r>
    </w:p>
    <w:tbl>
      <w:tblPr>
        <w:tblStyle w:val="TableGrid"/>
        <w:tblW w:type="auto" w:w="0"/>
        <w:jc w:val="center"/>
        <w:tblLook w:firstColumn="1" w:firstRow="1" w:lastColumn="0" w:lastRow="0" w:noHBand="0" w:noVBand="1" w:val="04A0"/>
      </w:tblPr>
      <w:tblGrid>
        <w:gridCol w:w="5112"/>
        <w:gridCol w:w="5112"/>
      </w:tblGrid>
      <w:tr>
        <w:tc>
          <w:tcPr>
            <w:tcW w:type="dxa" w:w="5112"/>
            <w:shd w:fill="EAF1F7"/>
          </w:tcPr>
          <w:p>
            <w:r>
              <w:rPr>
                <w:b/>
              </w:rPr>
              <w:t>Item</w:t>
            </w:r>
          </w:p>
        </w:tc>
        <w:tc>
          <w:tcPr>
            <w:tcW w:type="dxa" w:w="5112"/>
            <w:shd w:fill="EAF1F7"/>
          </w:tcPr>
          <w:p>
            <w:r>
              <w:rPr>
                <w:b/>
              </w:rPr>
              <w:t>Approved implementation</w:t>
            </w:r>
          </w:p>
        </w:tc>
      </w:tr>
      <w:tr>
        <w:tc>
          <w:tcPr>
            <w:tcW w:type="dxa" w:w="5112"/>
            <w:vAlign w:val="top"/>
            <w:tcMar>
              <w:top w:w="90" w:type="dxa"/>
              <w:start w:w="100" w:type="dxa"/>
              <w:bottom w:w="90" w:type="dxa"/>
              <w:end w:w="100" w:type="dxa"/>
            </w:tcMar>
          </w:tcPr>
          <w:p>
            <w:r>
              <w:t>Anchor</w:t>
            </w:r>
          </w:p>
        </w:tc>
        <w:tc>
          <w:tcPr>
            <w:tcW w:type="dxa" w:w="5112"/>
            <w:vAlign w:val="top"/>
            <w:tcMar>
              <w:top w:w="90" w:type="dxa"/>
              <w:start w:w="100" w:type="dxa"/>
              <w:bottom w:w="90" w:type="dxa"/>
              <w:end w:w="100" w:type="dxa"/>
            </w:tcMar>
          </w:tcPr>
          <w:p>
            <w:r>
              <w:t>#institutional-inquiry</w:t>
            </w:r>
          </w:p>
        </w:tc>
      </w:tr>
      <w:tr>
        <w:tc>
          <w:tcPr>
            <w:tcW w:type="dxa" w:w="5112"/>
            <w:vAlign w:val="top"/>
            <w:tcMar>
              <w:top w:w="90" w:type="dxa"/>
              <w:start w:w="100" w:type="dxa"/>
              <w:bottom w:w="90" w:type="dxa"/>
              <w:end w:w="100" w:type="dxa"/>
            </w:tcMar>
          </w:tcPr>
          <w:p>
            <w:r>
              <w:t>Role</w:t>
            </w:r>
          </w:p>
        </w:tc>
        <w:tc>
          <w:tcPr>
            <w:tcW w:type="dxa" w:w="5112"/>
            <w:vAlign w:val="top"/>
            <w:tcMar>
              <w:top w:w="90" w:type="dxa"/>
              <w:start w:w="100" w:type="dxa"/>
              <w:bottom w:w="90" w:type="dxa"/>
              <w:end w:w="100" w:type="dxa"/>
            </w:tcMar>
          </w:tcPr>
          <w:p>
            <w:r>
              <w:t>Primary high-intent conversion.</w:t>
            </w:r>
          </w:p>
        </w:tc>
      </w:tr>
    </w:tbl>
    <w:p>
      <w:r>
        <w:rPr>
          <w:b/>
          <w:color w:val="0889A6"/>
          <w:sz w:val="16"/>
        </w:rPr>
        <w:t>EYEBROW — LOCKED COPY</w:t>
      </w:r>
    </w:p>
    <w:p>
      <w:r>
        <w:rPr>
          <w:b/>
          <w:color w:val="0D1C34"/>
          <w:sz w:val="26"/>
        </w:rPr>
        <w:t>INSTITUTIONAL INQUIRY</w:t>
      </w:r>
    </w:p>
    <w:p>
      <w:r>
        <w:rPr>
          <w:b/>
          <w:color w:val="0889A6"/>
          <w:sz w:val="16"/>
        </w:rPr>
        <w:t>H2 — LOCKED COPY</w:t>
      </w:r>
    </w:p>
    <w:p>
      <w:r>
        <w:rPr>
          <w:b/>
          <w:color w:val="0D1C34"/>
          <w:sz w:val="26"/>
        </w:rPr>
        <w:t>Discuss plagiarism checking for your institution</w:t>
      </w:r>
    </w:p>
    <w:p>
      <w:r>
        <w:rPr>
          <w:b/>
          <w:color w:val="0889A6"/>
          <w:sz w:val="16"/>
        </w:rPr>
        <w:t>INTRO — LOCKED COPY</w:t>
      </w:r>
    </w:p>
    <w:p>
      <w:r>
        <w:rPr>
          <w:b/>
          <w:color w:val="0D1C34"/>
          <w:sz w:val="26"/>
        </w:rPr>
        <w:t>Tell us how your institution plans to manage users, checking volume, Storage, and integrations. We’ll use those details to discuss an appropriate setup and pricing path.</w:t>
      </w:r>
    </w:p>
    <w:p>
      <w:r>
        <w:rPr>
          <w:b/>
          <w:color w:val="0889A6"/>
          <w:sz w:val="16"/>
        </w:rPr>
        <w:t>ALTERNATIVE CONTACT — LOCKED COPY</w:t>
      </w:r>
    </w:p>
    <w:p>
      <w:r>
        <w:rPr>
          <w:b/>
          <w:color w:val="0D1C34"/>
          <w:sz w:val="26"/>
        </w:rPr>
        <w:t>Prefer email? Contact us at services@plagiarismsearch.com.</w:t>
      </w:r>
    </w:p>
    <w:p>
      <w:pPr>
        <w:pStyle w:val="Heading2"/>
      </w:pPr>
      <w:r>
        <w:t>Exact form content</w:t>
      </w:r>
    </w:p>
    <w:tbl>
      <w:tblPr>
        <w:tblStyle w:val="TableGrid"/>
        <w:tblW w:type="auto" w:w="0"/>
        <w:jc w:val="center"/>
        <w:tblLook w:firstColumn="1" w:firstRow="1" w:lastColumn="0" w:lastRow="0" w:noHBand="0" w:noVBand="1" w:val="04A0"/>
      </w:tblPr>
      <w:tblGrid>
        <w:gridCol w:w="5112"/>
        <w:gridCol w:w="5112"/>
      </w:tblGrid>
      <w:tr>
        <w:tc>
          <w:tcPr>
            <w:tcW w:type="dxa" w:w="5112"/>
            <w:shd w:fill="EAF1F7"/>
          </w:tcPr>
          <w:p>
            <w:r>
              <w:rPr>
                <w:b/>
              </w:rPr>
              <w:t>Item</w:t>
            </w:r>
          </w:p>
        </w:tc>
        <w:tc>
          <w:tcPr>
            <w:tcW w:type="dxa" w:w="5112"/>
            <w:shd w:fill="EAF1F7"/>
          </w:tcPr>
          <w:p>
            <w:r>
              <w:rPr>
                <w:b/>
              </w:rPr>
              <w:t>Approved implementation</w:t>
            </w:r>
          </w:p>
        </w:tc>
      </w:tr>
      <w:tr>
        <w:tc>
          <w:tcPr>
            <w:tcW w:type="dxa" w:w="5112"/>
            <w:vAlign w:val="top"/>
            <w:tcMar>
              <w:top w:w="90" w:type="dxa"/>
              <w:start w:w="100" w:type="dxa"/>
              <w:bottom w:w="90" w:type="dxa"/>
              <w:end w:w="100" w:type="dxa"/>
            </w:tcMar>
          </w:tcPr>
          <w:p>
            <w:r>
              <w:t>Name *</w:t>
            </w:r>
          </w:p>
        </w:tc>
        <w:tc>
          <w:tcPr>
            <w:tcW w:type="dxa" w:w="5112"/>
            <w:vAlign w:val="top"/>
            <w:tcMar>
              <w:top w:w="90" w:type="dxa"/>
              <w:start w:w="100" w:type="dxa"/>
              <w:bottom w:w="90" w:type="dxa"/>
              <w:end w:w="100" w:type="dxa"/>
            </w:tcMar>
          </w:tcPr>
          <w:p>
            <w:r>
              <w:t>Placeholder: Jordan Reeves</w:t>
            </w:r>
          </w:p>
        </w:tc>
      </w:tr>
      <w:tr>
        <w:tc>
          <w:tcPr>
            <w:tcW w:type="dxa" w:w="5112"/>
            <w:vAlign w:val="top"/>
            <w:tcMar>
              <w:top w:w="90" w:type="dxa"/>
              <w:start w:w="100" w:type="dxa"/>
              <w:bottom w:w="90" w:type="dxa"/>
              <w:end w:w="100" w:type="dxa"/>
            </w:tcMar>
          </w:tcPr>
          <w:p>
            <w:r>
              <w:t>Work email *</w:t>
            </w:r>
          </w:p>
        </w:tc>
        <w:tc>
          <w:tcPr>
            <w:tcW w:type="dxa" w:w="5112"/>
            <w:vAlign w:val="top"/>
            <w:tcMar>
              <w:top w:w="90" w:type="dxa"/>
              <w:start w:w="100" w:type="dxa"/>
              <w:bottom w:w="90" w:type="dxa"/>
              <w:end w:w="100" w:type="dxa"/>
            </w:tcMar>
          </w:tcPr>
          <w:p>
            <w:r>
              <w:t>Placeholder: name@university.edu</w:t>
            </w:r>
          </w:p>
        </w:tc>
      </w:tr>
      <w:tr>
        <w:tc>
          <w:tcPr>
            <w:tcW w:type="dxa" w:w="5112"/>
            <w:vAlign w:val="top"/>
            <w:tcMar>
              <w:top w:w="90" w:type="dxa"/>
              <w:start w:w="100" w:type="dxa"/>
              <w:bottom w:w="90" w:type="dxa"/>
              <w:end w:w="100" w:type="dxa"/>
            </w:tcMar>
          </w:tcPr>
          <w:p>
            <w:r>
              <w:t>Institution *</w:t>
            </w:r>
          </w:p>
        </w:tc>
        <w:tc>
          <w:tcPr>
            <w:tcW w:type="dxa" w:w="5112"/>
            <w:vAlign w:val="top"/>
            <w:tcMar>
              <w:top w:w="90" w:type="dxa"/>
              <w:start w:w="100" w:type="dxa"/>
              <w:bottom w:w="90" w:type="dxa"/>
              <w:end w:w="100" w:type="dxa"/>
            </w:tcMar>
          </w:tcPr>
          <w:p>
            <w:r>
              <w:t>Placeholder: University or college name</w:t>
            </w:r>
          </w:p>
        </w:tc>
      </w:tr>
      <w:tr>
        <w:tc>
          <w:tcPr>
            <w:tcW w:type="dxa" w:w="5112"/>
            <w:vAlign w:val="top"/>
            <w:tcMar>
              <w:top w:w="90" w:type="dxa"/>
              <w:start w:w="100" w:type="dxa"/>
              <w:bottom w:w="90" w:type="dxa"/>
              <w:end w:w="100" w:type="dxa"/>
            </w:tcMar>
          </w:tcPr>
          <w:p>
            <w:r>
              <w:t>Your role</w:t>
            </w:r>
          </w:p>
        </w:tc>
        <w:tc>
          <w:tcPr>
            <w:tcW w:type="dxa" w:w="5112"/>
            <w:vAlign w:val="top"/>
            <w:tcMar>
              <w:top w:w="90" w:type="dxa"/>
              <w:start w:w="100" w:type="dxa"/>
              <w:bottom w:w="90" w:type="dxa"/>
              <w:end w:w="100" w:type="dxa"/>
            </w:tcMar>
          </w:tcPr>
          <w:p>
            <w:r>
              <w:t>Academic or faculty / Administration / Academic integrity / IT or LMS / Procurement / Other</w:t>
            </w:r>
          </w:p>
        </w:tc>
      </w:tr>
      <w:tr>
        <w:tc>
          <w:tcPr>
            <w:tcW w:type="dxa" w:w="5112"/>
            <w:vAlign w:val="top"/>
            <w:tcMar>
              <w:top w:w="90" w:type="dxa"/>
              <w:start w:w="100" w:type="dxa"/>
              <w:bottom w:w="90" w:type="dxa"/>
              <w:end w:w="100" w:type="dxa"/>
            </w:tcMar>
          </w:tcPr>
          <w:p>
            <w:r>
              <w:t>How do you plan to use PlagiarismSearch?</w:t>
            </w:r>
          </w:p>
        </w:tc>
        <w:tc>
          <w:tcPr>
            <w:tcW w:type="dxa" w:w="5112"/>
            <w:vAlign w:val="top"/>
            <w:tcMar>
              <w:top w:w="90" w:type="dxa"/>
              <w:start w:w="100" w:type="dxa"/>
              <w:bottom w:w="90" w:type="dxa"/>
              <w:end w:w="100" w:type="dxa"/>
            </w:tcMar>
          </w:tcPr>
          <w:p>
            <w:r>
              <w:t>Organization workspace / Moodle / Canvas / API / Not sure yet / Other</w:t>
            </w:r>
          </w:p>
        </w:tc>
      </w:tr>
      <w:tr>
        <w:tc>
          <w:tcPr>
            <w:tcW w:type="dxa" w:w="5112"/>
            <w:vAlign w:val="top"/>
            <w:tcMar>
              <w:top w:w="90" w:type="dxa"/>
              <w:start w:w="100" w:type="dxa"/>
              <w:bottom w:w="90" w:type="dxa"/>
              <w:end w:w="100" w:type="dxa"/>
            </w:tcMar>
          </w:tcPr>
          <w:p>
            <w:r>
              <w:t>Approximate institution size</w:t>
            </w:r>
          </w:p>
        </w:tc>
        <w:tc>
          <w:tcPr>
            <w:tcW w:type="dxa" w:w="5112"/>
            <w:vAlign w:val="top"/>
            <w:tcMar>
              <w:top w:w="90" w:type="dxa"/>
              <w:start w:w="100" w:type="dxa"/>
              <w:bottom w:w="90" w:type="dxa"/>
              <w:end w:w="100" w:type="dxa"/>
            </w:tcMar>
          </w:tcPr>
          <w:p>
            <w:r>
              <w:t>Placeholder: e.g. 5,000 students or users. Helper: An estimate is enough.</w:t>
            </w:r>
          </w:p>
        </w:tc>
      </w:tr>
      <w:tr>
        <w:tc>
          <w:tcPr>
            <w:tcW w:type="dxa" w:w="5112"/>
            <w:vAlign w:val="top"/>
            <w:tcMar>
              <w:top w:w="90" w:type="dxa"/>
              <w:start w:w="100" w:type="dxa"/>
              <w:bottom w:w="90" w:type="dxa"/>
              <w:end w:w="100" w:type="dxa"/>
            </w:tcMar>
          </w:tcPr>
          <w:p>
            <w:r>
              <w:t>Approximate monthly checking volume</w:t>
            </w:r>
          </w:p>
        </w:tc>
        <w:tc>
          <w:tcPr>
            <w:tcW w:type="dxa" w:w="5112"/>
            <w:vAlign w:val="top"/>
            <w:tcMar>
              <w:top w:w="90" w:type="dxa"/>
              <w:start w:w="100" w:type="dxa"/>
              <w:bottom w:w="90" w:type="dxa"/>
              <w:end w:w="100" w:type="dxa"/>
            </w:tcMar>
          </w:tcPr>
          <w:p>
            <w:r>
              <w:t>Placeholder: e.g. 2,000 documents or 1,000,000 words. Helper: Use whichever estimate is easier for your institution.</w:t>
            </w:r>
          </w:p>
        </w:tc>
      </w:tr>
      <w:tr>
        <w:tc>
          <w:tcPr>
            <w:tcW w:type="dxa" w:w="5112"/>
            <w:vAlign w:val="top"/>
            <w:tcMar>
              <w:top w:w="90" w:type="dxa"/>
              <w:start w:w="100" w:type="dxa"/>
              <w:bottom w:w="90" w:type="dxa"/>
              <w:end w:w="100" w:type="dxa"/>
            </w:tcMar>
          </w:tcPr>
          <w:p>
            <w:r>
              <w:t>Institutional requirements *</w:t>
            </w:r>
          </w:p>
        </w:tc>
        <w:tc>
          <w:tcPr>
            <w:tcW w:type="dxa" w:w="5112"/>
            <w:vAlign w:val="top"/>
            <w:tcMar>
              <w:top w:w="90" w:type="dxa"/>
              <w:start w:w="100" w:type="dxa"/>
              <w:bottom w:w="90" w:type="dxa"/>
              <w:end w:w="100" w:type="dxa"/>
            </w:tcMar>
          </w:tcPr>
          <w:p>
            <w:r>
              <w:t>Placeholder: Tell us about your plagiarism-checking workflow, source or Storage requirements, integration needs, or any questions we should consider.</w:t>
            </w:r>
          </w:p>
        </w:tc>
      </w:tr>
      <w:tr>
        <w:tc>
          <w:tcPr>
            <w:tcW w:type="dxa" w:w="5112"/>
            <w:vAlign w:val="top"/>
            <w:tcMar>
              <w:top w:w="90" w:type="dxa"/>
              <w:start w:w="100" w:type="dxa"/>
              <w:bottom w:w="90" w:type="dxa"/>
              <w:end w:w="100" w:type="dxa"/>
            </w:tcMar>
          </w:tcPr>
          <w:p>
            <w:r>
              <w:t>Consent *</w:t>
            </w:r>
          </w:p>
        </w:tc>
        <w:tc>
          <w:tcPr>
            <w:tcW w:type="dxa" w:w="5112"/>
            <w:vAlign w:val="top"/>
            <w:tcMar>
              <w:top w:w="90" w:type="dxa"/>
              <w:start w:w="100" w:type="dxa"/>
              <w:bottom w:w="90" w:type="dxa"/>
              <w:end w:w="100" w:type="dxa"/>
            </w:tcMar>
          </w:tcPr>
          <w:p>
            <w:r>
              <w:t>I agree to the Terms of Use and Privacy Policy. Terms → /terms-of-use ; Privacy → /policy</w:t>
            </w:r>
          </w:p>
        </w:tc>
      </w:tr>
      <w:tr>
        <w:tc>
          <w:tcPr>
            <w:tcW w:type="dxa" w:w="5112"/>
            <w:vAlign w:val="top"/>
            <w:tcMar>
              <w:top w:w="90" w:type="dxa"/>
              <w:start w:w="100" w:type="dxa"/>
              <w:bottom w:w="90" w:type="dxa"/>
              <w:end w:w="100" w:type="dxa"/>
            </w:tcMar>
          </w:tcPr>
          <w:p>
            <w:r>
              <w:t>Submit CTA</w:t>
            </w:r>
          </w:p>
        </w:tc>
        <w:tc>
          <w:tcPr>
            <w:tcW w:type="dxa" w:w="5112"/>
            <w:vAlign w:val="top"/>
            <w:tcMar>
              <w:top w:w="90" w:type="dxa"/>
              <w:start w:w="100" w:type="dxa"/>
              <w:bottom w:w="90" w:type="dxa"/>
              <w:end w:w="100" w:type="dxa"/>
            </w:tcMar>
          </w:tcPr>
          <w:p>
            <w:r>
              <w:t>Request institutional pricing</w:t>
            </w:r>
          </w:p>
        </w:tc>
      </w:tr>
    </w:tbl>
    <w:tbl>
      <w:tblPr>
        <w:tblW w:type="auto" w:w="0"/>
        <w:jc w:val="center"/>
        <w:tblLook w:firstColumn="1" w:firstRow="1" w:lastColumn="0" w:lastRow="0" w:noHBand="0" w:noVBand="1" w:val="04A0"/>
      </w:tblPr>
      <w:tblGrid>
        <w:gridCol w:w="10224"/>
      </w:tblGrid>
      <w:tr>
        <w:tc>
          <w:tcPr>
            <w:tcW w:type="dxa" w:w="10224"/>
            <w:shd w:fill="EAF7EF"/>
            <w:tcMar>
              <w:top w:w="110" w:type="dxa"/>
              <w:start w:w="130" w:type="dxa"/>
              <w:bottom w:w="110" w:type="dxa"/>
              <w:end w:w="130" w:type="dxa"/>
            </w:tcMar>
          </w:tcPr>
          <w:p>
            <w:r>
              <w:rPr>
                <w:b/>
                <w:sz w:val="20"/>
              </w:rPr>
              <w:t>Success state</w:t>
            </w:r>
          </w:p>
          <w:p>
            <w:pPr/>
            <w:r>
              <w:t>Heading: “Your institutional request has been sent”</w:t>
              <w:br/>
              <w:t>Supporting copy: “Thank you. We’ve received the information about your institution and plagiarism-checking requirements.”</w:t>
            </w:r>
          </w:p>
        </w:tc>
      </w:tr>
    </w:tbl>
    <w:p>
      <w:pPr>
        <w:spacing w:after="20"/>
      </w:pPr>
    </w:p>
    <w:p>
      <w:pPr>
        <w:pStyle w:val="ListBullet"/>
        <w:spacing w:after="40"/>
      </w:pPr>
      <w:r>
        <w:t>Do not add Phone as a required field.</w:t>
      </w:r>
    </w:p>
    <w:p>
      <w:pPr>
        <w:pStyle w:val="ListBullet"/>
        <w:spacing w:after="40"/>
      </w:pPr>
      <w:r>
        <w:t>Do not add Moodle URL to the baseline form.</w:t>
      </w:r>
    </w:p>
    <w:p>
      <w:pPr>
        <w:pStyle w:val="ListBullet"/>
        <w:spacing w:after="40"/>
      </w:pPr>
      <w:r>
        <w:t>Claude may group fields, use conditional disclosure, or improve hierarchy, but must not remove required qualification data or invent response-time promises/pricing.</w:t>
      </w:r>
    </w:p>
    <w:p>
      <w:pPr>
        <w:pStyle w:val="Heading1"/>
      </w:pPr>
      <w:r>
        <w:t>14. Section 08 — University FAQ</w:t>
      </w:r>
    </w:p>
    <w:tbl>
      <w:tblPr>
        <w:tblStyle w:val="TableGrid"/>
        <w:tblW w:type="auto" w:w="0"/>
        <w:jc w:val="center"/>
        <w:tblLook w:firstColumn="1" w:firstRow="1" w:lastColumn="0" w:lastRow="0" w:noHBand="0" w:noVBand="1" w:val="04A0"/>
      </w:tblPr>
      <w:tblGrid>
        <w:gridCol w:w="5112"/>
        <w:gridCol w:w="5112"/>
      </w:tblGrid>
      <w:tr>
        <w:tc>
          <w:tcPr>
            <w:tcW w:type="dxa" w:w="5112"/>
            <w:shd w:fill="EAF1F7"/>
          </w:tcPr>
          <w:p>
            <w:r>
              <w:rPr>
                <w:b/>
              </w:rPr>
              <w:t>Item</w:t>
            </w:r>
          </w:p>
        </w:tc>
        <w:tc>
          <w:tcPr>
            <w:tcW w:type="dxa" w:w="5112"/>
            <w:shd w:fill="EAF1F7"/>
          </w:tcPr>
          <w:p>
            <w:r>
              <w:rPr>
                <w:b/>
              </w:rPr>
              <w:t>Approved implementation</w:t>
            </w:r>
          </w:p>
        </w:tc>
      </w:tr>
      <w:tr>
        <w:tc>
          <w:tcPr>
            <w:tcW w:type="dxa" w:w="5112"/>
            <w:vAlign w:val="top"/>
            <w:tcMar>
              <w:top w:w="90" w:type="dxa"/>
              <w:start w:w="100" w:type="dxa"/>
              <w:bottom w:w="90" w:type="dxa"/>
              <w:end w:w="100" w:type="dxa"/>
            </w:tcMar>
          </w:tcPr>
          <w:p>
            <w:r>
              <w:t>Anchor</w:t>
            </w:r>
          </w:p>
        </w:tc>
        <w:tc>
          <w:tcPr>
            <w:tcW w:type="dxa" w:w="5112"/>
            <w:vAlign w:val="top"/>
            <w:tcMar>
              <w:top w:w="90" w:type="dxa"/>
              <w:start w:w="100" w:type="dxa"/>
              <w:bottom w:w="90" w:type="dxa"/>
              <w:end w:w="100" w:type="dxa"/>
            </w:tcMar>
          </w:tcPr>
          <w:p>
            <w:r>
              <w:t>#university-faq</w:t>
            </w:r>
          </w:p>
        </w:tc>
      </w:tr>
      <w:tr>
        <w:tc>
          <w:tcPr>
            <w:tcW w:type="dxa" w:w="5112"/>
            <w:vAlign w:val="top"/>
            <w:tcMar>
              <w:top w:w="90" w:type="dxa"/>
              <w:start w:w="100" w:type="dxa"/>
              <w:bottom w:w="90" w:type="dxa"/>
              <w:end w:w="100" w:type="dxa"/>
            </w:tcMar>
          </w:tcPr>
          <w:p>
            <w:r>
              <w:t>Role</w:t>
            </w:r>
          </w:p>
        </w:tc>
        <w:tc>
          <w:tcPr>
            <w:tcW w:type="dxa" w:w="5112"/>
            <w:vAlign w:val="top"/>
            <w:tcMar>
              <w:top w:w="90" w:type="dxa"/>
              <w:start w:w="100" w:type="dxa"/>
              <w:bottom w:w="90" w:type="dxa"/>
              <w:end w:w="100" w:type="dxa"/>
            </w:tcMar>
          </w:tcPr>
          <w:p>
            <w:r>
              <w:t>Answer high-intent institutional objections and support long-tail search intent.</w:t>
            </w:r>
          </w:p>
        </w:tc>
      </w:tr>
    </w:tbl>
    <w:p>
      <w:r>
        <w:rPr>
          <w:b/>
          <w:color w:val="0889A6"/>
          <w:sz w:val="16"/>
        </w:rPr>
        <w:t>EYEBROW — LOCKED COPY</w:t>
      </w:r>
    </w:p>
    <w:p>
      <w:r>
        <w:rPr>
          <w:b/>
          <w:color w:val="0D1C34"/>
          <w:sz w:val="26"/>
        </w:rPr>
        <w:t>QUESTIONS</w:t>
      </w:r>
    </w:p>
    <w:p>
      <w:r>
        <w:rPr>
          <w:b/>
          <w:color w:val="0889A6"/>
          <w:sz w:val="16"/>
        </w:rPr>
        <w:t>H2 — LOCKED COPY</w:t>
      </w:r>
    </w:p>
    <w:p>
      <w:r>
        <w:rPr>
          <w:b/>
          <w:color w:val="0D1C34"/>
          <w:sz w:val="26"/>
        </w:rPr>
        <w:t>University Plagiarism Checker FAQ</w:t>
      </w:r>
    </w:p>
    <w:p>
      <w:r>
        <w:rPr>
          <w:b/>
        </w:rPr>
        <w:t>1. Can our university manage multiple users and institutional checking resources?</w:t>
      </w:r>
    </w:p>
    <w:p>
      <w:pPr>
        <w:spacing w:after="80"/>
        <w:ind w:left="259"/>
      </w:pPr>
      <w:r>
        <w:t>Yes. PlagiarismSearch Organization Management lets an administrator create an organization, invite members, manage access, and distribute plagiarism-checking words. If the institution also uses AI detection, AI words can be allocated separately. Personal balance remains separate from organization balance.</w:t>
      </w:r>
    </w:p>
    <w:p>
      <w:r>
        <w:rPr>
          <w:b/>
        </w:rPr>
        <w:t>2. Can our institution compare new submissions with its own documents?</w:t>
      </w:r>
    </w:p>
    <w:p>
      <w:pPr>
        <w:spacing w:after="80"/>
        <w:ind w:left="259"/>
      </w:pPr>
      <w:r>
        <w:t>Yes, when Organization Storage is enabled and the relevant permissions are available. Organization Storage can be used as an additional comparison source alongside the external sources selected for the check.</w:t>
      </w:r>
    </w:p>
    <w:p>
      <w:r>
        <w:rPr>
          <w:b/>
        </w:rPr>
        <w:t>3. Does every checked document automatically enter Organization Storage?</w:t>
      </w:r>
    </w:p>
    <w:p>
      <w:pPr>
        <w:spacing w:after="80"/>
        <w:ind w:left="259"/>
      </w:pPr>
      <w:r>
        <w:t>No. Running a plagiarism check does not automatically add the document to Organization Storage. Storage is a separate workflow used when the institution wants selected material to be available for future comparisons.</w:t>
      </w:r>
    </w:p>
    <w:p>
      <w:r>
        <w:rPr>
          <w:b/>
        </w:rPr>
        <w:t>4. What sources can be included in an institutional plagiarism check?</w:t>
      </w:r>
    </w:p>
    <w:p>
      <w:pPr>
        <w:spacing w:after="80"/>
        <w:ind w:left="259"/>
      </w:pPr>
      <w:r>
        <w:t>Depending on the selected configuration and available access, a check can use web sources, the PlagiarismSearch academic database with more than 500 million indexed academic texts, and permitted Organization Storage. References and in-text citations can also be excluded when appropriate.</w:t>
      </w:r>
    </w:p>
    <w:p>
      <w:r>
        <w:rPr>
          <w:b/>
        </w:rPr>
        <w:t>5. Does PlagiarismSearch integrate with Moodle and Canvas?</w:t>
      </w:r>
    </w:p>
    <w:p>
      <w:pPr>
        <w:spacing w:after="80"/>
        <w:ind w:left="259"/>
      </w:pPr>
      <w:r>
        <w:t>Yes. PlagiarismSearch supports LMS integration paths for Moodle and Canvas. In Moodle, administrators can configure when checks run, which sources are searched, whether work is added to Storage, and what report information students can see. Use the dedicated integration pages for current setup details. Links: Moodle → /integration-guide ; Canvas → /canvas-integration</w:t>
      </w:r>
    </w:p>
    <w:p>
      <w:r>
        <w:rPr>
          <w:b/>
        </w:rPr>
        <w:t>6. Can our institution use the API instead of an LMS integration?</w:t>
      </w:r>
    </w:p>
    <w:p>
      <w:pPr>
        <w:spacing w:after="80"/>
        <w:ind w:left="259"/>
      </w:pPr>
      <w:r>
        <w:t>Yes. Institutions with their own platform or custom technical workflow can integrate plagiarism checking through the PlagiarismSearch API. The organization workspace, LMS integrations, and API are separate deployment paths. Link: PlagiarismSearch API → /plagiarism-api</w:t>
      </w:r>
    </w:p>
    <w:p>
      <w:r>
        <w:rPr>
          <w:b/>
        </w:rPr>
        <w:t>7. Can our institution also use AI detection?</w:t>
      </w:r>
    </w:p>
    <w:p>
      <w:pPr>
        <w:spacing w:after="80"/>
        <w:ind w:left="259"/>
      </w:pPr>
      <w:r>
        <w:t>Yes. AI detection is available as a separate analysis within the PlagiarismSearch ecosystem. Organizations that use AI checking can allocate AI word balance separately from plagiarism-checking balance. AI-generated text is not automatically plagiarism. Link: AI detection → /ai-content-detector</w:t>
      </w:r>
    </w:p>
    <w:p>
      <w:r>
        <w:rPr>
          <w:b/>
        </w:rPr>
        <w:t>8. Does the plagiarism report automatically determine that a student plagiarized?</w:t>
      </w:r>
    </w:p>
    <w:p>
      <w:pPr>
        <w:spacing w:after="80"/>
        <w:ind w:left="259"/>
      </w:pPr>
      <w:r>
        <w:t>No. The report identifies matching and similar passages and connects them to detected sources. Educators should review the matches, citations, references, and surrounding context before deciding how the result should be interpreted academically.</w:t>
      </w:r>
    </w:p>
    <w:p>
      <w:r>
        <w:rPr>
          <w:b/>
        </w:rPr>
        <w:t>9. How do we get institutional pricing?</w:t>
      </w:r>
    </w:p>
    <w:p>
      <w:pPr>
        <w:spacing w:after="80"/>
        <w:ind w:left="259"/>
      </w:pPr>
      <w:r>
        <w:t>Institutional requirements can vary by number of users, checking volume, Storage needs, and integration workflow. Send your requirements through the institutional inquiry form on this page so PlagiarismSearch can discuss an appropriate setup and pricing path. CTA → #institutional-inquiry</w:t>
      </w:r>
    </w:p>
    <w:p>
      <w:pPr>
        <w:pStyle w:val="Heading1"/>
      </w:pPr>
      <w:r>
        <w:t>15. Section 09 — Final CTA</w:t>
      </w:r>
    </w:p>
    <w:p>
      <w:r>
        <w:rPr>
          <w:b/>
          <w:color w:val="0889A6"/>
          <w:sz w:val="16"/>
        </w:rPr>
        <w:t>H2 — LOCKED COPY</w:t>
      </w:r>
    </w:p>
    <w:p>
      <w:r>
        <w:rPr>
          <w:b/>
          <w:color w:val="0D1C34"/>
          <w:sz w:val="26"/>
        </w:rPr>
        <w:t>Build a plagiarism-checking workflow that fits your institution</w:t>
      </w:r>
    </w:p>
    <w:p>
      <w:r>
        <w:rPr>
          <w:b/>
          <w:color w:val="0889A6"/>
          <w:sz w:val="16"/>
        </w:rPr>
        <w:t>SUPPORTING COPY — LOCKED COPY</w:t>
      </w:r>
    </w:p>
    <w:p>
      <w:r>
        <w:rPr>
          <w:b/>
          <w:color w:val="0D1C34"/>
          <w:sz w:val="26"/>
        </w:rPr>
        <w:t>Give educators source evidence they can review, manage institutional access and resources centrally, and choose the deployment path that fits your existing systems.</w:t>
      </w:r>
    </w:p>
    <w:tbl>
      <w:tblPr>
        <w:tblStyle w:val="TableGrid"/>
        <w:tblW w:type="auto" w:w="0"/>
        <w:jc w:val="center"/>
        <w:tblLook w:firstColumn="1" w:firstRow="1" w:lastColumn="0" w:lastRow="0" w:noHBand="0" w:noVBand="1" w:val="04A0"/>
      </w:tblPr>
      <w:tblGrid>
        <w:gridCol w:w="5112"/>
        <w:gridCol w:w="5112"/>
      </w:tblGrid>
      <w:tr>
        <w:tc>
          <w:tcPr>
            <w:tcW w:type="dxa" w:w="5112"/>
            <w:shd w:fill="EAF1F7"/>
          </w:tcPr>
          <w:p>
            <w:r>
              <w:rPr>
                <w:b/>
              </w:rPr>
              <w:t>Item</w:t>
            </w:r>
          </w:p>
        </w:tc>
        <w:tc>
          <w:tcPr>
            <w:tcW w:type="dxa" w:w="5112"/>
            <w:shd w:fill="EAF1F7"/>
          </w:tcPr>
          <w:p>
            <w:r>
              <w:rPr>
                <w:b/>
              </w:rPr>
              <w:t>Approved implementation</w:t>
            </w:r>
          </w:p>
        </w:tc>
      </w:tr>
      <w:tr>
        <w:tc>
          <w:tcPr>
            <w:tcW w:type="dxa" w:w="5112"/>
            <w:vAlign w:val="top"/>
            <w:tcMar>
              <w:top w:w="90" w:type="dxa"/>
              <w:start w:w="100" w:type="dxa"/>
              <w:bottom w:w="90" w:type="dxa"/>
              <w:end w:w="100" w:type="dxa"/>
            </w:tcMar>
          </w:tcPr>
          <w:p>
            <w:r>
              <w:t>Primary CTA</w:t>
            </w:r>
          </w:p>
        </w:tc>
        <w:tc>
          <w:tcPr>
            <w:tcW w:type="dxa" w:w="5112"/>
            <w:vAlign w:val="top"/>
            <w:tcMar>
              <w:top w:w="90" w:type="dxa"/>
              <w:start w:w="100" w:type="dxa"/>
              <w:bottom w:w="90" w:type="dxa"/>
              <w:end w:w="100" w:type="dxa"/>
            </w:tcMar>
          </w:tcPr>
          <w:p>
            <w:r>
              <w:t>Request institutional pricing → #institutional-inquiry</w:t>
            </w:r>
          </w:p>
        </w:tc>
      </w:tr>
      <w:tr>
        <w:tc>
          <w:tcPr>
            <w:tcW w:type="dxa" w:w="5112"/>
            <w:vAlign w:val="top"/>
            <w:tcMar>
              <w:top w:w="90" w:type="dxa"/>
              <w:start w:w="100" w:type="dxa"/>
              <w:bottom w:w="90" w:type="dxa"/>
              <w:end w:w="100" w:type="dxa"/>
            </w:tcMar>
          </w:tcPr>
          <w:p>
            <w:r>
              <w:t>Secondary CTA</w:t>
            </w:r>
          </w:p>
        </w:tc>
        <w:tc>
          <w:tcPr>
            <w:tcW w:type="dxa" w:w="5112"/>
            <w:vAlign w:val="top"/>
            <w:tcMar>
              <w:top w:w="90" w:type="dxa"/>
              <w:start w:w="100" w:type="dxa"/>
              <w:bottom w:w="90" w:type="dxa"/>
              <w:end w:w="100" w:type="dxa"/>
            </w:tcMar>
          </w:tcPr>
          <w:p>
            <w:r>
              <w:t>Review deployment options → #institutional-workflow</w:t>
            </w:r>
          </w:p>
        </w:tc>
      </w:tr>
    </w:tbl>
    <w:p>
      <w:pPr>
        <w:pStyle w:val="Heading1"/>
      </w:pPr>
      <w:r>
        <w:t>16. Explicit changes from University v1</w:t>
      </w:r>
    </w:p>
    <w:tbl>
      <w:tblPr>
        <w:tblStyle w:val="TableGrid"/>
        <w:tblW w:type="auto" w:w="0"/>
        <w:jc w:val="center"/>
        <w:tblLook w:firstColumn="1" w:firstRow="1" w:lastColumn="0" w:lastRow="0" w:noHBand="0" w:noVBand="1" w:val="04A0"/>
      </w:tblPr>
      <w:tblGrid>
        <w:gridCol w:w="5112"/>
        <w:gridCol w:w="5112"/>
      </w:tblGrid>
      <w:tr>
        <w:tc>
          <w:tcPr>
            <w:tcW w:type="dxa" w:w="5112"/>
            <w:shd w:fill="EAF1F7"/>
          </w:tcPr>
          <w:p>
            <w:r>
              <w:rPr>
                <w:b/>
              </w:rPr>
              <w:t>Item</w:t>
            </w:r>
          </w:p>
        </w:tc>
        <w:tc>
          <w:tcPr>
            <w:tcW w:type="dxa" w:w="5112"/>
            <w:shd w:fill="EAF1F7"/>
          </w:tcPr>
          <w:p>
            <w:r>
              <w:rPr>
                <w:b/>
              </w:rPr>
              <w:t>Approved implementation</w:t>
            </w:r>
          </w:p>
        </w:tc>
      </w:tr>
      <w:tr>
        <w:tc>
          <w:tcPr>
            <w:tcW w:type="dxa" w:w="5112"/>
            <w:vAlign w:val="top"/>
            <w:tcMar>
              <w:top w:w="90" w:type="dxa"/>
              <w:start w:w="100" w:type="dxa"/>
              <w:bottom w:w="90" w:type="dxa"/>
              <w:end w:w="100" w:type="dxa"/>
            </w:tcMar>
          </w:tcPr>
          <w:p>
            <w:r>
              <w:t>Standalone Roles section</w:t>
            </w:r>
          </w:p>
        </w:tc>
        <w:tc>
          <w:tcPr>
            <w:tcW w:type="dxa" w:w="5112"/>
            <w:vAlign w:val="top"/>
            <w:tcMar>
              <w:top w:w="90" w:type="dxa"/>
              <w:start w:w="100" w:type="dxa"/>
              <w:bottom w:w="90" w:type="dxa"/>
              <w:end w:w="100" w:type="dxa"/>
            </w:tcMar>
          </w:tcPr>
          <w:p>
            <w:r>
              <w:t>REMOVE AS A SECTION. Its useful role context is absorbed into Report Evidence, Institutional Control, and Deployment.</w:t>
            </w:r>
          </w:p>
        </w:tc>
      </w:tr>
      <w:tr>
        <w:tc>
          <w:tcPr>
            <w:tcW w:type="dxa" w:w="5112"/>
            <w:vAlign w:val="top"/>
            <w:tcMar>
              <w:top w:w="90" w:type="dxa"/>
              <w:start w:w="100" w:type="dxa"/>
              <w:bottom w:w="90" w:type="dxa"/>
              <w:end w:w="100" w:type="dxa"/>
            </w:tcMar>
          </w:tcPr>
          <w:p>
            <w:r>
              <w:t>Standalone six-card Moodle section</w:t>
            </w:r>
          </w:p>
        </w:tc>
        <w:tc>
          <w:tcPr>
            <w:tcW w:type="dxa" w:w="5112"/>
            <w:vAlign w:val="top"/>
            <w:tcMar>
              <w:top w:w="90" w:type="dxa"/>
              <w:start w:w="100" w:type="dxa"/>
              <w:bottom w:w="90" w:type="dxa"/>
              <w:end w:w="100" w:type="dxa"/>
            </w:tcMar>
          </w:tcPr>
          <w:p>
            <w:r>
              <w:t>REMOVE AS A SECTION. Keep only enough Moodle evidence in Deployment to prove the LMS path, then link to the dedicated Moodle page.</w:t>
            </w:r>
          </w:p>
        </w:tc>
      </w:tr>
      <w:tr>
        <w:tc>
          <w:tcPr>
            <w:tcW w:type="dxa" w:w="5112"/>
            <w:vAlign w:val="top"/>
            <w:tcMar>
              <w:top w:w="90" w:type="dxa"/>
              <w:start w:w="100" w:type="dxa"/>
              <w:bottom w:w="90" w:type="dxa"/>
              <w:end w:w="100" w:type="dxa"/>
            </w:tcMar>
          </w:tcPr>
          <w:p>
            <w:r>
              <w:t>Standalone Data Handling section</w:t>
            </w:r>
          </w:p>
        </w:tc>
        <w:tc>
          <w:tcPr>
            <w:tcW w:type="dxa" w:w="5112"/>
            <w:vAlign w:val="top"/>
            <w:tcMar>
              <w:top w:w="90" w:type="dxa"/>
              <w:start w:w="100" w:type="dxa"/>
              <w:bottom w:w="90" w:type="dxa"/>
              <w:end w:w="100" w:type="dxa"/>
            </w:tcMar>
          </w:tcPr>
          <w:p>
            <w:r>
              <w:t>MERGE into Sources, Storage &amp; Document Handling.</w:t>
            </w:r>
          </w:p>
        </w:tc>
      </w:tr>
      <w:tr>
        <w:tc>
          <w:tcPr>
            <w:tcW w:type="dxa" w:w="5112"/>
            <w:vAlign w:val="top"/>
            <w:tcMar>
              <w:top w:w="90" w:type="dxa"/>
              <w:start w:w="100" w:type="dxa"/>
              <w:bottom w:w="90" w:type="dxa"/>
              <w:end w:w="100" w:type="dxa"/>
            </w:tcMar>
          </w:tcPr>
          <w:p>
            <w:r>
              <w:t>Hero Organization/Moodle/API cards</w:t>
            </w:r>
          </w:p>
        </w:tc>
        <w:tc>
          <w:tcPr>
            <w:tcW w:type="dxa" w:w="5112"/>
            <w:vAlign w:val="top"/>
            <w:tcMar>
              <w:top w:w="90" w:type="dxa"/>
              <w:start w:w="100" w:type="dxa"/>
              <w:bottom w:w="90" w:type="dxa"/>
              <w:end w:w="100" w:type="dxa"/>
            </w:tcMar>
          </w:tcPr>
          <w:p>
            <w:r>
              <w:t>DO NOT repeat as the hero’s primary visual. Hero must communicate Review / Manage / Integrate at a higher level.</w:t>
            </w:r>
          </w:p>
        </w:tc>
      </w:tr>
      <w:tr>
        <w:tc>
          <w:tcPr>
            <w:tcW w:type="dxa" w:w="5112"/>
            <w:vAlign w:val="top"/>
            <w:tcMar>
              <w:top w:w="90" w:type="dxa"/>
              <w:start w:w="100" w:type="dxa"/>
              <w:bottom w:w="90" w:type="dxa"/>
              <w:end w:w="100" w:type="dxa"/>
            </w:tcMar>
          </w:tcPr>
          <w:p>
            <w:r>
              <w:t>Five-card Administration grid</w:t>
            </w:r>
          </w:p>
        </w:tc>
        <w:tc>
          <w:tcPr>
            <w:tcW w:type="dxa" w:w="5112"/>
            <w:vAlign w:val="top"/>
            <w:tcMar>
              <w:top w:w="90" w:type="dxa"/>
              <w:start w:w="100" w:type="dxa"/>
              <w:bottom w:w="90" w:type="dxa"/>
              <w:end w:w="100" w:type="dxa"/>
            </w:tcMar>
          </w:tcPr>
          <w:p>
            <w:r>
              <w:t>DO NOT preserve as a required layout. Preserve the facts via the Organization Management relationship visual.</w:t>
            </w:r>
          </w:p>
        </w:tc>
      </w:tr>
      <w:tr>
        <w:tc>
          <w:tcPr>
            <w:tcW w:type="dxa" w:w="5112"/>
            <w:vAlign w:val="top"/>
            <w:tcMar>
              <w:top w:w="90" w:type="dxa"/>
              <w:start w:w="100" w:type="dxa"/>
              <w:bottom w:w="90" w:type="dxa"/>
              <w:end w:w="100" w:type="dxa"/>
            </w:tcMar>
          </w:tcPr>
          <w:p>
            <w:r>
              <w:t>Repeated feature grids</w:t>
            </w:r>
          </w:p>
        </w:tc>
        <w:tc>
          <w:tcPr>
            <w:tcW w:type="dxa" w:w="5112"/>
            <w:vAlign w:val="top"/>
            <w:tcMar>
              <w:top w:w="90" w:type="dxa"/>
              <w:start w:w="100" w:type="dxa"/>
              <w:bottom w:w="90" w:type="dxa"/>
              <w:end w:w="100" w:type="dxa"/>
            </w:tcMar>
          </w:tcPr>
          <w:p>
            <w:r>
              <w:t>Avoid unless a grid is functionally the strongest way to communicate the information.</w:t>
            </w:r>
          </w:p>
        </w:tc>
      </w:tr>
    </w:tbl>
    <w:p>
      <w:pPr>
        <w:pStyle w:val="Heading1"/>
      </w:pPr>
      <w:r>
        <w:t>17. Design Freedom Envelope</w:t>
      </w:r>
    </w:p>
    <w:tbl>
      <w:tblPr>
        <w:tblW w:type="auto" w:w="0"/>
        <w:jc w:val="center"/>
        <w:tblLook w:firstColumn="1" w:firstRow="1" w:lastColumn="0" w:lastRow="0" w:noHBand="0" w:noVBand="1" w:val="04A0"/>
      </w:tblPr>
      <w:tblGrid>
        <w:gridCol w:w="10224"/>
      </w:tblGrid>
      <w:tr>
        <w:tc>
          <w:tcPr>
            <w:tcW w:type="dxa" w:w="10224"/>
            <w:shd w:fill="E9F7FA"/>
            <w:tcMar>
              <w:top w:w="110" w:type="dxa"/>
              <w:start w:w="130" w:type="dxa"/>
              <w:bottom w:w="110" w:type="dxa"/>
              <w:end w:w="130" w:type="dxa"/>
            </w:tcMar>
          </w:tcPr>
          <w:p>
            <w:r>
              <w:rPr>
                <w:b/>
                <w:sz w:val="20"/>
              </w:rPr>
              <w:t>The content architecture and product facts are fixed. The visual composition is not.</w:t>
            </w:r>
          </w:p>
          <w:p>
            <w:pPr/>
            <w:r>
              <w:t>Claude owns composition inside the approved PlagiarismSearch design system. The goal is a stronger narrative rhythm than v1 without inventing product facts or changing the page story.</w:t>
            </w:r>
          </w:p>
        </w:tc>
      </w:tr>
    </w:tbl>
    <w:p>
      <w:pPr>
        <w:spacing w:after="20"/>
      </w:pPr>
    </w:p>
    <w:p>
      <w:pPr>
        <w:pStyle w:val="Heading2"/>
      </w:pPr>
      <w:r>
        <w:t>Claude MAY decide:</w:t>
      </w:r>
    </w:p>
    <w:p>
      <w:pPr>
        <w:pStyle w:val="ListBullet"/>
        <w:spacing w:after="40"/>
      </w:pPr>
      <w:r>
        <w:t>Number of columns and asymmetry.</w:t>
      </w:r>
    </w:p>
    <w:p>
      <w:pPr>
        <w:pStyle w:val="ListBullet"/>
        <w:spacing w:after="40"/>
      </w:pPr>
      <w:r>
        <w:t>Whether a relationship is shown as a diagram, lane, flow, tabbed reveal, progressive reveal, or hybrid layout.</w:t>
      </w:r>
    </w:p>
    <w:p>
      <w:pPr>
        <w:pStyle w:val="ListBullet"/>
        <w:spacing w:after="40"/>
      </w:pPr>
      <w:r>
        <w:t>Diagram orientation and connector treatment.</w:t>
      </w:r>
    </w:p>
    <w:p>
      <w:pPr>
        <w:pStyle w:val="ListBullet"/>
        <w:spacing w:after="40"/>
      </w:pPr>
      <w:r>
        <w:t>Card usage where genuinely useful.</w:t>
      </w:r>
    </w:p>
    <w:p>
      <w:pPr>
        <w:pStyle w:val="ListBullet"/>
        <w:spacing w:after="40"/>
      </w:pPr>
      <w:r>
        <w:t>Spacing, visual pacing, section proportions, ornamentation, and micro-animation.</w:t>
      </w:r>
    </w:p>
    <w:p>
      <w:pPr>
        <w:pStyle w:val="ListBullet"/>
        <w:spacing w:after="40"/>
      </w:pPr>
      <w:r>
        <w:t>Whether secondary information is presented as labels, captions, tooltips, tabs, or another accessible treatment.</w:t>
      </w:r>
    </w:p>
    <w:p>
      <w:pPr>
        <w:pStyle w:val="Heading2"/>
      </w:pPr>
      <w:r>
        <w:t>Claude MAY NOT decide:</w:t>
      </w:r>
    </w:p>
    <w:p>
      <w:pPr>
        <w:pStyle w:val="ListBullet"/>
        <w:spacing w:after="40"/>
      </w:pPr>
      <w:r>
        <w:t>New product capabilities, roles, permissions, integrations, repository behavior, or enterprise claims.</w:t>
      </w:r>
    </w:p>
    <w:p>
      <w:pPr>
        <w:pStyle w:val="ListBullet"/>
        <w:spacing w:after="40"/>
      </w:pPr>
      <w:r>
        <w:t>New pricing, trial, SLA, response-time, security, or retention claims.</w:t>
      </w:r>
    </w:p>
    <w:p>
      <w:pPr>
        <w:pStyle w:val="ListBullet"/>
        <w:spacing w:after="40"/>
      </w:pPr>
      <w:r>
        <w:t>A different page owner intent or funnel.</w:t>
      </w:r>
    </w:p>
    <w:p>
      <w:pPr>
        <w:pStyle w:val="ListBullet"/>
        <w:spacing w:after="40"/>
      </w:pPr>
      <w:r>
        <w:t>Removing required factual distinctions.</w:t>
      </w:r>
    </w:p>
    <w:p>
      <w:pPr>
        <w:pStyle w:val="ListBullet"/>
        <w:spacing w:after="40"/>
      </w:pPr>
      <w:r>
        <w:t>Turning supporting Moodle/API/AI content into owner-page depth.</w:t>
      </w:r>
    </w:p>
    <w:p>
      <w:pPr>
        <w:pStyle w:val="ListBullet"/>
        <w:spacing w:after="40"/>
      </w:pPr>
      <w:r>
        <w:t>Replacing real report evidence with generic illustration or stock photography.</w:t>
      </w:r>
    </w:p>
    <w:tbl>
      <w:tblPr>
        <w:tblW w:type="auto" w:w="0"/>
        <w:jc w:val="center"/>
        <w:tblLook w:firstColumn="1" w:firstRow="1" w:lastColumn="0" w:lastRow="0" w:noHBand="0" w:noVBand="1" w:val="04A0"/>
      </w:tblPr>
      <w:tblGrid>
        <w:gridCol w:w="10224"/>
      </w:tblGrid>
      <w:tr>
        <w:tc>
          <w:tcPr>
            <w:tcW w:type="dxa" w:w="10224"/>
            <w:shd w:fill="FFF3EE"/>
            <w:tcMar>
              <w:top w:w="110" w:type="dxa"/>
              <w:start w:w="130" w:type="dxa"/>
              <w:bottom w:w="110" w:type="dxa"/>
              <w:end w:w="130" w:type="dxa"/>
            </w:tcMar>
          </w:tcPr>
          <w:p>
            <w:r>
              <w:rPr>
                <w:b/>
                <w:sz w:val="20"/>
              </w:rPr>
              <w:t>One-line rule for Claude</w:t>
            </w:r>
          </w:p>
          <w:p>
            <w:pPr/>
            <w:r>
              <w:t>A supplied list of facts is content, not a prescribed list of cards.</w:t>
            </w:r>
          </w:p>
        </w:tc>
      </w:tr>
    </w:tbl>
    <w:p>
      <w:pPr>
        <w:spacing w:after="20"/>
      </w:pPr>
    </w:p>
    <w:p>
      <w:pPr>
        <w:pStyle w:val="Heading1"/>
      </w:pPr>
      <w:r>
        <w:t>18. Required visual rhythm — without prescribing layouts</w:t>
      </w:r>
    </w:p>
    <w:tbl>
      <w:tblPr>
        <w:tblStyle w:val="TableGrid"/>
        <w:tblW w:type="auto" w:w="0"/>
        <w:jc w:val="center"/>
        <w:tblLook w:firstColumn="1" w:firstRow="1" w:lastColumn="0" w:lastRow="0" w:noHBand="0" w:noVBand="1" w:val="04A0"/>
      </w:tblPr>
      <w:tblGrid>
        <w:gridCol w:w="5112"/>
        <w:gridCol w:w="5112"/>
      </w:tblGrid>
      <w:tr>
        <w:tc>
          <w:tcPr>
            <w:tcW w:type="dxa" w:w="5112"/>
            <w:shd w:fill="EAF1F7"/>
          </w:tcPr>
          <w:p>
            <w:r>
              <w:rPr>
                <w:b/>
              </w:rPr>
              <w:t>Item</w:t>
            </w:r>
          </w:p>
        </w:tc>
        <w:tc>
          <w:tcPr>
            <w:tcW w:type="dxa" w:w="5112"/>
            <w:shd w:fill="EAF1F7"/>
          </w:tcPr>
          <w:p>
            <w:r>
              <w:rPr>
                <w:b/>
              </w:rPr>
              <w:t>Approved implementation</w:t>
            </w:r>
          </w:p>
        </w:tc>
      </w:tr>
      <w:tr>
        <w:tc>
          <w:tcPr>
            <w:tcW w:type="dxa" w:w="5112"/>
            <w:vAlign w:val="top"/>
            <w:tcMar>
              <w:top w:w="90" w:type="dxa"/>
              <w:start w:w="100" w:type="dxa"/>
              <w:bottom w:w="90" w:type="dxa"/>
              <w:end w:w="100" w:type="dxa"/>
            </w:tcMar>
          </w:tcPr>
          <w:p>
            <w:r>
              <w:t>Hero</w:t>
            </w:r>
          </w:p>
        </w:tc>
        <w:tc>
          <w:tcPr>
            <w:tcW w:type="dxa" w:w="5112"/>
            <w:vAlign w:val="top"/>
            <w:tcMar>
              <w:top w:w="90" w:type="dxa"/>
              <w:start w:w="100" w:type="dxa"/>
              <w:bottom w:w="90" w:type="dxa"/>
              <w:end w:w="100" w:type="dxa"/>
            </w:tcMar>
          </w:tcPr>
          <w:p>
            <w:r>
              <w:t>Conceptual institutional system visual; not deployment cards.</w:t>
            </w:r>
          </w:p>
        </w:tc>
      </w:tr>
      <w:tr>
        <w:tc>
          <w:tcPr>
            <w:tcW w:type="dxa" w:w="5112"/>
            <w:vAlign w:val="top"/>
            <w:tcMar>
              <w:top w:w="90" w:type="dxa"/>
              <w:start w:w="100" w:type="dxa"/>
              <w:bottom w:w="90" w:type="dxa"/>
              <w:end w:w="100" w:type="dxa"/>
            </w:tcMar>
          </w:tcPr>
          <w:p>
            <w:r>
              <w:t>Report</w:t>
            </w:r>
          </w:p>
        </w:tc>
        <w:tc>
          <w:tcPr>
            <w:tcW w:type="dxa" w:w="5112"/>
            <w:vAlign w:val="top"/>
            <w:tcMar>
              <w:top w:w="90" w:type="dxa"/>
              <w:start w:w="100" w:type="dxa"/>
              <w:bottom w:w="90" w:type="dxa"/>
              <w:end w:w="100" w:type="dxa"/>
            </w:tcMar>
          </w:tcPr>
          <w:p>
            <w:r>
              <w:t>Real product UI / evidence.</w:t>
            </w:r>
          </w:p>
        </w:tc>
      </w:tr>
      <w:tr>
        <w:tc>
          <w:tcPr>
            <w:tcW w:type="dxa" w:w="5112"/>
            <w:vAlign w:val="top"/>
            <w:tcMar>
              <w:top w:w="90" w:type="dxa"/>
              <w:start w:w="100" w:type="dxa"/>
              <w:bottom w:w="90" w:type="dxa"/>
              <w:end w:w="100" w:type="dxa"/>
            </w:tcMar>
          </w:tcPr>
          <w:p>
            <w:r>
              <w:t>Institutional Control</w:t>
            </w:r>
          </w:p>
        </w:tc>
        <w:tc>
          <w:tcPr>
            <w:tcW w:type="dxa" w:w="5112"/>
            <w:vAlign w:val="top"/>
            <w:tcMar>
              <w:top w:w="90" w:type="dxa"/>
              <w:start w:w="100" w:type="dxa"/>
              <w:bottom w:w="90" w:type="dxa"/>
              <w:end w:w="100" w:type="dxa"/>
            </w:tcMar>
          </w:tcPr>
          <w:p>
            <w:r>
              <w:t>Relationship/process visual.</w:t>
            </w:r>
          </w:p>
        </w:tc>
      </w:tr>
      <w:tr>
        <w:tc>
          <w:tcPr>
            <w:tcW w:type="dxa" w:w="5112"/>
            <w:vAlign w:val="top"/>
            <w:tcMar>
              <w:top w:w="90" w:type="dxa"/>
              <w:start w:w="100" w:type="dxa"/>
              <w:bottom w:w="90" w:type="dxa"/>
              <w:end w:w="100" w:type="dxa"/>
            </w:tcMar>
          </w:tcPr>
          <w:p>
            <w:r>
              <w:t>Sources + Storage</w:t>
            </w:r>
          </w:p>
        </w:tc>
        <w:tc>
          <w:tcPr>
            <w:tcW w:type="dxa" w:w="5112"/>
            <w:vAlign w:val="top"/>
            <w:tcMar>
              <w:top w:w="90" w:type="dxa"/>
              <w:start w:w="100" w:type="dxa"/>
              <w:bottom w:w="90" w:type="dxa"/>
              <w:end w:w="100" w:type="dxa"/>
            </w:tcMar>
          </w:tcPr>
          <w:p>
            <w:r>
              <w:t>Architecture/source map.</w:t>
            </w:r>
          </w:p>
        </w:tc>
      </w:tr>
      <w:tr>
        <w:tc>
          <w:tcPr>
            <w:tcW w:type="dxa" w:w="5112"/>
            <w:vAlign w:val="top"/>
            <w:tcMar>
              <w:top w:w="90" w:type="dxa"/>
              <w:start w:w="100" w:type="dxa"/>
              <w:bottom w:w="90" w:type="dxa"/>
              <w:end w:w="100" w:type="dxa"/>
            </w:tcMar>
          </w:tcPr>
          <w:p>
            <w:r>
              <w:t>Deployment</w:t>
            </w:r>
          </w:p>
        </w:tc>
        <w:tc>
          <w:tcPr>
            <w:tcW w:type="dxa" w:w="5112"/>
            <w:vAlign w:val="top"/>
            <w:tcMar>
              <w:top w:w="90" w:type="dxa"/>
              <w:start w:w="100" w:type="dxa"/>
              <w:bottom w:w="90" w:type="dxa"/>
              <w:end w:w="100" w:type="dxa"/>
            </w:tcMar>
          </w:tcPr>
          <w:p>
            <w:r>
              <w:t>Decision/path visual.</w:t>
            </w:r>
          </w:p>
        </w:tc>
      </w:tr>
      <w:tr>
        <w:tc>
          <w:tcPr>
            <w:tcW w:type="dxa" w:w="5112"/>
            <w:vAlign w:val="top"/>
            <w:tcMar>
              <w:top w:w="90" w:type="dxa"/>
              <w:start w:w="100" w:type="dxa"/>
              <w:bottom w:w="90" w:type="dxa"/>
              <w:end w:w="100" w:type="dxa"/>
            </w:tcMar>
          </w:tcPr>
          <w:p>
            <w:r>
              <w:t>AI</w:t>
            </w:r>
          </w:p>
        </w:tc>
        <w:tc>
          <w:tcPr>
            <w:tcW w:type="dxa" w:w="5112"/>
            <w:vAlign w:val="top"/>
            <w:tcMar>
              <w:top w:w="90" w:type="dxa"/>
              <w:start w:w="100" w:type="dxa"/>
              <w:bottom w:w="90" w:type="dxa"/>
              <w:end w:w="100" w:type="dxa"/>
            </w:tcMar>
          </w:tcPr>
          <w:p>
            <w:r>
              <w:t>Compact secondary banner/block.</w:t>
            </w:r>
          </w:p>
        </w:tc>
      </w:tr>
      <w:tr>
        <w:tc>
          <w:tcPr>
            <w:tcW w:type="dxa" w:w="5112"/>
            <w:vAlign w:val="top"/>
            <w:tcMar>
              <w:top w:w="90" w:type="dxa"/>
              <w:start w:w="100" w:type="dxa"/>
              <w:bottom w:w="90" w:type="dxa"/>
              <w:end w:w="100" w:type="dxa"/>
            </w:tcMar>
          </w:tcPr>
          <w:p>
            <w:r>
              <w:t>Inquiry</w:t>
            </w:r>
          </w:p>
        </w:tc>
        <w:tc>
          <w:tcPr>
            <w:tcW w:type="dxa" w:w="5112"/>
            <w:vAlign w:val="top"/>
            <w:tcMar>
              <w:top w:w="90" w:type="dxa"/>
              <w:start w:w="100" w:type="dxa"/>
              <w:bottom w:w="90" w:type="dxa"/>
              <w:end w:w="100" w:type="dxa"/>
            </w:tcMar>
          </w:tcPr>
          <w:p>
            <w:r>
              <w:t>Conversion form.</w:t>
            </w:r>
          </w:p>
        </w:tc>
      </w:tr>
      <w:tr>
        <w:tc>
          <w:tcPr>
            <w:tcW w:type="dxa" w:w="5112"/>
            <w:vAlign w:val="top"/>
            <w:tcMar>
              <w:top w:w="90" w:type="dxa"/>
              <w:start w:w="100" w:type="dxa"/>
              <w:bottom w:w="90" w:type="dxa"/>
              <w:end w:w="100" w:type="dxa"/>
            </w:tcMar>
          </w:tcPr>
          <w:p>
            <w:r>
              <w:t>FAQ</w:t>
            </w:r>
          </w:p>
        </w:tc>
        <w:tc>
          <w:tcPr>
            <w:tcW w:type="dxa" w:w="5112"/>
            <w:vAlign w:val="top"/>
            <w:tcMar>
              <w:top w:w="90" w:type="dxa"/>
              <w:start w:w="100" w:type="dxa"/>
              <w:bottom w:w="90" w:type="dxa"/>
              <w:end w:w="100" w:type="dxa"/>
            </w:tcMar>
          </w:tcPr>
          <w:p>
            <w:r>
              <w:t>Accordion.</w:t>
            </w:r>
          </w:p>
        </w:tc>
      </w:tr>
      <w:tr>
        <w:tc>
          <w:tcPr>
            <w:tcW w:type="dxa" w:w="5112"/>
            <w:vAlign w:val="top"/>
            <w:tcMar>
              <w:top w:w="90" w:type="dxa"/>
              <w:start w:w="100" w:type="dxa"/>
              <w:bottom w:w="90" w:type="dxa"/>
              <w:end w:w="100" w:type="dxa"/>
            </w:tcMar>
          </w:tcPr>
          <w:p>
            <w:r>
              <w:t>Final CTA</w:t>
            </w:r>
          </w:p>
        </w:tc>
        <w:tc>
          <w:tcPr>
            <w:tcW w:type="dxa" w:w="5112"/>
            <w:vAlign w:val="top"/>
            <w:tcMar>
              <w:top w:w="90" w:type="dxa"/>
              <w:start w:w="100" w:type="dxa"/>
              <w:bottom w:w="90" w:type="dxa"/>
              <w:end w:w="100" w:type="dxa"/>
            </w:tcMar>
          </w:tcPr>
          <w:p>
            <w:r>
              <w:t>Expressive close.</w:t>
            </w:r>
          </w:p>
        </w:tc>
      </w:tr>
    </w:tbl>
    <w:tbl>
      <w:tblPr>
        <w:tblW w:type="auto" w:w="0"/>
        <w:jc w:val="center"/>
        <w:tblLook w:firstColumn="1" w:firstRow="1" w:lastColumn="0" w:lastRow="0" w:noHBand="0" w:noVBand="1" w:val="04A0"/>
      </w:tblPr>
      <w:tblGrid>
        <w:gridCol w:w="10224"/>
      </w:tblGrid>
      <w:tr>
        <w:tc>
          <w:tcPr>
            <w:tcW w:type="dxa" w:w="10224"/>
            <w:shd w:fill="F7F7FB"/>
            <w:tcMar>
              <w:top w:w="110" w:type="dxa"/>
              <w:start w:w="130" w:type="dxa"/>
              <w:bottom w:w="110" w:type="dxa"/>
              <w:end w:w="130" w:type="dxa"/>
            </w:tcMar>
          </w:tcPr>
          <w:p>
            <w:r>
              <w:rPr>
                <w:b/>
                <w:sz w:val="20"/>
              </w:rPr>
              <w:t>Why this matters</w:t>
            </w:r>
          </w:p>
          <w:p>
            <w:pPr/>
            <w:r>
              <w:t>Consecutive major sections should not all resolve into the same visual grammar. The information itself already suggests different proof types; use that variety.</w:t>
            </w:r>
          </w:p>
        </w:tc>
      </w:tr>
    </w:tbl>
    <w:p>
      <w:pPr>
        <w:spacing w:after="20"/>
      </w:pPr>
    </w:p>
    <w:p>
      <w:pPr>
        <w:pStyle w:val="Heading1"/>
      </w:pPr>
      <w:r>
        <w:t>19. Responsive, accessibility, and interaction requirements</w:t>
      </w:r>
    </w:p>
    <w:p>
      <w:pPr>
        <w:pStyle w:val="ListBullet"/>
        <w:spacing w:after="40"/>
      </w:pPr>
      <w:r>
        <w:t>All diagrams must remain understandable on mobile. Reflow/reorient them rather than shrinking unreadably.</w:t>
      </w:r>
    </w:p>
    <w:p>
      <w:pPr>
        <w:pStyle w:val="ListBullet"/>
        <w:spacing w:after="40"/>
      </w:pPr>
      <w:r>
        <w:t>No page-wide horizontal overflow.</w:t>
      </w:r>
    </w:p>
    <w:p>
      <w:pPr>
        <w:pStyle w:val="ListBullet"/>
        <w:spacing w:after="40"/>
      </w:pPr>
      <w:r>
        <w:t>All meaningful information must remain available on mobile; secondary presentation may change.</w:t>
      </w:r>
    </w:p>
    <w:p>
      <w:pPr>
        <w:pStyle w:val="ListBullet"/>
        <w:spacing w:after="40"/>
      </w:pPr>
      <w:r>
        <w:t>Keyboard focus must be visible.</w:t>
      </w:r>
    </w:p>
    <w:p>
      <w:pPr>
        <w:pStyle w:val="ListBullet"/>
        <w:spacing w:after="40"/>
      </w:pPr>
      <w:r>
        <w:t>FAQ accordion controls must be semantic buttons with accessible expanded/collapsed state.</w:t>
      </w:r>
    </w:p>
    <w:p>
      <w:pPr>
        <w:pStyle w:val="ListBullet"/>
        <w:spacing w:after="40"/>
      </w:pPr>
      <w:r>
        <w:t>Form labels must remain visible and required/optional state must be clear.</w:t>
      </w:r>
    </w:p>
    <w:p>
      <w:pPr>
        <w:pStyle w:val="ListBullet"/>
        <w:spacing w:after="40"/>
      </w:pPr>
      <w:r>
        <w:t>All links and CTAs must be real anchors/hrefs in production.</w:t>
      </w:r>
    </w:p>
    <w:p>
      <w:pPr>
        <w:pStyle w:val="ListBullet"/>
        <w:spacing w:after="40"/>
      </w:pPr>
      <w:r>
        <w:t>Meaningful diagram labels must be accessible HTML or accessible SVG/semantic alternatives.</w:t>
      </w:r>
    </w:p>
    <w:p>
      <w:pPr>
        <w:pStyle w:val="ListBullet"/>
        <w:spacing w:after="40"/>
      </w:pPr>
      <w:r>
        <w:t>Decorative eyebrow labels should not create extra heading levels.</w:t>
      </w:r>
    </w:p>
    <w:p>
      <w:pPr>
        <w:pStyle w:val="Heading1"/>
      </w:pPr>
      <w:r>
        <w:t>20. Forbidden / unconfirmed content</w:t>
      </w:r>
    </w:p>
    <w:p>
      <w:pPr>
        <w:pStyle w:val="ListBullet"/>
        <w:spacing w:after="40"/>
      </w:pPr>
      <w:r>
        <w:t>Do not claim that a similarity score proves plagiarism or academic misconduct.</w:t>
      </w:r>
    </w:p>
    <w:p>
      <w:pPr>
        <w:pStyle w:val="ListBullet"/>
        <w:spacing w:after="40"/>
      </w:pPr>
      <w:r>
        <w:t>Do not claim that AI-generated text is automatically plagiarism.</w:t>
      </w:r>
    </w:p>
    <w:p>
      <w:pPr>
        <w:pStyle w:val="ListBullet"/>
        <w:spacing w:after="40"/>
      </w:pPr>
      <w:r>
        <w:t>Do not claim that every checked document automatically enters Organization Storage.</w:t>
      </w:r>
    </w:p>
    <w:p>
      <w:pPr>
        <w:pStyle w:val="ListBullet"/>
        <w:spacing w:after="40"/>
      </w:pPr>
      <w:r>
        <w:t>Do not invent “No data storage.”</w:t>
      </w:r>
    </w:p>
    <w:p>
      <w:pPr>
        <w:pStyle w:val="ListBullet"/>
        <w:spacing w:after="40"/>
      </w:pPr>
      <w:r>
        <w:t>Do not invent organization SSO, audit logs, departments, analytics, seats, admin tiers, or granular permission roles beyond confirmed facts.</w:t>
      </w:r>
    </w:p>
    <w:p>
      <w:pPr>
        <w:pStyle w:val="ListBullet"/>
        <w:spacing w:after="40"/>
      </w:pPr>
      <w:r>
        <w:t>Do not invent cross-university or global institutional repositories.</w:t>
      </w:r>
    </w:p>
    <w:p>
      <w:pPr>
        <w:pStyle w:val="ListBullet"/>
        <w:spacing w:after="40"/>
      </w:pPr>
      <w:r>
        <w:t>Do not invent Canvas-specific controls on this page.</w:t>
      </w:r>
    </w:p>
    <w:p>
      <w:pPr>
        <w:pStyle w:val="ListBullet"/>
        <w:spacing w:after="40"/>
      </w:pPr>
      <w:r>
        <w:t>Do not invent API SLAs, SDKs, rate limits, sandbox, trial rights, or pricing.</w:t>
      </w:r>
    </w:p>
    <w:p>
      <w:pPr>
        <w:pStyle w:val="ListBullet"/>
        <w:spacing w:after="40"/>
      </w:pPr>
      <w:r>
        <w:t>Do not add AI model names, AI accuracy percentages, or AI pricing to this University page.</w:t>
      </w:r>
    </w:p>
    <w:p>
      <w:pPr>
        <w:pStyle w:val="ListBullet"/>
        <w:spacing w:after="40"/>
      </w:pPr>
      <w:r>
        <w:t>Do not invent response-time promises in the inquiry form.</w:t>
      </w:r>
    </w:p>
    <w:p>
      <w:pPr>
        <w:pStyle w:val="Heading1"/>
      </w:pPr>
      <w:r>
        <w:t>21. Internal-link policy</w:t>
      </w:r>
    </w:p>
    <w:tbl>
      <w:tblPr>
        <w:tblStyle w:val="TableGrid"/>
        <w:tblW w:type="auto" w:w="0"/>
        <w:jc w:val="center"/>
        <w:tblLook w:firstColumn="1" w:firstRow="1" w:lastColumn="0" w:lastRow="0" w:noHBand="0" w:noVBand="1" w:val="04A0"/>
      </w:tblPr>
      <w:tblGrid>
        <w:gridCol w:w="5112"/>
        <w:gridCol w:w="5112"/>
      </w:tblGrid>
      <w:tr>
        <w:tc>
          <w:tcPr>
            <w:tcW w:type="dxa" w:w="5112"/>
            <w:shd w:fill="EAF1F7"/>
          </w:tcPr>
          <w:p>
            <w:r>
              <w:rPr>
                <w:b/>
              </w:rPr>
              <w:t>Item</w:t>
            </w:r>
          </w:p>
        </w:tc>
        <w:tc>
          <w:tcPr>
            <w:tcW w:type="dxa" w:w="5112"/>
            <w:shd w:fill="EAF1F7"/>
          </w:tcPr>
          <w:p>
            <w:r>
              <w:rPr>
                <w:b/>
              </w:rPr>
              <w:t>Approved implementation</w:t>
            </w:r>
          </w:p>
        </w:tc>
      </w:tr>
      <w:tr>
        <w:tc>
          <w:tcPr>
            <w:tcW w:type="dxa" w:w="5112"/>
            <w:vAlign w:val="top"/>
            <w:tcMar>
              <w:top w:w="90" w:type="dxa"/>
              <w:start w:w="100" w:type="dxa"/>
              <w:bottom w:w="90" w:type="dxa"/>
              <w:end w:w="100" w:type="dxa"/>
            </w:tcMar>
          </w:tcPr>
          <w:p>
            <w:r>
              <w:t>/organization-management</w:t>
            </w:r>
          </w:p>
        </w:tc>
        <w:tc>
          <w:tcPr>
            <w:tcW w:type="dxa" w:w="5112"/>
            <w:vAlign w:val="top"/>
            <w:tcMar>
              <w:top w:w="90" w:type="dxa"/>
              <w:start w:w="100" w:type="dxa"/>
              <w:bottom w:w="90" w:type="dxa"/>
              <w:end w:w="100" w:type="dxa"/>
            </w:tcMar>
          </w:tcPr>
          <w:p>
            <w:r>
              <w:t>Institutional administration / workspace</w:t>
            </w:r>
          </w:p>
        </w:tc>
      </w:tr>
      <w:tr>
        <w:tc>
          <w:tcPr>
            <w:tcW w:type="dxa" w:w="5112"/>
            <w:vAlign w:val="top"/>
            <w:tcMar>
              <w:top w:w="90" w:type="dxa"/>
              <w:start w:w="100" w:type="dxa"/>
              <w:bottom w:w="90" w:type="dxa"/>
              <w:end w:w="100" w:type="dxa"/>
            </w:tcMar>
          </w:tcPr>
          <w:p>
            <w:r>
              <w:t>/integration-guide</w:t>
            </w:r>
          </w:p>
        </w:tc>
        <w:tc>
          <w:tcPr>
            <w:tcW w:type="dxa" w:w="5112"/>
            <w:vAlign w:val="top"/>
            <w:tcMar>
              <w:top w:w="90" w:type="dxa"/>
              <w:start w:w="100" w:type="dxa"/>
              <w:bottom w:w="90" w:type="dxa"/>
              <w:end w:w="100" w:type="dxa"/>
            </w:tcMar>
          </w:tcPr>
          <w:p>
            <w:r>
              <w:t>Moodle detail</w:t>
            </w:r>
          </w:p>
        </w:tc>
      </w:tr>
      <w:tr>
        <w:tc>
          <w:tcPr>
            <w:tcW w:type="dxa" w:w="5112"/>
            <w:vAlign w:val="top"/>
            <w:tcMar>
              <w:top w:w="90" w:type="dxa"/>
              <w:start w:w="100" w:type="dxa"/>
              <w:bottom w:w="90" w:type="dxa"/>
              <w:end w:w="100" w:type="dxa"/>
            </w:tcMar>
          </w:tcPr>
          <w:p>
            <w:r>
              <w:t>/canvas-integration</w:t>
            </w:r>
          </w:p>
        </w:tc>
        <w:tc>
          <w:tcPr>
            <w:tcW w:type="dxa" w:w="5112"/>
            <w:vAlign w:val="top"/>
            <w:tcMar>
              <w:top w:w="90" w:type="dxa"/>
              <w:start w:w="100" w:type="dxa"/>
              <w:bottom w:w="90" w:type="dxa"/>
              <w:end w:w="100" w:type="dxa"/>
            </w:tcMar>
          </w:tcPr>
          <w:p>
            <w:r>
              <w:t>Canvas detail</w:t>
            </w:r>
          </w:p>
        </w:tc>
      </w:tr>
      <w:tr>
        <w:tc>
          <w:tcPr>
            <w:tcW w:type="dxa" w:w="5112"/>
            <w:vAlign w:val="top"/>
            <w:tcMar>
              <w:top w:w="90" w:type="dxa"/>
              <w:start w:w="100" w:type="dxa"/>
              <w:bottom w:w="90" w:type="dxa"/>
              <w:end w:w="100" w:type="dxa"/>
            </w:tcMar>
          </w:tcPr>
          <w:p>
            <w:r>
              <w:t>/plagiarism-api</w:t>
            </w:r>
          </w:p>
        </w:tc>
        <w:tc>
          <w:tcPr>
            <w:tcW w:type="dxa" w:w="5112"/>
            <w:vAlign w:val="top"/>
            <w:tcMar>
              <w:top w:w="90" w:type="dxa"/>
              <w:start w:w="100" w:type="dxa"/>
              <w:bottom w:w="90" w:type="dxa"/>
              <w:end w:w="100" w:type="dxa"/>
            </w:tcMar>
          </w:tcPr>
          <w:p>
            <w:r>
              <w:t>Custom integration</w:t>
            </w:r>
          </w:p>
        </w:tc>
      </w:tr>
      <w:tr>
        <w:tc>
          <w:tcPr>
            <w:tcW w:type="dxa" w:w="5112"/>
            <w:vAlign w:val="top"/>
            <w:tcMar>
              <w:top w:w="90" w:type="dxa"/>
              <w:start w:w="100" w:type="dxa"/>
              <w:bottom w:w="90" w:type="dxa"/>
              <w:end w:w="100" w:type="dxa"/>
            </w:tcMar>
          </w:tcPr>
          <w:p>
            <w:r>
              <w:t>/ai-content-detector</w:t>
            </w:r>
          </w:p>
        </w:tc>
        <w:tc>
          <w:tcPr>
            <w:tcW w:type="dxa" w:w="5112"/>
            <w:vAlign w:val="top"/>
            <w:tcMar>
              <w:top w:w="90" w:type="dxa"/>
              <w:start w:w="100" w:type="dxa"/>
              <w:bottom w:w="90" w:type="dxa"/>
              <w:end w:w="100" w:type="dxa"/>
            </w:tcMar>
          </w:tcPr>
          <w:p>
            <w:r>
              <w:t>Secondary AI capability</w:t>
            </w:r>
          </w:p>
        </w:tc>
      </w:tr>
      <w:tr>
        <w:tc>
          <w:tcPr>
            <w:tcW w:type="dxa" w:w="5112"/>
            <w:vAlign w:val="top"/>
            <w:tcMar>
              <w:top w:w="90" w:type="dxa"/>
              <w:start w:w="100" w:type="dxa"/>
              <w:bottom w:w="90" w:type="dxa"/>
              <w:end w:w="100" w:type="dxa"/>
            </w:tcMar>
          </w:tcPr>
          <w:p>
            <w:r>
              <w:t>/policy</w:t>
            </w:r>
          </w:p>
        </w:tc>
        <w:tc>
          <w:tcPr>
            <w:tcW w:type="dxa" w:w="5112"/>
            <w:vAlign w:val="top"/>
            <w:tcMar>
              <w:top w:w="90" w:type="dxa"/>
              <w:start w:w="100" w:type="dxa"/>
              <w:bottom w:w="90" w:type="dxa"/>
              <w:end w:w="100" w:type="dxa"/>
            </w:tcMar>
          </w:tcPr>
          <w:p>
            <w:r>
              <w:t>Privacy/data</w:t>
            </w:r>
          </w:p>
        </w:tc>
      </w:tr>
      <w:tr>
        <w:tc>
          <w:tcPr>
            <w:tcW w:type="dxa" w:w="5112"/>
            <w:vAlign w:val="top"/>
            <w:tcMar>
              <w:top w:w="90" w:type="dxa"/>
              <w:start w:w="100" w:type="dxa"/>
              <w:bottom w:w="90" w:type="dxa"/>
              <w:end w:w="100" w:type="dxa"/>
            </w:tcMar>
          </w:tcPr>
          <w:p>
            <w:r>
              <w:t>/terms-of-use</w:t>
            </w:r>
          </w:p>
        </w:tc>
        <w:tc>
          <w:tcPr>
            <w:tcW w:type="dxa" w:w="5112"/>
            <w:vAlign w:val="top"/>
            <w:tcMar>
              <w:top w:w="90" w:type="dxa"/>
              <w:start w:w="100" w:type="dxa"/>
              <w:bottom w:w="90" w:type="dxa"/>
              <w:end w:w="100" w:type="dxa"/>
            </w:tcMar>
          </w:tcPr>
          <w:p>
            <w:r>
              <w:t>Inquiry/legal</w:t>
            </w:r>
          </w:p>
        </w:tc>
      </w:tr>
    </w:tbl>
    <w:p>
      <w:r>
        <w:t>Do not add unrelated body links to Students, Teachers, Turnitin Alternative, blog posts, or generic Pricing unless a later strategy decision explicitly requires them.</w:t>
      </w:r>
    </w:p>
    <w:p>
      <w:pPr>
        <w:pStyle w:val="Heading1"/>
      </w:pPr>
      <w:r>
        <w:t>22. Definition of Done</w:t>
      </w:r>
    </w:p>
    <w:p>
      <w:pPr>
        <w:pStyle w:val="ListBullet"/>
      </w:pPr>
      <w:r>
        <w:t>Exactly one H1: University Plagiarism Checker.</w:t>
      </w:r>
    </w:p>
    <w:p>
      <w:pPr>
        <w:pStyle w:val="ListBullet"/>
      </w:pPr>
      <w:r>
        <w:t>The nine-section page story is preserved in order.</w:t>
      </w:r>
    </w:p>
    <w:p>
      <w:pPr>
        <w:pStyle w:val="ListBullet"/>
      </w:pPr>
      <w:r>
        <w:t>The page is clearly owned by university / higher-education institutional plagiarism checking.</w:t>
      </w:r>
    </w:p>
    <w:p>
      <w:pPr>
        <w:pStyle w:val="ListBullet"/>
      </w:pPr>
      <w:r>
        <w:t>Hero communicates Review / Manage / Integrate without duplicating the later deployment section.</w:t>
      </w:r>
    </w:p>
    <w:p>
      <w:pPr>
        <w:pStyle w:val="ListBullet"/>
      </w:pPr>
      <w:r>
        <w:t>Report Evidence uses the real approved plagiarism report and does not invent misconduct/pass-fail claims.</w:t>
      </w:r>
    </w:p>
    <w:p>
      <w:pPr>
        <w:pStyle w:val="ListBullet"/>
      </w:pPr>
      <w:r>
        <w:t>Institutional Control is presented as a relationship/system, not automatically as four/five equal cards.</w:t>
      </w:r>
    </w:p>
    <w:p>
      <w:pPr>
        <w:pStyle w:val="ListBullet"/>
      </w:pPr>
      <w:r>
        <w:t>Sources + Storage clearly distinguishes external sources, Organization Storage, report lifecycle, and the separate Storage workflow.</w:t>
      </w:r>
    </w:p>
    <w:p>
      <w:pPr>
        <w:pStyle w:val="ListBullet"/>
      </w:pPr>
      <w:r>
        <w:t>Checking a document is NOT visually or textually shown as automatic Storage ingestion.</w:t>
      </w:r>
    </w:p>
    <w:p>
      <w:pPr>
        <w:pStyle w:val="ListBullet"/>
      </w:pPr>
      <w:r>
        <w:t>Deployment presents Organization workspace, Moodle/Canvas, and API as three distinct paths without duplicating the dedicated owner pages.</w:t>
      </w:r>
    </w:p>
    <w:p>
      <w:pPr>
        <w:pStyle w:val="ListBullet"/>
      </w:pPr>
      <w:r>
        <w:t>Optional AI remains compact and clearly separate from plagiarism checking.</w:t>
      </w:r>
    </w:p>
    <w:p>
      <w:pPr>
        <w:pStyle w:val="ListBullet"/>
      </w:pPr>
      <w:r>
        <w:t>Inquiry form uses the approved fields, options, consent, CTA, and success state.</w:t>
      </w:r>
    </w:p>
    <w:p>
      <w:pPr>
        <w:pStyle w:val="ListBullet"/>
      </w:pPr>
      <w:r>
        <w:t>FAQ contains the nine approved questions/answers.</w:t>
      </w:r>
    </w:p>
    <w:p>
      <w:pPr>
        <w:pStyle w:val="ListBullet"/>
      </w:pPr>
      <w:r>
        <w:t>Final CTA uses the approved copy and destinations.</w:t>
      </w:r>
    </w:p>
    <w:p>
      <w:pPr>
        <w:pStyle w:val="ListBullet"/>
      </w:pPr>
      <w:r>
        <w:t>No unsupported product facts or enterprise claims were introduced.</w:t>
      </w:r>
    </w:p>
    <w:p>
      <w:pPr>
        <w:pStyle w:val="ListBullet"/>
      </w:pPr>
      <w:r>
        <w:t>No meaningful SEO/product content is baked only into inaccessible images.</w:t>
      </w:r>
    </w:p>
    <w:p>
      <w:pPr>
        <w:pStyle w:val="ListBullet"/>
      </w:pPr>
      <w:r>
        <w:t>The page does not fall back into a long sequence of visually identical card grids.</w:t>
      </w:r>
    </w:p>
    <w:p>
      <w:pPr>
        <w:pStyle w:val="ListBullet"/>
      </w:pPr>
      <w:r>
        <w:t>Desktop and mobile are readable, accessible, and free of layout overflow.</w:t>
      </w:r>
    </w:p>
    <w:p>
      <w:pPr>
        <w:pStyle w:val="ListBullet"/>
      </w:pPr>
      <w:r>
        <w:t>Production title, meta description, canonical, headings, hrefs, and anchors match this brief.</w:t>
      </w:r>
    </w:p>
    <w:p>
      <w:pPr>
        <w:pStyle w:val="Heading1"/>
      </w:pPr>
      <w:r>
        <w:t>23. Section Library status</w:t>
      </w:r>
    </w:p>
    <w:tbl>
      <w:tblPr>
        <w:tblW w:type="auto" w:w="0"/>
        <w:jc w:val="center"/>
        <w:tblLook w:firstColumn="1" w:firstRow="1" w:lastColumn="0" w:lastRow="0" w:noHBand="0" w:noVBand="1" w:val="04A0"/>
      </w:tblPr>
      <w:tblGrid>
        <w:gridCol w:w="10224"/>
      </w:tblGrid>
      <w:tr>
        <w:tc>
          <w:tcPr>
            <w:tcW w:type="dxa" w:w="10224"/>
            <w:shd w:fill="FFF7E6"/>
            <w:tcMar>
              <w:top w:w="110" w:type="dxa"/>
              <w:start w:w="130" w:type="dxa"/>
              <w:bottom w:w="110" w:type="dxa"/>
              <w:end w:w="130" w:type="dxa"/>
            </w:tcMar>
          </w:tcPr>
          <w:p>
            <w:r>
              <w:rPr>
                <w:b/>
                <w:sz w:val="20"/>
              </w:rPr>
              <w:t>Do not add University v2 sections to the reusable Section Library yet.</w:t>
            </w:r>
          </w:p>
          <w:p>
            <w:pPr/>
            <w:r>
              <w:t>This page must first be implemented and pass design/content/funnel QA. Only after approval should we extract genuinely reusable section patterns and bind them to actual production markup.</w:t>
            </w:r>
          </w:p>
        </w:tc>
      </w:tr>
    </w:tbl>
    <w:p>
      <w:pPr>
        <w:spacing w:after="20"/>
      </w:pPr>
    </w:p>
    <w:p>
      <w:pPr>
        <w:pStyle w:val="Heading1"/>
      </w:pPr>
      <w:r>
        <w:t>24. Final instruction to Claude</w:t>
      </w:r>
    </w:p>
    <w:tbl>
      <w:tblPr>
        <w:tblW w:type="auto" w:w="0"/>
        <w:jc w:val="center"/>
        <w:tblLook w:firstColumn="1" w:firstRow="1" w:lastColumn="0" w:lastRow="0" w:noHBand="0" w:noVBand="1" w:val="04A0"/>
      </w:tblPr>
      <w:tblGrid>
        <w:gridCol w:w="10224"/>
      </w:tblGrid>
      <w:tr>
        <w:tc>
          <w:tcPr>
            <w:tcW w:type="dxa" w:w="10224"/>
            <w:shd w:fill="E9F7FA"/>
            <w:tcMar>
              <w:top w:w="110" w:type="dxa"/>
              <w:start w:w="130" w:type="dxa"/>
              <w:bottom w:w="110" w:type="dxa"/>
              <w:end w:w="130" w:type="dxa"/>
            </w:tcMar>
          </w:tcPr>
          <w:p>
            <w:r>
              <w:rPr>
                <w:b/>
                <w:sz w:val="20"/>
              </w:rPr>
              <w:t>Implement the page, do not reinterpret the product.</w:t>
            </w:r>
          </w:p>
          <w:p>
            <w:pPr/>
            <w:r>
              <w:t>Use the exact content and relationships in this brief. Keep the approved PlagiarismSearch visual language, but redesign the composition freely enough to avoid the repetitive card-grid problem of v1. The page should feel like a coherent institutional decision journey: positioning → evidence → control → source/data architecture → deployment → optional AI → inquiry → FAQ → CTA.</w:t>
            </w:r>
          </w:p>
        </w:tc>
      </w:tr>
    </w:tbl>
    <w:p>
      <w:pPr>
        <w:spacing w:after="20"/>
      </w:pPr>
    </w:p>
    <w:p>
      <w:pPr>
        <w:pStyle w:val="SmallNote"/>
        <w:jc w:val="center"/>
      </w:pPr>
      <w:r>
        <w:t>PlagiarismSearch SEO Recovery 2026 — University Plagiarism Checker — Claude Implementation Brief v2</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D1C34"/>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D1C3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D1C3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D1C34"/>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rial" w:hAnsi="Arial"/>
      <w:color w:val="555E6C"/>
      <w:sz w:val="16"/>
    </w:rPr>
  </w:style>
  <w:style w:type="paragraph" w:customStyle="1" w:styleId="LockedCopy">
    <w:name w:val="Locked Copy"/>
    <w:rPr>
      <w:rFonts w:ascii="Arial" w:hAnsi="Arial"/>
      <w:color w:val="18253E"/>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