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CLAUDE EXECUTION BRIEF</w:t>
        <w:br/>
        <w:t>EN BUSINESS &amp; TEAMS SOLUTION</w:t>
      </w:r>
    </w:p>
    <w:p>
      <w:pPr>
        <w:jc w:val="center"/>
      </w:pPr>
      <w:r>
        <w:rPr>
          <w:b/>
          <w:color w:val="2F5F86"/>
          <w:sz w:val="24"/>
        </w:rPr>
        <w:t>PlagiarismSearch - /plagiarism-checker-for-organization</w:t>
      </w:r>
    </w:p>
    <w:p>
      <w:pPr>
        <w:jc w:val="center"/>
      </w:pPr>
      <w:r>
        <w:rPr>
          <w:i/>
        </w:rPr>
        <w:t>Content baseline approved for implementation briefing - 15 September 2026</w:t>
      </w:r>
    </w:p>
    <w:tbl>
      <w:tblPr>
        <w:tblStyle w:val="TableGrid"/>
        <w:tblW w:type="auto" w:w="0"/>
        <w:jc w:val="center"/>
        <w:tblLook w:firstColumn="1" w:firstRow="1" w:lastColumn="0" w:lastRow="0" w:noHBand="0" w:noVBand="1" w:val="04A0"/>
      </w:tblPr>
      <w:tblGrid>
        <w:gridCol w:w="5083"/>
        <w:gridCol w:w="5083"/>
      </w:tblGrid>
      <w:tr>
        <w:tc>
          <w:tcPr>
            <w:tcW w:type="dxa" w:w="2880"/>
            <w:shd w:fill="EAF1F8"/>
            <w:vAlign w:val="center"/>
            <w:tcMar>
              <w:top w:w="100" w:type="dxa"/>
              <w:start w:w="120" w:type="dxa"/>
              <w:bottom w:w="100" w:type="dxa"/>
              <w:end w:w="120" w:type="dxa"/>
            </w:tcMar>
          </w:tcPr>
          <w:p>
            <w:r>
              <w:rPr>
                <w:b/>
                <w:color w:val="1F374E"/>
                <w:sz w:val="18"/>
              </w:rPr>
              <w:t>Field</w:t>
            </w:r>
          </w:p>
        </w:tc>
        <w:tc>
          <w:tcPr>
            <w:tcW w:type="dxa" w:w="8064"/>
            <w:shd w:fill="EAF1F8"/>
            <w:vAlign w:val="center"/>
            <w:tcMar>
              <w:top w:w="100" w:type="dxa"/>
              <w:start w:w="120" w:type="dxa"/>
              <w:bottom w:w="100" w:type="dxa"/>
              <w:end w:w="120" w:type="dxa"/>
            </w:tcMar>
          </w:tcPr>
          <w:p>
            <w:r>
              <w:rPr>
                <w:b/>
                <w:color w:val="1F374E"/>
                <w:sz w:val="18"/>
              </w:rPr>
              <w:t>Value</w:t>
            </w:r>
          </w:p>
        </w:tc>
      </w:tr>
      <w:tr>
        <w:tc>
          <w:tcPr>
            <w:tcW w:type="dxa" w:w="2880"/>
            <w:vAlign w:val="top"/>
            <w:tcMar>
              <w:top w:w="100" w:type="dxa"/>
              <w:start w:w="120" w:type="dxa"/>
              <w:bottom w:w="100" w:type="dxa"/>
              <w:end w:w="120" w:type="dxa"/>
            </w:tcMar>
          </w:tcPr>
          <w:p>
            <w:pPr>
              <w:spacing w:after="40"/>
            </w:pPr>
            <w:r>
              <w:rPr>
                <w:sz w:val="17"/>
              </w:rPr>
              <w:t>URL</w:t>
            </w:r>
          </w:p>
        </w:tc>
        <w:tc>
          <w:tcPr>
            <w:tcW w:type="dxa" w:w="8064"/>
            <w:vAlign w:val="top"/>
            <w:tcMar>
              <w:top w:w="100" w:type="dxa"/>
              <w:start w:w="120" w:type="dxa"/>
              <w:bottom w:w="100" w:type="dxa"/>
              <w:end w:w="120" w:type="dxa"/>
            </w:tcMar>
          </w:tcPr>
          <w:p>
            <w:pPr>
              <w:spacing w:after="40"/>
            </w:pPr>
            <w:r>
              <w:rPr>
                <w:sz w:val="17"/>
              </w:rPr>
              <w:t>https://plagiarismsearch.com/plagiarism-checker-for-organization</w:t>
            </w:r>
          </w:p>
        </w:tc>
      </w:tr>
      <w:tr>
        <w:tc>
          <w:tcPr>
            <w:tcW w:type="dxa" w:w="2880"/>
            <w:vAlign w:val="top"/>
            <w:tcMar>
              <w:top w:w="100" w:type="dxa"/>
              <w:start w:w="120" w:type="dxa"/>
              <w:bottom w:w="100" w:type="dxa"/>
              <w:end w:w="120" w:type="dxa"/>
            </w:tcMar>
          </w:tcPr>
          <w:p>
            <w:pPr>
              <w:spacing w:after="40"/>
            </w:pPr>
            <w:r>
              <w:rPr>
                <w:sz w:val="17"/>
              </w:rPr>
              <w:t>Architecture role</w:t>
            </w:r>
          </w:p>
        </w:tc>
        <w:tc>
          <w:tcPr>
            <w:tcW w:type="dxa" w:w="8064"/>
            <w:vAlign w:val="top"/>
            <w:tcMar>
              <w:top w:w="100" w:type="dxa"/>
              <w:start w:w="120" w:type="dxa"/>
              <w:bottom w:w="100" w:type="dxa"/>
              <w:end w:w="120" w:type="dxa"/>
            </w:tcMar>
          </w:tcPr>
          <w:p>
            <w:pPr>
              <w:spacing w:after="40"/>
            </w:pPr>
            <w:r>
              <w:rPr>
                <w:sz w:val="17"/>
              </w:rPr>
              <w:t>Primary English Business &amp; Teams solution</w:t>
            </w:r>
          </w:p>
        </w:tc>
      </w:tr>
      <w:tr>
        <w:tc>
          <w:tcPr>
            <w:tcW w:type="dxa" w:w="2880"/>
            <w:vAlign w:val="top"/>
            <w:tcMar>
              <w:top w:w="100" w:type="dxa"/>
              <w:start w:w="120" w:type="dxa"/>
              <w:bottom w:w="100" w:type="dxa"/>
              <w:end w:w="120" w:type="dxa"/>
            </w:tcMar>
          </w:tcPr>
          <w:p>
            <w:pPr>
              <w:spacing w:after="40"/>
            </w:pPr>
            <w:r>
              <w:rPr>
                <w:sz w:val="17"/>
              </w:rPr>
              <w:t>Archetype</w:t>
            </w:r>
          </w:p>
        </w:tc>
        <w:tc>
          <w:tcPr>
            <w:tcW w:type="dxa" w:w="8064"/>
            <w:vAlign w:val="top"/>
            <w:tcMar>
              <w:top w:w="100" w:type="dxa"/>
              <w:start w:w="120" w:type="dxa"/>
              <w:bottom w:w="100" w:type="dxa"/>
              <w:end w:w="120" w:type="dxa"/>
            </w:tcMar>
          </w:tcPr>
          <w:p>
            <w:pPr>
              <w:spacing w:after="40"/>
            </w:pPr>
            <w:r>
              <w:rPr>
                <w:sz w:val="17"/>
              </w:rPr>
              <w:t>AR-08 - Business &amp; Teams Solution</w:t>
            </w:r>
          </w:p>
        </w:tc>
      </w:tr>
      <w:tr>
        <w:tc>
          <w:tcPr>
            <w:tcW w:type="dxa" w:w="2880"/>
            <w:vAlign w:val="top"/>
            <w:tcMar>
              <w:top w:w="100" w:type="dxa"/>
              <w:start w:w="120" w:type="dxa"/>
              <w:bottom w:w="100" w:type="dxa"/>
              <w:end w:w="120" w:type="dxa"/>
            </w:tcMar>
          </w:tcPr>
          <w:p>
            <w:pPr>
              <w:spacing w:after="40"/>
            </w:pPr>
            <w:r>
              <w:rPr>
                <w:sz w:val="17"/>
              </w:rPr>
              <w:t>Route decision</w:t>
            </w:r>
          </w:p>
        </w:tc>
        <w:tc>
          <w:tcPr>
            <w:tcW w:type="dxa" w:w="8064"/>
            <w:vAlign w:val="top"/>
            <w:tcMar>
              <w:top w:w="100" w:type="dxa"/>
              <w:start w:w="120" w:type="dxa"/>
              <w:bottom w:w="100" w:type="dxa"/>
              <w:end w:w="120" w:type="dxa"/>
            </w:tcMar>
          </w:tcPr>
          <w:p>
            <w:pPr>
              <w:spacing w:after="40"/>
            </w:pPr>
            <w:r>
              <w:rPr>
                <w:sz w:val="17"/>
              </w:rPr>
              <w:t>KEEP URL + RADICAL REBUILD</w:t>
            </w:r>
          </w:p>
        </w:tc>
      </w:tr>
      <w:tr>
        <w:tc>
          <w:tcPr>
            <w:tcW w:type="dxa" w:w="2880"/>
            <w:vAlign w:val="top"/>
            <w:tcMar>
              <w:top w:w="100" w:type="dxa"/>
              <w:start w:w="120" w:type="dxa"/>
              <w:bottom w:w="100" w:type="dxa"/>
              <w:end w:w="120" w:type="dxa"/>
            </w:tcMar>
          </w:tcPr>
          <w:p>
            <w:pPr>
              <w:spacing w:after="40"/>
            </w:pPr>
            <w:r>
              <w:rPr>
                <w:sz w:val="17"/>
              </w:rPr>
              <w:t>Priority</w:t>
            </w:r>
          </w:p>
        </w:tc>
        <w:tc>
          <w:tcPr>
            <w:tcW w:type="dxa" w:w="8064"/>
            <w:vAlign w:val="top"/>
            <w:tcMar>
              <w:top w:w="100" w:type="dxa"/>
              <w:start w:w="120" w:type="dxa"/>
              <w:bottom w:w="100" w:type="dxa"/>
              <w:end w:w="120" w:type="dxa"/>
            </w:tcMar>
          </w:tcPr>
          <w:p>
            <w:pPr>
              <w:spacing w:after="40"/>
            </w:pPr>
            <w:r>
              <w:rPr>
                <w:sz w:val="17"/>
              </w:rPr>
              <w:t>P0/P1</w:t>
            </w:r>
          </w:p>
        </w:tc>
      </w:tr>
      <w:tr>
        <w:tc>
          <w:tcPr>
            <w:tcW w:type="dxa" w:w="2880"/>
            <w:vAlign w:val="top"/>
            <w:tcMar>
              <w:top w:w="100" w:type="dxa"/>
              <w:start w:w="120" w:type="dxa"/>
              <w:bottom w:w="100" w:type="dxa"/>
              <w:end w:w="120" w:type="dxa"/>
            </w:tcMar>
          </w:tcPr>
          <w:p>
            <w:pPr>
              <w:spacing w:after="40"/>
            </w:pPr>
            <w:r>
              <w:rPr>
                <w:sz w:val="17"/>
              </w:rPr>
              <w:t>Generic checker owner</w:t>
            </w:r>
          </w:p>
        </w:tc>
        <w:tc>
          <w:tcPr>
            <w:tcW w:type="dxa" w:w="8064"/>
            <w:vAlign w:val="top"/>
            <w:tcMar>
              <w:top w:w="100" w:type="dxa"/>
              <w:start w:w="120" w:type="dxa"/>
              <w:bottom w:w="100" w:type="dxa"/>
              <w:end w:w="120" w:type="dxa"/>
            </w:tcMar>
          </w:tcPr>
          <w:p>
            <w:pPr>
              <w:spacing w:after="40"/>
            </w:pPr>
            <w:r>
              <w:rPr>
                <w:sz w:val="17"/>
              </w:rPr>
              <w:t>https://plagiarismsearch.com/ (homepage)</w:t>
            </w:r>
          </w:p>
        </w:tc>
      </w:tr>
      <w:tr>
        <w:tc>
          <w:tcPr>
            <w:tcW w:type="dxa" w:w="2880"/>
            <w:vAlign w:val="top"/>
            <w:tcMar>
              <w:top w:w="100" w:type="dxa"/>
              <w:start w:w="120" w:type="dxa"/>
              <w:bottom w:w="100" w:type="dxa"/>
              <w:end w:w="120" w:type="dxa"/>
            </w:tcMar>
          </w:tcPr>
          <w:p>
            <w:pPr>
              <w:spacing w:after="40"/>
            </w:pPr>
            <w:r>
              <w:rPr>
                <w:sz w:val="17"/>
              </w:rPr>
              <w:t>Primary conversion</w:t>
            </w:r>
          </w:p>
        </w:tc>
        <w:tc>
          <w:tcPr>
            <w:tcW w:type="dxa" w:w="8064"/>
            <w:vAlign w:val="top"/>
            <w:tcMar>
              <w:top w:w="100" w:type="dxa"/>
              <w:start w:w="120" w:type="dxa"/>
              <w:bottom w:w="100" w:type="dxa"/>
              <w:end w:w="120" w:type="dxa"/>
            </w:tcMar>
          </w:tcPr>
          <w:p>
            <w:pPr>
              <w:spacing w:after="40"/>
            </w:pPr>
            <w:r>
              <w:rPr>
                <w:sz w:val="17"/>
              </w:rPr>
              <w:t>Qualified business inquiry / custom commercial discussion</w:t>
            </w:r>
          </w:p>
        </w:tc>
      </w:tr>
      <w:tr>
        <w:tc>
          <w:tcPr>
            <w:tcW w:type="dxa" w:w="2880"/>
            <w:vAlign w:val="top"/>
            <w:tcMar>
              <w:top w:w="100" w:type="dxa"/>
              <w:start w:w="120" w:type="dxa"/>
              <w:bottom w:w="100" w:type="dxa"/>
              <w:end w:w="120" w:type="dxa"/>
            </w:tcMar>
          </w:tcPr>
          <w:p>
            <w:pPr>
              <w:spacing w:after="40"/>
            </w:pPr>
            <w:r>
              <w:rPr>
                <w:sz w:val="17"/>
              </w:rPr>
              <w:t>Design model</w:t>
            </w:r>
          </w:p>
        </w:tc>
        <w:tc>
          <w:tcPr>
            <w:tcW w:type="dxa" w:w="8064"/>
            <w:vAlign w:val="top"/>
            <w:tcMar>
              <w:top w:w="100" w:type="dxa"/>
              <w:start w:w="120" w:type="dxa"/>
              <w:bottom w:w="100" w:type="dxa"/>
              <w:end w:w="120" w:type="dxa"/>
            </w:tcMar>
          </w:tcPr>
          <w:p>
            <w:pPr>
              <w:spacing w:after="40"/>
            </w:pPr>
            <w:r>
              <w:rPr>
                <w:sz w:val="17"/>
              </w:rPr>
              <w:t>Bespoke solution page inside the approved PlagiarismSearch design system</w:t>
            </w:r>
          </w:p>
        </w:tc>
      </w:tr>
      <w:tr>
        <w:tc>
          <w:tcPr>
            <w:tcW w:type="dxa" w:w="2880"/>
            <w:vAlign w:val="top"/>
            <w:tcMar>
              <w:top w:w="100" w:type="dxa"/>
              <w:start w:w="120" w:type="dxa"/>
              <w:bottom w:w="100" w:type="dxa"/>
              <w:end w:w="120" w:type="dxa"/>
            </w:tcMar>
          </w:tcPr>
          <w:p>
            <w:pPr>
              <w:spacing w:after="40"/>
            </w:pPr>
            <w:r>
              <w:rPr>
                <w:sz w:val="17"/>
              </w:rPr>
              <w:t>Library rule</w:t>
            </w:r>
          </w:p>
        </w:tc>
        <w:tc>
          <w:tcPr>
            <w:tcW w:type="dxa" w:w="8064"/>
            <w:vAlign w:val="top"/>
            <w:tcMar>
              <w:top w:w="100" w:type="dxa"/>
              <w:start w:w="120" w:type="dxa"/>
              <w:bottom w:w="100" w:type="dxa"/>
              <w:end w:w="120" w:type="dxa"/>
            </w:tcMar>
          </w:tcPr>
          <w:p>
            <w:pPr>
              <w:spacing w:after="40"/>
            </w:pPr>
            <w:r>
              <w:rPr>
                <w:sz w:val="17"/>
              </w:rPr>
              <w:t>Section-first library is a source of proven patterns, not a mandatory block sequence</w:t>
            </w:r>
          </w:p>
        </w:tc>
      </w:tr>
      <w:tr>
        <w:tc>
          <w:tcPr>
            <w:tcW w:type="dxa" w:w="2880"/>
            <w:vAlign w:val="top"/>
            <w:tcMar>
              <w:top w:w="100" w:type="dxa"/>
              <w:start w:w="120" w:type="dxa"/>
              <w:bottom w:w="100" w:type="dxa"/>
              <w:end w:w="120" w:type="dxa"/>
            </w:tcMar>
          </w:tcPr>
          <w:p>
            <w:pPr>
              <w:spacing w:after="40"/>
            </w:pPr>
            <w:r>
              <w:rPr>
                <w:sz w:val="17"/>
              </w:rPr>
              <w:t>Library status</w:t>
            </w:r>
          </w:p>
        </w:tc>
        <w:tc>
          <w:tcPr>
            <w:tcW w:type="dxa" w:w="8064"/>
            <w:vAlign w:val="top"/>
            <w:tcMar>
              <w:top w:w="100" w:type="dxa"/>
              <w:start w:w="120" w:type="dxa"/>
              <w:bottom w:w="100" w:type="dxa"/>
              <w:end w:w="120" w:type="dxa"/>
            </w:tcMar>
          </w:tcPr>
          <w:p>
            <w:pPr>
              <w:spacing w:after="40"/>
            </w:pPr>
            <w:r>
              <w:rPr>
                <w:sz w:val="17"/>
              </w:rPr>
              <w:t>Do NOT add a new reusable SEC-* record until the completed page is reviewed and approved.</w:t>
            </w:r>
          </w:p>
        </w:tc>
      </w:tr>
    </w:tbl>
    <w:p>
      <w:pPr>
        <w:spacing w:after="40"/>
      </w:pPr>
    </w:p>
    <w:p>
      <w:pPr>
        <w:pStyle w:val="SmallNote"/>
      </w:pPr>
      <w:r>
        <w:t>This file is an implementation brief for Claude/Designer. It contains the approved content truth, product restrictions, information jobs, interaction requirements and production constraints. It deliberately does not prescribe a pixel-level wireframe.</w:t>
      </w:r>
    </w:p>
    <w:p>
      <w:r>
        <w:br w:type="page"/>
      </w:r>
    </w:p>
    <w:p>
      <w:pPr>
        <w:pStyle w:val="Heading1"/>
      </w:pPr>
      <w:r>
        <w:t>1. OBJECTIVE</w:t>
      </w:r>
    </w:p>
    <w:p>
      <w:r>
        <w:t>Design and implement a new English Business &amp; Teams solution page on the existing /plagiarism-checker-for-organization URL. The page must explain how PlagiarismSearch works when multiple people use the product through an organization: member administration, permissions, organization resources, report review, Organization Storage, optional API automation, and larger/custom commercial requirements.</w:t>
      </w:r>
    </w:p>
    <w:p>
      <w:r>
        <w:t>Do not redesign this as another generic plagiarism checker landing. The homepage already owns generic English Plagiarism Checker intent. This page exists because the organization/team workflow is materially different from individual use.</w:t>
      </w:r>
    </w:p>
    <w:p>
      <w:pPr>
        <w:pStyle w:val="Heading1"/>
      </w:pPr>
      <w:r>
        <w:t>2. SOURCE-OF-TRUTH RULE</w:t>
      </w:r>
    </w:p>
    <w:p>
      <w:r>
        <w:t>The exact content baseline in this document is authoritative for product facts, claims, CTA labels, approved destinations, FAQ answers and commercial semantics. Do not browse for replacement claims, invent enterprise features, or rewrite factual statements to sound stronger.</w:t>
      </w:r>
    </w:p>
    <w:p>
      <w:r>
        <w:t>You may change visual composition, merge compatible information acts, adapt approved section patterns, split copy across visual elements, and choose the strongest layout for the page. Do not change the meaning of approved copy or introduce claims not contained in this brief.</w:t>
      </w:r>
    </w:p>
    <w:p>
      <w:pPr>
        <w:pStyle w:val="Heading1"/>
      </w:pPr>
      <w:r>
        <w:t>3. YOUR DESIGN FREEDOM</w:t>
      </w:r>
    </w:p>
    <w:p>
      <w:r>
        <w:t>You own visual composition, grid, spacing, typography within the approved site system, responsive behavior, illustration/diagram treatment, cards, motion, transitions, interaction patterns and section styling.</w:t>
      </w:r>
    </w:p>
    <w:p>
      <w:r>
        <w:t>The section-first library is not Lego that must be used literally. Reuse an approved SEC-* pattern when it solves the information job well. If an existing pattern would make the page weaker, adapt it or create a Business-specific visual treatment inside the established design language.</w:t>
      </w:r>
    </w:p>
    <w:p>
      <w:r>
        <w:t>You may merge compatible information acts into one larger section, or separate one information act into multiple visual moments, as long as the required facts and semantic relationships remain clear.</w:t>
      </w:r>
    </w:p>
    <w:p>
      <w:r>
        <w:t>Do not copy the University page sequence just because University and Business belong to the same Solution family. Share design language, not page story.</w:t>
      </w:r>
    </w:p>
    <w:p>
      <w:pPr>
        <w:pStyle w:val="Heading1"/>
      </w:pPr>
      <w:r>
        <w:t>4. PAGE POSITIONING</w:t>
      </w:r>
    </w:p>
    <w:p>
      <w:r>
        <w:t>This is a Business &amp; Teams evaluation/procurement page, not a checker-input page, not an API documentation page, and not an educational-institution page.</w:t>
      </w:r>
    </w:p>
    <w:p>
      <w:r>
        <w:t>The page should answer: Can my team use PlagiarismSearch systematically, who controls access and resources, what does a member actually review, how does Organization Storage differ from a normal check, when should we use the API, and how do larger/custom requirements move to a commercial conversation?</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NON-NEGOTIABLE DIFFERENTIATION</w:t>
            </w:r>
          </w:p>
          <w:p>
            <w:pPr>
              <w:pStyle w:val="ListBullet"/>
              <w:spacing w:after="40"/>
            </w:pPr>
            <w:r>
              <w:rPr>
                <w:sz w:val="18"/>
              </w:rPr>
              <w:t>No checker widget in the hero. The homepage owns the checker-first experience.</w:t>
            </w:r>
          </w:p>
          <w:p>
            <w:pPr>
              <w:pStyle w:val="ListBullet"/>
              <w:spacing w:after="40"/>
            </w:pPr>
            <w:r>
              <w:rPr>
                <w:sz w:val="18"/>
              </w:rPr>
              <w:t>The first unique product idea must be the managed organization/team workflow, not generic plagiarism-checker benefits.</w:t>
            </w:r>
          </w:p>
          <w:p>
            <w:pPr>
              <w:pStyle w:val="ListBullet"/>
              <w:spacing w:after="40"/>
            </w:pPr>
            <w:r>
              <w:rPr>
                <w:sz w:val="18"/>
              </w:rPr>
              <w:t>Organization Management is the signature product evidence: members, permissions, organization balances/resources, and personal-vs-organization separation.</w:t>
            </w:r>
          </w:p>
          <w:p>
            <w:pPr>
              <w:pStyle w:val="ListBullet"/>
              <w:spacing w:after="40"/>
            </w:pPr>
            <w:r>
              <w:rPr>
                <w:sz w:val="18"/>
              </w:rPr>
              <w:t>Organization Storage must remain a separate controlled repository workflow; a normal check must not appear to add the document to Storage automatically.</w:t>
            </w:r>
          </w:p>
          <w:p>
            <w:pPr>
              <w:pStyle w:val="ListBullet"/>
              <w:spacing w:after="40"/>
            </w:pPr>
            <w:r>
              <w:rPr>
                <w:sz w:val="18"/>
              </w:rPr>
              <w:t>API is a secondary deployment/automation path; do not turn this page into a developer page.</w:t>
            </w:r>
          </w:p>
          <w:p>
            <w:pPr>
              <w:pStyle w:val="ListBullet"/>
              <w:spacing w:after="40"/>
            </w:pPr>
            <w:r>
              <w:rPr>
                <w:sz w:val="18"/>
              </w:rPr>
              <w:t>AI is a secondary, separate analysis and organization resource; AI detection is not plagiarism detection.</w:t>
            </w:r>
          </w:p>
          <w:p>
            <w:pPr>
              <w:pStyle w:val="ListBullet"/>
              <w:spacing w:after="40"/>
            </w:pPr>
            <w:r>
              <w:rPr>
                <w:sz w:val="18"/>
              </w:rPr>
              <w:t>The page must close with a business/commercial action, not a generic checker CTA.</w:t>
            </w:r>
          </w:p>
        </w:tc>
      </w:tr>
    </w:tbl>
    <w:p>
      <w:pPr>
        <w:spacing w:after="60"/>
      </w:pPr>
    </w:p>
    <w:p>
      <w:pPr>
        <w:pStyle w:val="Heading1"/>
      </w:pPr>
      <w:r>
        <w:t>5. ARCHITECTURE BOUNDARIES</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EAF1F8"/>
            <w:vAlign w:val="center"/>
            <w:tcMar>
              <w:top w:w="100" w:type="dxa"/>
              <w:start w:w="120" w:type="dxa"/>
              <w:bottom w:w="100" w:type="dxa"/>
              <w:end w:w="120" w:type="dxa"/>
            </w:tcMar>
          </w:tcPr>
          <w:p>
            <w:r>
              <w:rPr>
                <w:b/>
                <w:color w:val="1F374E"/>
                <w:sz w:val="18"/>
              </w:rPr>
              <w:t>Owner URL</w:t>
            </w:r>
          </w:p>
        </w:tc>
        <w:tc>
          <w:tcPr>
            <w:tcW w:type="dxa" w:w="3744"/>
            <w:shd w:fill="EAF1F8"/>
            <w:vAlign w:val="center"/>
            <w:tcMar>
              <w:top w:w="100" w:type="dxa"/>
              <w:start w:w="120" w:type="dxa"/>
              <w:bottom w:w="100" w:type="dxa"/>
              <w:end w:w="120" w:type="dxa"/>
            </w:tcMar>
          </w:tcPr>
          <w:p>
            <w:r>
              <w:rPr>
                <w:b/>
                <w:color w:val="1F374E"/>
                <w:sz w:val="18"/>
              </w:rPr>
              <w:t>Owns this intent</w:t>
            </w:r>
          </w:p>
        </w:tc>
        <w:tc>
          <w:tcPr>
            <w:tcW w:type="dxa" w:w="4320"/>
            <w:shd w:fill="EAF1F8"/>
            <w:vAlign w:val="center"/>
            <w:tcMar>
              <w:top w:w="100" w:type="dxa"/>
              <w:start w:w="120" w:type="dxa"/>
              <w:bottom w:w="100" w:type="dxa"/>
              <w:end w:w="120" w:type="dxa"/>
            </w:tcMar>
          </w:tcPr>
          <w:p>
            <w:r>
              <w:rPr>
                <w:b/>
                <w:color w:val="1F374E"/>
                <w:sz w:val="18"/>
              </w:rPr>
              <w:t>Business page may do</w:t>
            </w:r>
          </w:p>
        </w:tc>
      </w:tr>
      <w:tr>
        <w:tc>
          <w:tcPr>
            <w:tcW w:type="dxa" w:w="3024"/>
            <w:vAlign w:val="top"/>
            <w:tcMar>
              <w:top w:w="100" w:type="dxa"/>
              <w:start w:w="120" w:type="dxa"/>
              <w:bottom w:w="100" w:type="dxa"/>
              <w:end w:w="120" w:type="dxa"/>
            </w:tcMar>
          </w:tcPr>
          <w:p>
            <w:pPr>
              <w:spacing w:after="40"/>
            </w:pPr>
            <w:r>
              <w:rPr>
                <w:sz w:val="17"/>
              </w:rPr>
              <w:t>/</w:t>
            </w:r>
          </w:p>
        </w:tc>
        <w:tc>
          <w:tcPr>
            <w:tcW w:type="dxa" w:w="3744"/>
            <w:vAlign w:val="top"/>
            <w:tcMar>
              <w:top w:w="100" w:type="dxa"/>
              <w:start w:w="120" w:type="dxa"/>
              <w:bottom w:w="100" w:type="dxa"/>
              <w:end w:w="120" w:type="dxa"/>
            </w:tcMar>
          </w:tcPr>
          <w:p>
            <w:pPr>
              <w:spacing w:after="40"/>
            </w:pPr>
            <w:r>
              <w:rPr>
                <w:sz w:val="17"/>
              </w:rPr>
              <w:t>Generic English Plagiarism Checker</w:t>
            </w:r>
          </w:p>
        </w:tc>
        <w:tc>
          <w:tcPr>
            <w:tcW w:type="dxa" w:w="4320"/>
            <w:vAlign w:val="top"/>
            <w:tcMar>
              <w:top w:w="100" w:type="dxa"/>
              <w:start w:w="120" w:type="dxa"/>
              <w:bottom w:w="100" w:type="dxa"/>
              <w:end w:w="120" w:type="dxa"/>
            </w:tcMar>
          </w:tcPr>
          <w:p>
            <w:pPr>
              <w:spacing w:after="40"/>
            </w:pPr>
            <w:r>
              <w:rPr>
                <w:sz w:val="17"/>
              </w:rPr>
              <w:t>Reference the plagiarism-checking outcome/report, but do not reproduce the checker-first product page.</w:t>
            </w:r>
          </w:p>
        </w:tc>
      </w:tr>
      <w:tr>
        <w:tc>
          <w:tcPr>
            <w:tcW w:type="dxa" w:w="3024"/>
            <w:vAlign w:val="top"/>
            <w:tcMar>
              <w:top w:w="100" w:type="dxa"/>
              <w:start w:w="120" w:type="dxa"/>
              <w:bottom w:w="100" w:type="dxa"/>
              <w:end w:w="120" w:type="dxa"/>
            </w:tcMar>
          </w:tcPr>
          <w:p>
            <w:pPr>
              <w:spacing w:after="40"/>
            </w:pPr>
            <w:r>
              <w:rPr>
                <w:sz w:val="17"/>
              </w:rPr>
              <w:t>/plagiarism-checker-for-organization</w:t>
            </w:r>
          </w:p>
        </w:tc>
        <w:tc>
          <w:tcPr>
            <w:tcW w:type="dxa" w:w="3744"/>
            <w:vAlign w:val="top"/>
            <w:tcMar>
              <w:top w:w="100" w:type="dxa"/>
              <w:start w:w="120" w:type="dxa"/>
              <w:bottom w:w="100" w:type="dxa"/>
              <w:end w:w="120" w:type="dxa"/>
            </w:tcMar>
          </w:tcPr>
          <w:p>
            <w:pPr>
              <w:spacing w:after="40"/>
            </w:pPr>
            <w:r>
              <w:rPr>
                <w:sz w:val="17"/>
              </w:rPr>
              <w:t>Business &amp; Teams solution</w:t>
            </w:r>
          </w:p>
        </w:tc>
        <w:tc>
          <w:tcPr>
            <w:tcW w:type="dxa" w:w="4320"/>
            <w:vAlign w:val="top"/>
            <w:tcMar>
              <w:top w:w="100" w:type="dxa"/>
              <w:start w:w="120" w:type="dxa"/>
              <w:bottom w:w="100" w:type="dxa"/>
              <w:end w:w="120" w:type="dxa"/>
            </w:tcMar>
          </w:tcPr>
          <w:p>
            <w:pPr>
              <w:spacing w:after="40"/>
            </w:pPr>
            <w:r>
              <w:rPr>
                <w:sz w:val="17"/>
              </w:rPr>
              <w:t>Own team/organization workflow, permissions/resources, Storage relationship, business scenarios and business inquiry.</w:t>
            </w:r>
          </w:p>
        </w:tc>
      </w:tr>
      <w:tr>
        <w:tc>
          <w:tcPr>
            <w:tcW w:type="dxa" w:w="3024"/>
            <w:vAlign w:val="top"/>
            <w:tcMar>
              <w:top w:w="100" w:type="dxa"/>
              <w:start w:w="120" w:type="dxa"/>
              <w:bottom w:w="100" w:type="dxa"/>
              <w:end w:w="120" w:type="dxa"/>
            </w:tcMar>
          </w:tcPr>
          <w:p>
            <w:pPr>
              <w:spacing w:after="40"/>
            </w:pPr>
            <w:r>
              <w:rPr>
                <w:sz w:val="17"/>
              </w:rPr>
              <w:t>/university-plagiarism-checker</w:t>
            </w:r>
          </w:p>
        </w:tc>
        <w:tc>
          <w:tcPr>
            <w:tcW w:type="dxa" w:w="3744"/>
            <w:vAlign w:val="top"/>
            <w:tcMar>
              <w:top w:w="100" w:type="dxa"/>
              <w:start w:w="120" w:type="dxa"/>
              <w:bottom w:w="100" w:type="dxa"/>
              <w:end w:w="120" w:type="dxa"/>
            </w:tcMar>
          </w:tcPr>
          <w:p>
            <w:pPr>
              <w:spacing w:after="40"/>
            </w:pPr>
            <w:r>
              <w:rPr>
                <w:sz w:val="17"/>
              </w:rPr>
              <w:t>Education &amp; Institutions</w:t>
            </w:r>
          </w:p>
        </w:tc>
        <w:tc>
          <w:tcPr>
            <w:tcW w:type="dxa" w:w="4320"/>
            <w:vAlign w:val="top"/>
            <w:tcMar>
              <w:top w:w="100" w:type="dxa"/>
              <w:start w:w="120" w:type="dxa"/>
              <w:bottom w:w="100" w:type="dxa"/>
              <w:end w:w="120" w:type="dxa"/>
            </w:tcMar>
          </w:tcPr>
          <w:p>
            <w:pPr>
              <w:spacing w:after="40"/>
            </w:pPr>
            <w:r>
              <w:rPr>
                <w:sz w:val="17"/>
              </w:rPr>
              <w:t>Do not import LMS/faculty/student/institutional procurement framing unless a fact is truly cross-solution.</w:t>
            </w:r>
          </w:p>
        </w:tc>
      </w:tr>
      <w:tr>
        <w:tc>
          <w:tcPr>
            <w:tcW w:type="dxa" w:w="3024"/>
            <w:vAlign w:val="top"/>
            <w:tcMar>
              <w:top w:w="100" w:type="dxa"/>
              <w:start w:w="120" w:type="dxa"/>
              <w:bottom w:w="100" w:type="dxa"/>
              <w:end w:w="120" w:type="dxa"/>
            </w:tcMar>
          </w:tcPr>
          <w:p>
            <w:pPr>
              <w:spacing w:after="40"/>
            </w:pPr>
            <w:r>
              <w:rPr>
                <w:sz w:val="17"/>
              </w:rPr>
              <w:t>/plagiarism-api</w:t>
            </w:r>
          </w:p>
        </w:tc>
        <w:tc>
          <w:tcPr>
            <w:tcW w:type="dxa" w:w="3744"/>
            <w:vAlign w:val="top"/>
            <w:tcMar>
              <w:top w:w="100" w:type="dxa"/>
              <w:start w:w="120" w:type="dxa"/>
              <w:bottom w:w="100" w:type="dxa"/>
              <w:end w:w="120" w:type="dxa"/>
            </w:tcMar>
          </w:tcPr>
          <w:p>
            <w:pPr>
              <w:spacing w:after="40"/>
            </w:pPr>
            <w:r>
              <w:rPr>
                <w:sz w:val="17"/>
              </w:rPr>
              <w:t>Developer/API product</w:t>
            </w:r>
          </w:p>
        </w:tc>
        <w:tc>
          <w:tcPr>
            <w:tcW w:type="dxa" w:w="4320"/>
            <w:vAlign w:val="top"/>
            <w:tcMar>
              <w:top w:w="100" w:type="dxa"/>
              <w:start w:w="120" w:type="dxa"/>
              <w:bottom w:w="100" w:type="dxa"/>
              <w:end w:w="120" w:type="dxa"/>
            </w:tcMar>
          </w:tcPr>
          <w:p>
            <w:pPr>
              <w:spacing w:after="40"/>
            </w:pPr>
            <w:r>
              <w:rPr>
                <w:sz w:val="17"/>
              </w:rPr>
              <w:t>Explain API as an automation path and link to the API owner; do not duplicate technical docs/code flow.</w:t>
            </w:r>
          </w:p>
        </w:tc>
      </w:tr>
      <w:tr>
        <w:tc>
          <w:tcPr>
            <w:tcW w:type="dxa" w:w="3024"/>
            <w:vAlign w:val="top"/>
            <w:tcMar>
              <w:top w:w="100" w:type="dxa"/>
              <w:start w:w="120" w:type="dxa"/>
              <w:bottom w:w="100" w:type="dxa"/>
              <w:end w:w="120" w:type="dxa"/>
            </w:tcMar>
          </w:tcPr>
          <w:p>
            <w:pPr>
              <w:spacing w:after="40"/>
            </w:pPr>
            <w:r>
              <w:rPr>
                <w:sz w:val="17"/>
              </w:rPr>
              <w:t>/organization-management</w:t>
            </w:r>
          </w:p>
        </w:tc>
        <w:tc>
          <w:tcPr>
            <w:tcW w:type="dxa" w:w="3744"/>
            <w:vAlign w:val="top"/>
            <w:tcMar>
              <w:top w:w="100" w:type="dxa"/>
              <w:start w:w="120" w:type="dxa"/>
              <w:bottom w:w="100" w:type="dxa"/>
              <w:end w:w="120" w:type="dxa"/>
            </w:tcMar>
          </w:tcPr>
          <w:p>
            <w:pPr>
              <w:spacing w:after="40"/>
            </w:pPr>
            <w:r>
              <w:rPr>
                <w:sz w:val="17"/>
              </w:rPr>
              <w:t>Organization Management how-to/support</w:t>
            </w:r>
          </w:p>
        </w:tc>
        <w:tc>
          <w:tcPr>
            <w:tcW w:type="dxa" w:w="4320"/>
            <w:vAlign w:val="top"/>
            <w:tcMar>
              <w:top w:w="100" w:type="dxa"/>
              <w:start w:w="120" w:type="dxa"/>
              <w:bottom w:w="100" w:type="dxa"/>
              <w:end w:w="120" w:type="dxa"/>
            </w:tcMar>
          </w:tcPr>
          <w:p>
            <w:pPr>
              <w:spacing w:after="40"/>
            </w:pPr>
            <w:r>
              <w:rPr>
                <w:sz w:val="17"/>
              </w:rPr>
              <w:t>Explain enough for evaluation, then offer a contextual deeper link.</w:t>
            </w:r>
          </w:p>
        </w:tc>
      </w:tr>
      <w:tr>
        <w:tc>
          <w:tcPr>
            <w:tcW w:type="dxa" w:w="3024"/>
            <w:vAlign w:val="top"/>
            <w:tcMar>
              <w:top w:w="100" w:type="dxa"/>
              <w:start w:w="120" w:type="dxa"/>
              <w:bottom w:w="100" w:type="dxa"/>
              <w:end w:w="120" w:type="dxa"/>
            </w:tcMar>
          </w:tcPr>
          <w:p>
            <w:pPr>
              <w:spacing w:after="40"/>
            </w:pPr>
            <w:r>
              <w:rPr>
                <w:sz w:val="17"/>
              </w:rPr>
              <w:t>/plagiarism-database</w:t>
            </w:r>
          </w:p>
        </w:tc>
        <w:tc>
          <w:tcPr>
            <w:tcW w:type="dxa" w:w="3744"/>
            <w:vAlign w:val="top"/>
            <w:tcMar>
              <w:top w:w="100" w:type="dxa"/>
              <w:start w:w="120" w:type="dxa"/>
              <w:bottom w:w="100" w:type="dxa"/>
              <w:end w:w="120" w:type="dxa"/>
            </w:tcMar>
          </w:tcPr>
          <w:p>
            <w:pPr>
              <w:spacing w:after="40"/>
            </w:pPr>
            <w:r>
              <w:rPr>
                <w:sz w:val="17"/>
              </w:rPr>
              <w:t>Storage/private database feature page</w:t>
            </w:r>
          </w:p>
        </w:tc>
        <w:tc>
          <w:tcPr>
            <w:tcW w:type="dxa" w:w="4320"/>
            <w:vAlign w:val="top"/>
            <w:tcMar>
              <w:top w:w="100" w:type="dxa"/>
              <w:start w:w="120" w:type="dxa"/>
              <w:bottom w:w="100" w:type="dxa"/>
              <w:end w:w="120" w:type="dxa"/>
            </w:tcMar>
          </w:tcPr>
          <w:p>
            <w:pPr>
              <w:spacing w:after="40"/>
            </w:pPr>
            <w:r>
              <w:rPr>
                <w:sz w:val="17"/>
              </w:rPr>
              <w:t>Do not link prominently until that page passes factual QA; Business copy can explain the confirmed Storage concept.</w:t>
            </w:r>
          </w:p>
        </w:tc>
      </w:tr>
      <w:tr>
        <w:tc>
          <w:tcPr>
            <w:tcW w:type="dxa" w:w="3024"/>
            <w:vAlign w:val="top"/>
            <w:tcMar>
              <w:top w:w="100" w:type="dxa"/>
              <w:start w:w="120" w:type="dxa"/>
              <w:bottom w:w="100" w:type="dxa"/>
              <w:end w:w="120" w:type="dxa"/>
            </w:tcMar>
          </w:tcPr>
          <w:p>
            <w:pPr>
              <w:spacing w:after="40"/>
            </w:pPr>
            <w:r>
              <w:rPr>
                <w:sz w:val="17"/>
              </w:rPr>
              <w:t>/prices</w:t>
            </w:r>
          </w:p>
        </w:tc>
        <w:tc>
          <w:tcPr>
            <w:tcW w:type="dxa" w:w="3744"/>
            <w:vAlign w:val="top"/>
            <w:tcMar>
              <w:top w:w="100" w:type="dxa"/>
              <w:start w:w="120" w:type="dxa"/>
              <w:bottom w:w="100" w:type="dxa"/>
              <w:end w:w="120" w:type="dxa"/>
            </w:tcMar>
          </w:tcPr>
          <w:p>
            <w:pPr>
              <w:spacing w:after="40"/>
            </w:pPr>
            <w:r>
              <w:rPr>
                <w:sz w:val="17"/>
              </w:rPr>
              <w:t>Standard pricing/purchase decision</w:t>
            </w:r>
          </w:p>
        </w:tc>
        <w:tc>
          <w:tcPr>
            <w:tcW w:type="dxa" w:w="4320"/>
            <w:vAlign w:val="top"/>
            <w:tcMar>
              <w:top w:w="100" w:type="dxa"/>
              <w:start w:w="120" w:type="dxa"/>
              <w:bottom w:w="100" w:type="dxa"/>
              <w:end w:w="120" w:type="dxa"/>
            </w:tcMar>
          </w:tcPr>
          <w:p>
            <w:pPr>
              <w:spacing w:after="40"/>
            </w:pPr>
            <w:r>
              <w:rPr>
                <w:sz w:val="17"/>
              </w:rPr>
              <w:t>Link to standard pricing and keep custom/high-volume needs on the Business inquiry path.</w:t>
            </w:r>
          </w:p>
        </w:tc>
      </w:tr>
      <w:tr>
        <w:tc>
          <w:tcPr>
            <w:tcW w:type="dxa" w:w="3024"/>
            <w:vAlign w:val="top"/>
            <w:tcMar>
              <w:top w:w="100" w:type="dxa"/>
              <w:start w:w="120" w:type="dxa"/>
              <w:bottom w:w="100" w:type="dxa"/>
              <w:end w:w="120" w:type="dxa"/>
            </w:tcMar>
          </w:tcPr>
          <w:p>
            <w:pPr>
              <w:spacing w:after="40"/>
            </w:pPr>
            <w:r>
              <w:rPr>
                <w:sz w:val="17"/>
              </w:rPr>
              <w:t>/ai-content-detector</w:t>
            </w:r>
          </w:p>
        </w:tc>
        <w:tc>
          <w:tcPr>
            <w:tcW w:type="dxa" w:w="3744"/>
            <w:vAlign w:val="top"/>
            <w:tcMar>
              <w:top w:w="100" w:type="dxa"/>
              <w:start w:w="120" w:type="dxa"/>
              <w:bottom w:w="100" w:type="dxa"/>
              <w:end w:w="120" w:type="dxa"/>
            </w:tcMar>
          </w:tcPr>
          <w:p>
            <w:pPr>
              <w:spacing w:after="40"/>
            </w:pPr>
            <w:r>
              <w:rPr>
                <w:sz w:val="17"/>
              </w:rPr>
              <w:t>AI Detector product</w:t>
            </w:r>
          </w:p>
        </w:tc>
        <w:tc>
          <w:tcPr>
            <w:tcW w:type="dxa" w:w="4320"/>
            <w:vAlign w:val="top"/>
            <w:tcMar>
              <w:top w:w="100" w:type="dxa"/>
              <w:start w:w="120" w:type="dxa"/>
              <w:bottom w:w="100" w:type="dxa"/>
              <w:end w:w="120" w:type="dxa"/>
            </w:tcMar>
          </w:tcPr>
          <w:p>
            <w:pPr>
              <w:spacing w:after="40"/>
            </w:pPr>
            <w:r>
              <w:rPr>
                <w:sz w:val="17"/>
              </w:rPr>
              <w:t>Use only as a secondary contextual destination if AI needs explanation.</w:t>
            </w:r>
          </w:p>
        </w:tc>
      </w:tr>
    </w:tbl>
    <w:p>
      <w:pPr>
        <w:spacing w:after="40"/>
      </w:pPr>
    </w:p>
    <w:p>
      <w:pPr>
        <w:pStyle w:val="Heading1"/>
      </w:pPr>
      <w:r>
        <w:t>6. PAGE-LEVEL SEO / HTML REQUIREMENTS</w:t>
      </w:r>
    </w:p>
    <w:p>
      <w:pPr>
        <w:spacing w:after="60"/>
      </w:pPr>
      <w:r>
        <w:rPr>
          <w:b/>
          <w:color w:val="1F374E"/>
        </w:rPr>
        <w:t xml:space="preserve">SEO title: </w:t>
      </w:r>
      <w:r>
        <w:t>Plagiarism Checker for Business &amp; Teams | PlagiarismSearch</w:t>
      </w:r>
    </w:p>
    <w:p>
      <w:pPr>
        <w:spacing w:after="60"/>
      </w:pPr>
      <w:r>
        <w:rPr>
          <w:b/>
          <w:color w:val="1F374E"/>
        </w:rPr>
        <w:t xml:space="preserve">Meta description: </w:t>
      </w:r>
      <w:r>
        <w:t>Manage plagiarism checking across your team with member permissions, organization balances, Organization Storage, interactive reports, and optional API access.</w:t>
      </w:r>
    </w:p>
    <w:p>
      <w:pPr>
        <w:spacing w:after="60"/>
      </w:pPr>
      <w:r>
        <w:rPr>
          <w:b/>
          <w:color w:val="1F374E"/>
        </w:rPr>
        <w:t xml:space="preserve">Visible H1: </w:t>
      </w:r>
      <w:r>
        <w:t>Plagiarism Checking for Business &amp; Teams</w:t>
      </w:r>
    </w:p>
    <w:p>
      <w:pPr>
        <w:pStyle w:val="ListBullet"/>
        <w:spacing w:after="60"/>
      </w:pPr>
      <w:r>
        <w:t>Exactly one visible H1.</w:t>
      </w:r>
    </w:p>
    <w:p>
      <w:pPr>
        <w:pStyle w:val="ListBullet"/>
        <w:spacing w:after="60"/>
      </w:pPr>
      <w:r>
        <w:t>Keep important copy and FAQ answers in rendered HTML. Do not fetch essential content only after interaction.</w:t>
      </w:r>
    </w:p>
    <w:p>
      <w:pPr>
        <w:pStyle w:val="ListBullet"/>
        <w:spacing w:after="60"/>
      </w:pPr>
      <w:r>
        <w:t>Approved internal destinations must be real crawlable &lt;a href&gt; links in production.</w:t>
      </w:r>
    </w:p>
    <w:p>
      <w:pPr>
        <w:pStyle w:val="ListBullet"/>
        <w:spacing w:after="60"/>
      </w:pPr>
      <w:r>
        <w:t>Keep the existing URL and self-canonical route. Do not invent /business, /enterprise-plagiarism-checker, /team-plagiarism-checker or another replacement URL.</w:t>
      </w:r>
    </w:p>
    <w:p>
      <w:pPr>
        <w:pStyle w:val="ListBullet"/>
        <w:spacing w:after="60"/>
      </w:pPr>
      <w:r>
        <w:t>Do not build the page around exact-match repetition of “plagiarism checker for organization.” The slug is legacy; the future topic is Business &amp; Teams.</w:t>
      </w:r>
    </w:p>
    <w:p>
      <w:pPr>
        <w:pStyle w:val="ListBullet"/>
        <w:spacing w:after="60"/>
      </w:pPr>
      <w:r>
        <w:t>Do not add keyword-stuffed “what is plagiarism / why plagiarism matters / benefits of plagiarism checking” filler.</w:t>
      </w:r>
    </w:p>
    <w:p>
      <w:pPr>
        <w:pStyle w:val="ListBullet"/>
        <w:spacing w:after="60"/>
      </w:pPr>
      <w:r>
        <w:t>Do not create schema values from unverified reviews, ratings, prices, offers, security claims or customer counts. Any FAQ structured data must exactly match visible FAQ content and project schema policy.</w:t>
      </w:r>
    </w:p>
    <w:p>
      <w:pPr>
        <w:pStyle w:val="Heading1"/>
      </w:pPr>
      <w:r>
        <w:t>7. HEADER / FOOTER</w:t>
      </w:r>
    </w:p>
    <w:p>
      <w:r>
        <w:t>Out of scope. Use the already approved global header/footer architecture and current approved design system. Business &amp; Teams is the Business solution destination; do not redesign global navigation from this task and do not introduce new SEO destinations to satisfy a visual layout.</w:t>
      </w:r>
    </w:p>
    <w:p>
      <w:pPr>
        <w:pStyle w:val="Heading1"/>
      </w:pPr>
      <w:r>
        <w:t>8. APPROVED SECTION LIBRARY - REFERENCE, NOT MANDATORY SEQUENCE</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EAF1F8"/>
            <w:vAlign w:val="center"/>
            <w:tcMar>
              <w:top w:w="100" w:type="dxa"/>
              <w:start w:w="120" w:type="dxa"/>
              <w:bottom w:w="100" w:type="dxa"/>
              <w:end w:w="120" w:type="dxa"/>
            </w:tcMar>
          </w:tcPr>
          <w:p>
            <w:r>
              <w:rPr>
                <w:b/>
                <w:color w:val="1F374E"/>
                <w:sz w:val="18"/>
              </w:rPr>
              <w:t>Information job</w:t>
            </w:r>
          </w:p>
        </w:tc>
        <w:tc>
          <w:tcPr>
            <w:tcW w:type="dxa" w:w="2880"/>
            <w:shd w:fill="EAF1F8"/>
            <w:vAlign w:val="center"/>
            <w:tcMar>
              <w:top w:w="100" w:type="dxa"/>
              <w:start w:w="120" w:type="dxa"/>
              <w:bottom w:w="100" w:type="dxa"/>
              <w:end w:w="120" w:type="dxa"/>
            </w:tcMar>
          </w:tcPr>
          <w:p>
            <w:r>
              <w:rPr>
                <w:b/>
                <w:color w:val="1F374E"/>
                <w:sz w:val="18"/>
              </w:rPr>
              <w:t>Available approved pattern</w:t>
            </w:r>
          </w:p>
        </w:tc>
        <w:tc>
          <w:tcPr>
            <w:tcW w:type="dxa" w:w="5184"/>
            <w:shd w:fill="EAF1F8"/>
            <w:vAlign w:val="center"/>
            <w:tcMar>
              <w:top w:w="100" w:type="dxa"/>
              <w:start w:w="120" w:type="dxa"/>
              <w:bottom w:w="100" w:type="dxa"/>
              <w:end w:w="120" w:type="dxa"/>
            </w:tcMar>
          </w:tcPr>
          <w:p>
            <w:r>
              <w:rPr>
                <w:b/>
                <w:color w:val="1F374E"/>
                <w:sz w:val="18"/>
              </w:rPr>
              <w:t>Instruction</w:t>
            </w:r>
          </w:p>
        </w:tc>
      </w:tr>
      <w:tr>
        <w:tc>
          <w:tcPr>
            <w:tcW w:type="dxa" w:w="3024"/>
            <w:vAlign w:val="top"/>
            <w:tcMar>
              <w:top w:w="100" w:type="dxa"/>
              <w:start w:w="120" w:type="dxa"/>
              <w:bottom w:w="100" w:type="dxa"/>
              <w:end w:w="120" w:type="dxa"/>
            </w:tcMar>
          </w:tcPr>
          <w:p>
            <w:pPr>
              <w:spacing w:after="40"/>
            </w:pPr>
            <w:r>
              <w:rPr>
                <w:sz w:val="17"/>
              </w:rPr>
              <w:t>Business solution framing</w:t>
            </w:r>
          </w:p>
        </w:tc>
        <w:tc>
          <w:tcPr>
            <w:tcW w:type="dxa" w:w="2880"/>
            <w:vAlign w:val="top"/>
            <w:tcMar>
              <w:top w:w="100" w:type="dxa"/>
              <w:start w:w="120" w:type="dxa"/>
              <w:bottom w:w="100" w:type="dxa"/>
              <w:end w:w="120" w:type="dxa"/>
            </w:tcMar>
          </w:tcPr>
          <w:p>
            <w:pPr>
              <w:spacing w:after="40"/>
            </w:pPr>
            <w:r>
              <w:rPr>
                <w:sz w:val="17"/>
              </w:rPr>
              <w:t>SEC-HERO-04</w:t>
            </w:r>
          </w:p>
        </w:tc>
        <w:tc>
          <w:tcPr>
            <w:tcW w:type="dxa" w:w="5184"/>
            <w:vAlign w:val="top"/>
            <w:tcMar>
              <w:top w:w="100" w:type="dxa"/>
              <w:start w:w="120" w:type="dxa"/>
              <w:bottom w:w="100" w:type="dxa"/>
              <w:end w:w="120" w:type="dxa"/>
            </w:tcMar>
          </w:tcPr>
          <w:p>
            <w:pPr>
              <w:spacing w:after="40"/>
            </w:pPr>
            <w:r>
              <w:rPr>
                <w:sz w:val="17"/>
              </w:rPr>
              <w:t>Use as design vocabulary if useful; create a Business-specific outcome/system composition rather than cloning University.</w:t>
            </w:r>
          </w:p>
        </w:tc>
      </w:tr>
      <w:tr>
        <w:tc>
          <w:tcPr>
            <w:tcW w:type="dxa" w:w="3024"/>
            <w:vAlign w:val="top"/>
            <w:tcMar>
              <w:top w:w="100" w:type="dxa"/>
              <w:start w:w="120" w:type="dxa"/>
              <w:bottom w:w="100" w:type="dxa"/>
              <w:end w:w="120" w:type="dxa"/>
            </w:tcMar>
          </w:tcPr>
          <w:p>
            <w:pPr>
              <w:spacing w:after="40"/>
            </w:pPr>
            <w:r>
              <w:rPr>
                <w:sz w:val="17"/>
              </w:rPr>
              <w:t>Members / permissions / balances</w:t>
            </w:r>
          </w:p>
        </w:tc>
        <w:tc>
          <w:tcPr>
            <w:tcW w:type="dxa" w:w="2880"/>
            <w:vAlign w:val="top"/>
            <w:tcMar>
              <w:top w:w="100" w:type="dxa"/>
              <w:start w:w="120" w:type="dxa"/>
              <w:bottom w:w="100" w:type="dxa"/>
              <w:end w:w="120" w:type="dxa"/>
            </w:tcMar>
          </w:tcPr>
          <w:p>
            <w:pPr>
              <w:spacing w:after="40"/>
            </w:pPr>
            <w:r>
              <w:rPr>
                <w:sz w:val="17"/>
              </w:rPr>
              <w:t>SEC-ORG-01</w:t>
            </w:r>
          </w:p>
        </w:tc>
        <w:tc>
          <w:tcPr>
            <w:tcW w:type="dxa" w:w="5184"/>
            <w:vAlign w:val="top"/>
            <w:tcMar>
              <w:top w:w="100" w:type="dxa"/>
              <w:start w:w="120" w:type="dxa"/>
              <w:bottom w:w="100" w:type="dxa"/>
              <w:end w:w="120" w:type="dxa"/>
            </w:tcMar>
          </w:tcPr>
          <w:p>
            <w:pPr>
              <w:spacing w:after="40"/>
            </w:pPr>
            <w:r>
              <w:rPr>
                <w:sz w:val="17"/>
              </w:rPr>
              <w:t>Strong reuse candidate and likely signature Business variant.</w:t>
            </w:r>
          </w:p>
        </w:tc>
      </w:tr>
      <w:tr>
        <w:tc>
          <w:tcPr>
            <w:tcW w:type="dxa" w:w="3024"/>
            <w:vAlign w:val="top"/>
            <w:tcMar>
              <w:top w:w="100" w:type="dxa"/>
              <w:start w:w="120" w:type="dxa"/>
              <w:bottom w:w="100" w:type="dxa"/>
              <w:end w:w="120" w:type="dxa"/>
            </w:tcMar>
          </w:tcPr>
          <w:p>
            <w:pPr>
              <w:spacing w:after="40"/>
            </w:pPr>
            <w:r>
              <w:rPr>
                <w:sz w:val="17"/>
              </w:rPr>
              <w:t>Real report evidence</w:t>
            </w:r>
          </w:p>
        </w:tc>
        <w:tc>
          <w:tcPr>
            <w:tcW w:type="dxa" w:w="2880"/>
            <w:vAlign w:val="top"/>
            <w:tcMar>
              <w:top w:w="100" w:type="dxa"/>
              <w:start w:w="120" w:type="dxa"/>
              <w:bottom w:w="100" w:type="dxa"/>
              <w:end w:w="120" w:type="dxa"/>
            </w:tcMar>
          </w:tcPr>
          <w:p>
            <w:pPr>
              <w:spacing w:after="40"/>
            </w:pPr>
            <w:r>
              <w:rPr>
                <w:sz w:val="17"/>
              </w:rPr>
              <w:t>SEC-REPORT-01</w:t>
            </w:r>
          </w:p>
        </w:tc>
        <w:tc>
          <w:tcPr>
            <w:tcW w:type="dxa" w:w="5184"/>
            <w:vAlign w:val="top"/>
            <w:tcMar>
              <w:top w:w="100" w:type="dxa"/>
              <w:start w:w="120" w:type="dxa"/>
              <w:bottom w:w="100" w:type="dxa"/>
              <w:end w:w="120" w:type="dxa"/>
            </w:tcMar>
          </w:tcPr>
          <w:p>
            <w:pPr>
              <w:spacing w:after="40"/>
            </w:pPr>
            <w:r>
              <w:rPr>
                <w:sz w:val="17"/>
              </w:rPr>
              <w:t>Reuse the canonical real report language/interaction; Business framing can be more compact than homepage.</w:t>
            </w:r>
          </w:p>
        </w:tc>
      </w:tr>
      <w:tr>
        <w:tc>
          <w:tcPr>
            <w:tcW w:type="dxa" w:w="3024"/>
            <w:vAlign w:val="top"/>
            <w:tcMar>
              <w:top w:w="100" w:type="dxa"/>
              <w:start w:w="120" w:type="dxa"/>
              <w:bottom w:w="100" w:type="dxa"/>
              <w:end w:w="120" w:type="dxa"/>
            </w:tcMar>
          </w:tcPr>
          <w:p>
            <w:pPr>
              <w:spacing w:after="40"/>
            </w:pPr>
            <w:r>
              <w:rPr>
                <w:sz w:val="17"/>
              </w:rPr>
              <w:t>Sources + Storage distinction</w:t>
            </w:r>
          </w:p>
        </w:tc>
        <w:tc>
          <w:tcPr>
            <w:tcW w:type="dxa" w:w="2880"/>
            <w:vAlign w:val="top"/>
            <w:tcMar>
              <w:top w:w="100" w:type="dxa"/>
              <w:start w:w="120" w:type="dxa"/>
              <w:bottom w:w="100" w:type="dxa"/>
              <w:end w:w="120" w:type="dxa"/>
            </w:tcMar>
          </w:tcPr>
          <w:p>
            <w:pPr>
              <w:spacing w:after="40"/>
            </w:pPr>
            <w:r>
              <w:rPr>
                <w:sz w:val="17"/>
              </w:rPr>
              <w:t>SEC-SOURCEFLOW-01</w:t>
            </w:r>
          </w:p>
        </w:tc>
        <w:tc>
          <w:tcPr>
            <w:tcW w:type="dxa" w:w="5184"/>
            <w:vAlign w:val="top"/>
            <w:tcMar>
              <w:top w:w="100" w:type="dxa"/>
              <w:start w:w="120" w:type="dxa"/>
              <w:bottom w:w="100" w:type="dxa"/>
              <w:end w:w="120" w:type="dxa"/>
            </w:tcMar>
          </w:tcPr>
          <w:p>
            <w:pPr>
              <w:spacing w:after="40"/>
            </w:pPr>
            <w:r>
              <w:rPr>
                <w:sz w:val="17"/>
              </w:rPr>
              <w:t>Strong reuse candidate. Preserve separation between check/report and Storage.</w:t>
            </w:r>
          </w:p>
        </w:tc>
      </w:tr>
      <w:tr>
        <w:tc>
          <w:tcPr>
            <w:tcW w:type="dxa" w:w="3024"/>
            <w:vAlign w:val="top"/>
            <w:tcMar>
              <w:top w:w="100" w:type="dxa"/>
              <w:start w:w="120" w:type="dxa"/>
              <w:bottom w:w="100" w:type="dxa"/>
              <w:end w:w="120" w:type="dxa"/>
            </w:tcMar>
          </w:tcPr>
          <w:p>
            <w:pPr>
              <w:spacing w:after="40"/>
            </w:pPr>
            <w:r>
              <w:rPr>
                <w:sz w:val="17"/>
              </w:rPr>
              <w:t>Operational business scenarios</w:t>
            </w:r>
          </w:p>
        </w:tc>
        <w:tc>
          <w:tcPr>
            <w:tcW w:type="dxa" w:w="2880"/>
            <w:vAlign w:val="top"/>
            <w:tcMar>
              <w:top w:w="100" w:type="dxa"/>
              <w:start w:w="120" w:type="dxa"/>
              <w:bottom w:w="100" w:type="dxa"/>
              <w:end w:w="120" w:type="dxa"/>
            </w:tcMar>
          </w:tcPr>
          <w:p>
            <w:pPr>
              <w:spacing w:after="40"/>
            </w:pPr>
            <w:r>
              <w:rPr>
                <w:sz w:val="17"/>
              </w:rPr>
              <w:t>SEC-USECASE-01</w:t>
            </w:r>
          </w:p>
        </w:tc>
        <w:tc>
          <w:tcPr>
            <w:tcW w:type="dxa" w:w="5184"/>
            <w:vAlign w:val="top"/>
            <w:tcMar>
              <w:top w:w="100" w:type="dxa"/>
              <w:start w:w="120" w:type="dxa"/>
              <w:bottom w:w="100" w:type="dxa"/>
              <w:end w:w="120" w:type="dxa"/>
            </w:tcMar>
          </w:tcPr>
          <w:p>
            <w:pPr>
              <w:spacing w:after="40"/>
            </w:pPr>
            <w:r>
              <w:rPr>
                <w:sz w:val="17"/>
              </w:rPr>
              <w:t>Use workflow scenarios, not persona/SEO noun swaps.</w:t>
            </w:r>
          </w:p>
        </w:tc>
      </w:tr>
      <w:tr>
        <w:tc>
          <w:tcPr>
            <w:tcW w:type="dxa" w:w="3024"/>
            <w:vAlign w:val="top"/>
            <w:tcMar>
              <w:top w:w="100" w:type="dxa"/>
              <w:start w:w="120" w:type="dxa"/>
              <w:bottom w:w="100" w:type="dxa"/>
              <w:end w:w="120" w:type="dxa"/>
            </w:tcMar>
          </w:tcPr>
          <w:p>
            <w:pPr>
              <w:spacing w:after="40"/>
            </w:pPr>
            <w:r>
              <w:rPr>
                <w:sz w:val="17"/>
              </w:rPr>
              <w:t>Workspace vs API choice</w:t>
            </w:r>
          </w:p>
        </w:tc>
        <w:tc>
          <w:tcPr>
            <w:tcW w:type="dxa" w:w="2880"/>
            <w:vAlign w:val="top"/>
            <w:tcMar>
              <w:top w:w="100" w:type="dxa"/>
              <w:start w:w="120" w:type="dxa"/>
              <w:bottom w:w="100" w:type="dxa"/>
              <w:end w:w="120" w:type="dxa"/>
            </w:tcMar>
          </w:tcPr>
          <w:p>
            <w:pPr>
              <w:spacing w:after="40"/>
            </w:pPr>
            <w:r>
              <w:rPr>
                <w:sz w:val="17"/>
              </w:rPr>
              <w:t>SEC-DECISION-01 or SEC-CROSSSELL-01</w:t>
            </w:r>
          </w:p>
        </w:tc>
        <w:tc>
          <w:tcPr>
            <w:tcW w:type="dxa" w:w="5184"/>
            <w:vAlign w:val="top"/>
            <w:tcMar>
              <w:top w:w="100" w:type="dxa"/>
              <w:start w:w="120" w:type="dxa"/>
              <w:bottom w:w="100" w:type="dxa"/>
              <w:end w:w="120" w:type="dxa"/>
            </w:tcMar>
          </w:tcPr>
          <w:p>
            <w:pPr>
              <w:spacing w:after="40"/>
            </w:pPr>
            <w:r>
              <w:rPr>
                <w:sz w:val="17"/>
              </w:rPr>
              <w:t>Choose the lighter pattern that best explains the two real paths; do not force both.</w:t>
            </w:r>
          </w:p>
        </w:tc>
      </w:tr>
      <w:tr>
        <w:tc>
          <w:tcPr>
            <w:tcW w:type="dxa" w:w="3024"/>
            <w:vAlign w:val="top"/>
            <w:tcMar>
              <w:top w:w="100" w:type="dxa"/>
              <w:start w:w="120" w:type="dxa"/>
              <w:bottom w:w="100" w:type="dxa"/>
              <w:end w:w="120" w:type="dxa"/>
            </w:tcMar>
          </w:tcPr>
          <w:p>
            <w:pPr>
              <w:spacing w:after="40"/>
            </w:pPr>
            <w:r>
              <w:rPr>
                <w:sz w:val="17"/>
              </w:rPr>
              <w:t>Document/report lifecycle</w:t>
            </w:r>
          </w:p>
        </w:tc>
        <w:tc>
          <w:tcPr>
            <w:tcW w:type="dxa" w:w="2880"/>
            <w:vAlign w:val="top"/>
            <w:tcMar>
              <w:top w:w="100" w:type="dxa"/>
              <w:start w:w="120" w:type="dxa"/>
              <w:bottom w:w="100" w:type="dxa"/>
              <w:end w:w="120" w:type="dxa"/>
            </w:tcMar>
          </w:tcPr>
          <w:p>
            <w:pPr>
              <w:spacing w:after="40"/>
            </w:pPr>
            <w:r>
              <w:rPr>
                <w:sz w:val="17"/>
              </w:rPr>
              <w:t>SEC-TRUST-01</w:t>
            </w:r>
          </w:p>
        </w:tc>
        <w:tc>
          <w:tcPr>
            <w:tcW w:type="dxa" w:w="5184"/>
            <w:vAlign w:val="top"/>
            <w:tcMar>
              <w:top w:w="100" w:type="dxa"/>
              <w:start w:w="120" w:type="dxa"/>
              <w:bottom w:w="100" w:type="dxa"/>
              <w:end w:w="120" w:type="dxa"/>
            </w:tcMar>
          </w:tcPr>
          <w:p>
            <w:pPr>
              <w:spacing w:after="40"/>
            </w:pPr>
            <w:r>
              <w:rPr>
                <w:sz w:val="17"/>
              </w:rPr>
              <w:t>Reuse when it improves comprehension; may be merged with source/storage explanation if clearer.</w:t>
            </w:r>
          </w:p>
        </w:tc>
      </w:tr>
      <w:tr>
        <w:tc>
          <w:tcPr>
            <w:tcW w:type="dxa" w:w="3024"/>
            <w:vAlign w:val="top"/>
            <w:tcMar>
              <w:top w:w="100" w:type="dxa"/>
              <w:start w:w="120" w:type="dxa"/>
              <w:bottom w:w="100" w:type="dxa"/>
              <w:end w:w="120" w:type="dxa"/>
            </w:tcMar>
          </w:tcPr>
          <w:p>
            <w:pPr>
              <w:spacing w:after="40"/>
            </w:pPr>
            <w:r>
              <w:rPr>
                <w:sz w:val="17"/>
              </w:rPr>
              <w:t>Custom/high-volume path</w:t>
            </w:r>
          </w:p>
        </w:tc>
        <w:tc>
          <w:tcPr>
            <w:tcW w:type="dxa" w:w="2880"/>
            <w:vAlign w:val="top"/>
            <w:tcMar>
              <w:top w:w="100" w:type="dxa"/>
              <w:start w:w="120" w:type="dxa"/>
              <w:bottom w:w="100" w:type="dxa"/>
              <w:end w:w="120" w:type="dxa"/>
            </w:tcMar>
          </w:tcPr>
          <w:p>
            <w:pPr>
              <w:spacing w:after="40"/>
            </w:pPr>
            <w:r>
              <w:rPr>
                <w:sz w:val="17"/>
              </w:rPr>
              <w:t>SEC-OFFER-01</w:t>
            </w:r>
          </w:p>
        </w:tc>
        <w:tc>
          <w:tcPr>
            <w:tcW w:type="dxa" w:w="5184"/>
            <w:vAlign w:val="top"/>
            <w:tcMar>
              <w:top w:w="100" w:type="dxa"/>
              <w:start w:w="120" w:type="dxa"/>
              <w:bottom w:w="100" w:type="dxa"/>
              <w:end w:w="120" w:type="dxa"/>
            </w:tcMar>
          </w:tcPr>
          <w:p>
            <w:pPr>
              <w:spacing w:after="40"/>
            </w:pPr>
            <w:r>
              <w:rPr>
                <w:sz w:val="17"/>
              </w:rPr>
              <w:t>Good compact precursor to the inquiry form.</w:t>
            </w:r>
          </w:p>
        </w:tc>
      </w:tr>
      <w:tr>
        <w:tc>
          <w:tcPr>
            <w:tcW w:type="dxa" w:w="3024"/>
            <w:vAlign w:val="top"/>
            <w:tcMar>
              <w:top w:w="100" w:type="dxa"/>
              <w:start w:w="120" w:type="dxa"/>
              <w:bottom w:w="100" w:type="dxa"/>
              <w:end w:w="120" w:type="dxa"/>
            </w:tcMar>
          </w:tcPr>
          <w:p>
            <w:pPr>
              <w:spacing w:after="40"/>
            </w:pPr>
            <w:r>
              <w:rPr>
                <w:sz w:val="17"/>
              </w:rPr>
              <w:t>Qualified inquiry</w:t>
            </w:r>
          </w:p>
        </w:tc>
        <w:tc>
          <w:tcPr>
            <w:tcW w:type="dxa" w:w="2880"/>
            <w:vAlign w:val="top"/>
            <w:tcMar>
              <w:top w:w="100" w:type="dxa"/>
              <w:start w:w="120" w:type="dxa"/>
              <w:bottom w:w="100" w:type="dxa"/>
              <w:end w:w="120" w:type="dxa"/>
            </w:tcMar>
          </w:tcPr>
          <w:p>
            <w:pPr>
              <w:spacing w:after="40"/>
            </w:pPr>
            <w:r>
              <w:rPr>
                <w:sz w:val="17"/>
              </w:rPr>
              <w:t>SEC-FORM-01</w:t>
            </w:r>
          </w:p>
        </w:tc>
        <w:tc>
          <w:tcPr>
            <w:tcW w:type="dxa" w:w="5184"/>
            <w:vAlign w:val="top"/>
            <w:tcMar>
              <w:top w:w="100" w:type="dxa"/>
              <w:start w:w="120" w:type="dxa"/>
              <w:bottom w:w="100" w:type="dxa"/>
              <w:end w:w="120" w:type="dxa"/>
            </w:tcMar>
          </w:tcPr>
          <w:p>
            <w:pPr>
              <w:spacing w:after="40"/>
            </w:pPr>
            <w:r>
              <w:rPr>
                <w:sz w:val="17"/>
              </w:rPr>
              <w:t>Use Business field variant specified below.</w:t>
            </w:r>
          </w:p>
        </w:tc>
      </w:tr>
      <w:tr>
        <w:tc>
          <w:tcPr>
            <w:tcW w:type="dxa" w:w="3024"/>
            <w:vAlign w:val="top"/>
            <w:tcMar>
              <w:top w:w="100" w:type="dxa"/>
              <w:start w:w="120" w:type="dxa"/>
              <w:bottom w:w="100" w:type="dxa"/>
              <w:end w:w="120" w:type="dxa"/>
            </w:tcMar>
          </w:tcPr>
          <w:p>
            <w:pPr>
              <w:spacing w:after="40"/>
            </w:pPr>
            <w:r>
              <w:rPr>
                <w:sz w:val="17"/>
              </w:rPr>
              <w:t>FAQ</w:t>
            </w:r>
          </w:p>
        </w:tc>
        <w:tc>
          <w:tcPr>
            <w:tcW w:type="dxa" w:w="2880"/>
            <w:vAlign w:val="top"/>
            <w:tcMar>
              <w:top w:w="100" w:type="dxa"/>
              <w:start w:w="120" w:type="dxa"/>
              <w:bottom w:w="100" w:type="dxa"/>
              <w:end w:w="120" w:type="dxa"/>
            </w:tcMar>
          </w:tcPr>
          <w:p>
            <w:pPr>
              <w:spacing w:after="40"/>
            </w:pPr>
            <w:r>
              <w:rPr>
                <w:sz w:val="17"/>
              </w:rPr>
              <w:t>SEC-FAQ-01</w:t>
            </w:r>
          </w:p>
        </w:tc>
        <w:tc>
          <w:tcPr>
            <w:tcW w:type="dxa" w:w="5184"/>
            <w:vAlign w:val="top"/>
            <w:tcMar>
              <w:top w:w="100" w:type="dxa"/>
              <w:start w:w="120" w:type="dxa"/>
              <w:bottom w:w="100" w:type="dxa"/>
              <w:end w:w="120" w:type="dxa"/>
            </w:tcMar>
          </w:tcPr>
          <w:p>
            <w:pPr>
              <w:spacing w:after="40"/>
            </w:pPr>
            <w:r>
              <w:rPr>
                <w:sz w:val="17"/>
              </w:rPr>
              <w:t>Use accessible rendered accordion or equivalent.</w:t>
            </w:r>
          </w:p>
        </w:tc>
      </w:tr>
      <w:tr>
        <w:tc>
          <w:tcPr>
            <w:tcW w:type="dxa" w:w="3024"/>
            <w:vAlign w:val="top"/>
            <w:tcMar>
              <w:top w:w="100" w:type="dxa"/>
              <w:start w:w="120" w:type="dxa"/>
              <w:bottom w:w="100" w:type="dxa"/>
              <w:end w:w="120" w:type="dxa"/>
            </w:tcMar>
          </w:tcPr>
          <w:p>
            <w:pPr>
              <w:spacing w:after="40"/>
            </w:pPr>
            <w:r>
              <w:rPr>
                <w:sz w:val="17"/>
              </w:rPr>
              <w:t>Final conversion</w:t>
            </w:r>
          </w:p>
        </w:tc>
        <w:tc>
          <w:tcPr>
            <w:tcW w:type="dxa" w:w="2880"/>
            <w:vAlign w:val="top"/>
            <w:tcMar>
              <w:top w:w="100" w:type="dxa"/>
              <w:start w:w="120" w:type="dxa"/>
              <w:bottom w:w="100" w:type="dxa"/>
              <w:end w:w="120" w:type="dxa"/>
            </w:tcMar>
          </w:tcPr>
          <w:p>
            <w:pPr>
              <w:spacing w:after="40"/>
            </w:pPr>
            <w:r>
              <w:rPr>
                <w:sz w:val="17"/>
              </w:rPr>
              <w:t>SEC-CTA-01</w:t>
            </w:r>
          </w:p>
        </w:tc>
        <w:tc>
          <w:tcPr>
            <w:tcW w:type="dxa" w:w="5184"/>
            <w:vAlign w:val="top"/>
            <w:tcMar>
              <w:top w:w="100" w:type="dxa"/>
              <w:start w:w="120" w:type="dxa"/>
              <w:bottom w:w="100" w:type="dxa"/>
              <w:end w:w="120" w:type="dxa"/>
            </w:tcMar>
          </w:tcPr>
          <w:p>
            <w:pPr>
              <w:spacing w:after="40"/>
            </w:pPr>
            <w:r>
              <w:rPr>
                <w:sz w:val="17"/>
              </w:rPr>
              <w:t>Adapt to business inquiry / standard pricing, not checker action.</w:t>
            </w:r>
          </w:p>
        </w:tc>
      </w:tr>
    </w:tbl>
    <w:p>
      <w:pPr>
        <w:spacing w:after="40"/>
      </w:pP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LIBRARY GOVERNANCE</w:t>
            </w:r>
          </w:p>
          <w:p>
            <w:pPr>
              <w:pStyle w:val="ListBullet"/>
              <w:spacing w:after="40"/>
            </w:pPr>
            <w:r>
              <w:rPr>
                <w:sz w:val="18"/>
              </w:rPr>
              <w:t>Do not create or register a new SEC-* library item during implementation.</w:t>
            </w:r>
          </w:p>
          <w:p>
            <w:pPr>
              <w:pStyle w:val="ListBullet"/>
              <w:spacing w:after="40"/>
            </w:pPr>
            <w:r>
              <w:rPr>
                <w:sz w:val="18"/>
              </w:rPr>
              <w:t>If you create a strong Business-specific visual variant, keep it page-local for this implementation pass.</w:t>
            </w:r>
          </w:p>
          <w:p>
            <w:pPr>
              <w:pStyle w:val="ListBullet"/>
              <w:spacing w:after="40"/>
            </w:pPr>
            <w:r>
              <w:rPr>
                <w:sz w:val="18"/>
              </w:rPr>
              <w:t>After page review/approval, the project will decide whether the accepted pattern becomes a variant of an existing SEC-* or a new reusable section.</w:t>
            </w:r>
          </w:p>
        </w:tc>
      </w:tr>
    </w:tbl>
    <w:p>
      <w:pPr>
        <w:spacing w:after="60"/>
      </w:pPr>
    </w:p>
    <w:p>
      <w:pPr>
        <w:pStyle w:val="Heading1"/>
      </w:pPr>
      <w:r>
        <w:t>9. REQUIRED INFORMATION JOBS</w:t>
      </w:r>
    </w:p>
    <w:p>
      <w:r>
        <w:t>These jobs are mandatory. They are not a mandatory physical section count or a pixel-level order. Preserve the narrative logic, but you may merge, adapt or visually reorder compatible acts when the page remains clear.</w:t>
      </w:r>
    </w:p>
    <w:p>
      <w:pPr>
        <w:spacing w:after="60"/>
        <w:ind w:left="216" w:hanging="216"/>
      </w:pPr>
      <w:r>
        <w:t>1. Frame the page as Business &amp; Teams, not as another generic checker.</w:t>
      </w:r>
    </w:p>
    <w:p>
      <w:pPr>
        <w:spacing w:after="60"/>
        <w:ind w:left="216" w:hanging="216"/>
      </w:pPr>
      <w:r>
        <w:t>2. Explain real Organization Management: administrator, members, permissions and organization resources.</w:t>
      </w:r>
    </w:p>
    <w:p>
      <w:pPr>
        <w:spacing w:after="60"/>
        <w:ind w:left="216" w:hanging="216"/>
      </w:pPr>
      <w:r>
        <w:t>3. Make personal-vs-organization balance/resource separation understandable.</w:t>
      </w:r>
    </w:p>
    <w:p>
      <w:pPr>
        <w:spacing w:after="60"/>
        <w:ind w:left="216" w:hanging="216"/>
      </w:pPr>
      <w:r>
        <w:t>4. Show real report/source evidence as the result team members review.</w:t>
      </w:r>
    </w:p>
    <w:p>
      <w:pPr>
        <w:spacing w:after="60"/>
        <w:ind w:left="216" w:hanging="216"/>
      </w:pPr>
      <w:r>
        <w:t>5. Explain Organization Storage as a separately controlled comparison/repository workflow.</w:t>
      </w:r>
    </w:p>
    <w:p>
      <w:pPr>
        <w:spacing w:after="60"/>
        <w:ind w:left="216" w:hanging="216"/>
      </w:pPr>
      <w:r>
        <w:t>6. Show a small number of real business workflows: agencies/content teams, in-house teams, publisher/recurring review.</w:t>
      </w:r>
    </w:p>
    <w:p>
      <w:pPr>
        <w:spacing w:after="60"/>
        <w:ind w:left="216" w:hanging="216"/>
      </w:pPr>
      <w:r>
        <w:t>7. Explain direct Organization workspace vs API automation as two valid ways to deploy the capability.</w:t>
      </w:r>
    </w:p>
    <w:p>
      <w:pPr>
        <w:spacing w:after="60"/>
        <w:ind w:left="216" w:hanging="216"/>
      </w:pPr>
      <w:r>
        <w:t>8. Keep AI secondary and explicitly separate from plagiarism checking.</w:t>
      </w:r>
    </w:p>
    <w:p>
      <w:pPr>
        <w:spacing w:after="60"/>
        <w:ind w:left="216" w:hanging="216"/>
      </w:pPr>
      <w:r>
        <w:t>9. Correct old privacy/data-handling claims by distinguishing checked document, generated report and Storage.</w:t>
      </w:r>
    </w:p>
    <w:p>
      <w:pPr>
        <w:spacing w:after="60"/>
        <w:ind w:left="216" w:hanging="216"/>
      </w:pPr>
      <w:r>
        <w:t>10. Offer standard pricing as a separate owner and a custom/high-volume path for larger requirements.</w:t>
      </w:r>
    </w:p>
    <w:p>
      <w:pPr>
        <w:spacing w:after="60"/>
        <w:ind w:left="216" w:hanging="216"/>
      </w:pPr>
      <w:r>
        <w:t>11. Capture a qualified business inquiry with useful sales/workflow information.</w:t>
      </w:r>
    </w:p>
    <w:p>
      <w:pPr>
        <w:spacing w:after="60"/>
        <w:ind w:left="216" w:hanging="216"/>
      </w:pPr>
      <w:r>
        <w:t>12. Answer Business-specific product/procurement questions in the FAQ.</w:t>
      </w:r>
    </w:p>
    <w:p>
      <w:pPr>
        <w:spacing w:after="60"/>
        <w:ind w:left="216" w:hanging="216"/>
      </w:pPr>
      <w:r>
        <w:t>13. Close with a business quote / standard pricing choice, not a second checker CTA.</w:t>
      </w:r>
    </w:p>
    <w:p>
      <w:pPr>
        <w:pStyle w:val="Heading1"/>
      </w:pPr>
      <w:r>
        <w:t>10. DESIGN OPPORTUNITIES - NOT LAYOUT ORDERS</w:t>
      </w:r>
    </w:p>
    <w:p>
      <w:pPr>
        <w:pStyle w:val="ListBullet"/>
        <w:spacing w:after="60"/>
      </w:pPr>
      <w:r>
        <w:t>Admin -&gt; organization -&gt; members -&gt; permissions/resources relationship visualization.</w:t>
      </w:r>
    </w:p>
    <w:p>
      <w:pPr>
        <w:pStyle w:val="ListBullet"/>
        <w:spacing w:after="60"/>
      </w:pPr>
      <w:r>
        <w:t>Clear visual separation between personal member resources and organization resources.</w:t>
      </w:r>
    </w:p>
    <w:p>
      <w:pPr>
        <w:pStyle w:val="ListBullet"/>
        <w:spacing w:after="60"/>
      </w:pPr>
      <w:r>
        <w:t>Organization Storage shown as a deliberate, separate repository/source path rather than part of every check.</w:t>
      </w:r>
    </w:p>
    <w:p>
      <w:pPr>
        <w:pStyle w:val="ListBullet"/>
        <w:spacing w:after="60"/>
      </w:pPr>
      <w:r>
        <w:t>Organization workspace vs API shown as a decision, split flow, diagram or another clear comparison.</w:t>
      </w:r>
    </w:p>
    <w:p>
      <w:pPr>
        <w:pStyle w:val="ListBullet"/>
        <w:spacing w:after="60"/>
      </w:pPr>
      <w:r>
        <w:t>Real product/report evidence preferred over decorative stock business imagery.</w:t>
      </w:r>
    </w:p>
    <w:p>
      <w:pPr>
        <w:pStyle w:val="ListBullet"/>
        <w:spacing w:after="60"/>
      </w:pPr>
      <w:r>
        <w:t>Business visual system should feel operational and controlled, not like generic enterprise stock photography.</w:t>
      </w:r>
    </w:p>
    <w:p>
      <w:r>
        <w:br w:type="page"/>
      </w:r>
    </w:p>
    <w:p>
      <w:pPr>
        <w:pStyle w:val="Heading1"/>
      </w:pPr>
      <w:r>
        <w:t>11. APPROVED EXACT CONTENT BASELINE</w:t>
      </w:r>
    </w:p>
    <w:p>
      <w:r>
        <w:t>The following copy is the approved baseline. Do not strengthen claims. Optional items are explicitly marked. You may distribute the copy across visual elements, merge compatible acts, or use the same text inside an adapted approved section pattern. Preserve the wording and meaning unless an implementation dependency marked below requires a factual correction.</w:t>
      </w:r>
    </w:p>
    <w:p>
      <w:pPr>
        <w:pStyle w:val="Heading2"/>
      </w:pPr>
      <w:r>
        <w:t>A. HERO - BUSINESS &amp; TEAMS</w:t>
      </w:r>
    </w:p>
    <w:p>
      <w:pPr>
        <w:spacing w:after="60"/>
      </w:pPr>
      <w:r>
        <w:rPr>
          <w:b/>
          <w:color w:val="1F374E"/>
        </w:rPr>
        <w:t>Eyebrow</w:t>
      </w:r>
    </w:p>
    <w:p>
      <w:pPr>
        <w:spacing w:after="160"/>
        <w:ind w:left="259"/>
      </w:pPr>
      <w:r>
        <w:t>Business &amp; Teams</w:t>
      </w:r>
    </w:p>
    <w:p>
      <w:pPr>
        <w:spacing w:after="60"/>
      </w:pPr>
      <w:r>
        <w:rPr>
          <w:b/>
          <w:color w:val="1F374E"/>
        </w:rPr>
        <w:t>H1</w:t>
      </w:r>
    </w:p>
    <w:p>
      <w:pPr>
        <w:spacing w:after="160"/>
        <w:ind w:left="259"/>
      </w:pPr>
      <w:r>
        <w:t>Plagiarism Checking for Business &amp; Teams</w:t>
      </w:r>
    </w:p>
    <w:p>
      <w:pPr>
        <w:spacing w:after="60"/>
      </w:pPr>
      <w:r>
        <w:rPr>
          <w:b/>
          <w:color w:val="1F374E"/>
        </w:rPr>
        <w:t>Supporting copy</w:t>
      </w:r>
    </w:p>
    <w:p>
      <w:pPr>
        <w:spacing w:after="160"/>
        <w:ind w:left="259"/>
      </w:pPr>
      <w:r>
        <w:t>Bring recurring plagiarism checks into a managed team workflow. Administrators can manage members, permissions, and organization resources, while team members can keep their personal balances separate.</w:t>
        <w:br/>
        <w:br/>
        <w:t>Use Organization Storage when your own content should be part of comparison, or connect the PlagiarismSearch API when checks need to run inside another workflow.</w:t>
      </w:r>
    </w:p>
    <w:p>
      <w:pPr>
        <w:spacing w:after="60"/>
      </w:pPr>
      <w:r>
        <w:rPr>
          <w:b/>
          <w:color w:val="1F374E"/>
        </w:rPr>
        <w:t>Primary CTA</w:t>
      </w:r>
    </w:p>
    <w:p>
      <w:pPr>
        <w:spacing w:after="160"/>
        <w:ind w:left="259"/>
      </w:pPr>
      <w:r>
        <w:t>Request a business quote</w:t>
      </w:r>
    </w:p>
    <w:p>
      <w:pPr>
        <w:spacing w:after="60"/>
      </w:pPr>
      <w:r>
        <w:rPr>
          <w:b/>
          <w:color w:val="1F374E"/>
        </w:rPr>
        <w:t>Secondary CTA</w:t>
      </w:r>
    </w:p>
    <w:p>
      <w:pPr>
        <w:spacing w:after="160"/>
        <w:ind w:left="259"/>
      </w:pPr>
      <w:r>
        <w:t>See how team access works</w:t>
      </w:r>
    </w:p>
    <w:p>
      <w:pPr>
        <w:spacing w:after="60"/>
      </w:pPr>
      <w:r>
        <w:rPr>
          <w:b/>
          <w:color w:val="1F374E"/>
        </w:rPr>
        <w:t>Optional audience line</w:t>
      </w:r>
    </w:p>
    <w:p>
      <w:pPr>
        <w:spacing w:after="160"/>
        <w:ind w:left="259"/>
      </w:pPr>
      <w:r>
        <w:t>For agencies, content teams, companies, publishers, and other organizations with recurring content-review needs.</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Hero rules</w:t>
            </w:r>
          </w:p>
          <w:p>
            <w:pPr>
              <w:pStyle w:val="ListBullet"/>
              <w:spacing w:after="40"/>
            </w:pPr>
            <w:r>
              <w:rPr>
                <w:sz w:val="18"/>
              </w:rPr>
              <w:t>No checker widget or free-check offer in the hero.</w:t>
            </w:r>
          </w:p>
          <w:p>
            <w:pPr>
              <w:pStyle w:val="ListBullet"/>
              <w:spacing w:after="40"/>
            </w:pPr>
            <w:r>
              <w:rPr>
                <w:sz w:val="18"/>
              </w:rPr>
              <w:t>No “best,” “top,” “most accurate,” “plagiarism-free,” or generic enterprise-superiority language.</w:t>
            </w:r>
          </w:p>
          <w:p>
            <w:pPr>
              <w:pStyle w:val="ListBullet"/>
              <w:spacing w:after="40"/>
            </w:pPr>
            <w:r>
              <w:rPr>
                <w:sz w:val="18"/>
              </w:rPr>
              <w:t>Primary CTA should reach the Business inquiry form/anchor. Secondary CTA should reach the organization/team-control explanation.</w:t>
            </w:r>
          </w:p>
          <w:p>
            <w:pPr>
              <w:pStyle w:val="ListBullet"/>
              <w:spacing w:after="40"/>
            </w:pPr>
            <w:r>
              <w:rPr>
                <w:sz w:val="18"/>
              </w:rPr>
              <w:t>Use product/workflow evidence, not a fake corporate dashboard or generic office stock photo.</w:t>
            </w:r>
          </w:p>
        </w:tc>
      </w:tr>
    </w:tbl>
    <w:p>
      <w:pPr>
        <w:spacing w:after="60"/>
      </w:pPr>
    </w:p>
    <w:p>
      <w:pPr>
        <w:pStyle w:val="Heading2"/>
      </w:pPr>
      <w:r>
        <w:t>B. ORGANIZATION MANAGEMENT - SIGNATURE BUSINESS EVIDENCE</w:t>
      </w:r>
    </w:p>
    <w:p>
      <w:pPr>
        <w:spacing w:after="60"/>
      </w:pPr>
      <w:r>
        <w:rPr>
          <w:b/>
          <w:color w:val="1F374E"/>
        </w:rPr>
        <w:t>Eyebrow</w:t>
      </w:r>
    </w:p>
    <w:p>
      <w:pPr>
        <w:spacing w:after="160"/>
        <w:ind w:left="259"/>
      </w:pPr>
      <w:r>
        <w:t>Organization Management</w:t>
      </w:r>
    </w:p>
    <w:p>
      <w:pPr>
        <w:spacing w:after="60"/>
      </w:pPr>
      <w:r>
        <w:rPr>
          <w:b/>
          <w:color w:val="1F374E"/>
        </w:rPr>
        <w:t>H2</w:t>
      </w:r>
    </w:p>
    <w:p>
      <w:pPr>
        <w:spacing w:after="160"/>
        <w:ind w:left="259"/>
      </w:pPr>
      <w:r>
        <w:t>Manage members, permissions, and shared resources in one organization</w:t>
      </w:r>
    </w:p>
    <w:p>
      <w:pPr>
        <w:spacing w:after="60"/>
      </w:pPr>
      <w:r>
        <w:rPr>
          <w:b/>
          <w:color w:val="1F374E"/>
        </w:rPr>
        <w:t>Intro</w:t>
      </w:r>
    </w:p>
    <w:p>
      <w:pPr>
        <w:spacing w:after="160"/>
        <w:ind w:left="259"/>
      </w:pPr>
      <w:r>
        <w:t>Organization Management gives administrators a practical way to coordinate team access while keeping organization resources separate from each member’s personal balance.</w:t>
      </w:r>
    </w:p>
    <w:p>
      <w:pPr>
        <w:spacing w:after="60"/>
      </w:pPr>
      <w:r>
        <w:rPr>
          <w:b/>
          <w:color w:val="1F374E"/>
        </w:rPr>
        <w:t>Create your organization</w:t>
      </w:r>
    </w:p>
    <w:p>
      <w:pPr>
        <w:spacing w:after="160"/>
        <w:ind w:left="259"/>
      </w:pPr>
      <w:r>
        <w:t>An administrator creates the organization and manages its members from one organization workspace.</w:t>
      </w:r>
    </w:p>
    <w:p>
      <w:pPr>
        <w:spacing w:after="60"/>
      </w:pPr>
      <w:r>
        <w:rPr>
          <w:b/>
          <w:color w:val="1F374E"/>
        </w:rPr>
        <w:t>Invite and manage members</w:t>
      </w:r>
    </w:p>
    <w:p>
      <w:pPr>
        <w:spacing w:after="160"/>
        <w:ind w:left="259"/>
      </w:pPr>
      <w:r>
        <w:t>Invite members by email and manage their organization access as your team changes. Members can be blocked or unblocked when needed.</w:t>
      </w:r>
    </w:p>
    <w:p>
      <w:pPr>
        <w:spacing w:after="60"/>
      </w:pPr>
      <w:r>
        <w:rPr>
          <w:b/>
          <w:color w:val="1F374E"/>
        </w:rPr>
        <w:t>Set organization permissions</w:t>
      </w:r>
    </w:p>
    <w:p>
      <w:pPr>
        <w:spacing w:after="160"/>
        <w:ind w:left="259"/>
      </w:pPr>
      <w:r>
        <w:t>Control how members can use Organization Storage, search the organization’s storage during plagiarism checks, and view documents stored there.</w:t>
      </w:r>
    </w:p>
    <w:p>
      <w:pPr>
        <w:spacing w:after="60"/>
      </w:pPr>
      <w:r>
        <w:rPr>
          <w:b/>
          <w:color w:val="1F374E"/>
        </w:rPr>
        <w:t>Allocate checking resources</w:t>
      </w:r>
    </w:p>
    <w:p>
      <w:pPr>
        <w:spacing w:after="160"/>
        <w:ind w:left="259"/>
      </w:pPr>
      <w:r>
        <w:t>Administrators can allocate organization plagiarism and AI word balances to members according to the team’s needs.</w:t>
      </w:r>
    </w:p>
    <w:p>
      <w:pPr>
        <w:spacing w:after="60"/>
      </w:pPr>
      <w:r>
        <w:rPr>
          <w:b/>
          <w:color w:val="1F374E"/>
        </w:rPr>
        <w:t>Personal and organization balances stay separate</w:t>
      </w:r>
    </w:p>
    <w:p>
      <w:pPr>
        <w:spacing w:after="160"/>
        <w:ind w:left="259"/>
      </w:pPr>
      <w:r>
        <w:t>A member can keep a private personal balance that the administrator and other organization members do not access, while also using organization resources allocated by the administrator.</w:t>
      </w:r>
    </w:p>
    <w:p>
      <w:pPr>
        <w:spacing w:after="60"/>
      </w:pPr>
      <w:r>
        <w:rPr>
          <w:b/>
          <w:color w:val="1F374E"/>
        </w:rPr>
        <w:t>Contextual CTA</w:t>
      </w:r>
    </w:p>
    <w:p>
      <w:pPr>
        <w:spacing w:after="160"/>
        <w:ind w:left="259"/>
      </w:pPr>
      <w:r>
        <w:t>Learn more about Organization Management</w:t>
      </w:r>
    </w:p>
    <w:p>
      <w:pPr>
        <w:spacing w:after="60"/>
      </w:pPr>
      <w:r>
        <w:rPr>
          <w:b/>
          <w:color w:val="1F374E"/>
        </w:rPr>
        <w:t>Destination</w:t>
      </w:r>
    </w:p>
    <w:p>
      <w:pPr>
        <w:spacing w:after="160"/>
        <w:ind w:left="259"/>
      </w:pPr>
      <w:r>
        <w:t>/organization-management</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Organization Management guardrails</w:t>
            </w:r>
          </w:p>
          <w:p>
            <w:pPr>
              <w:pStyle w:val="ListBullet"/>
              <w:spacing w:after="40"/>
            </w:pPr>
            <w:r>
              <w:rPr>
                <w:sz w:val="18"/>
              </w:rPr>
              <w:t>Do not invent SSO, departments, custom role tiers, seat management, project assignments, approval chains, audit logs, analytics dashboards or team productivity features.</w:t>
            </w:r>
          </w:p>
          <w:p>
            <w:pPr>
              <w:pStyle w:val="ListBullet"/>
              <w:spacing w:after="40"/>
            </w:pPr>
            <w:r>
              <w:rPr>
                <w:sz w:val="18"/>
              </w:rPr>
              <w:t>Do not imply the administrator can view or consume a member’s private personal balance.</w:t>
            </w:r>
          </w:p>
          <w:p>
            <w:pPr>
              <w:pStyle w:val="ListBullet"/>
              <w:spacing w:after="40"/>
            </w:pPr>
            <w:r>
              <w:rPr>
                <w:sz w:val="18"/>
              </w:rPr>
              <w:t>Permissions shown visually must map only to confirmed Organization Management facts.</w:t>
            </w:r>
          </w:p>
        </w:tc>
      </w:tr>
    </w:tbl>
    <w:p>
      <w:pPr>
        <w:spacing w:after="60"/>
      </w:pPr>
    </w:p>
    <w:p>
      <w:pPr>
        <w:pStyle w:val="Heading2"/>
      </w:pPr>
      <w:r>
        <w:t>C. REAL REPORT EVIDENCE</w:t>
      </w:r>
    </w:p>
    <w:p>
      <w:pPr>
        <w:spacing w:after="60"/>
      </w:pPr>
      <w:r>
        <w:rPr>
          <w:b/>
          <w:color w:val="1F374E"/>
        </w:rPr>
        <w:t>Eyebrow</w:t>
      </w:r>
    </w:p>
    <w:p>
      <w:pPr>
        <w:spacing w:after="160"/>
        <w:ind w:left="259"/>
      </w:pPr>
      <w:r>
        <w:t>Report Evidence</w:t>
      </w:r>
    </w:p>
    <w:p>
      <w:pPr>
        <w:spacing w:after="60"/>
      </w:pPr>
      <w:r>
        <w:rPr>
          <w:b/>
          <w:color w:val="1F374E"/>
        </w:rPr>
        <w:t>H2</w:t>
      </w:r>
    </w:p>
    <w:p>
      <w:pPr>
        <w:spacing w:after="160"/>
        <w:ind w:left="259"/>
      </w:pPr>
      <w:r>
        <w:t>Review the source evidence behind each check</w:t>
      </w:r>
    </w:p>
    <w:p>
      <w:pPr>
        <w:spacing w:after="60"/>
      </w:pPr>
      <w:r>
        <w:rPr>
          <w:b/>
          <w:color w:val="1F374E"/>
        </w:rPr>
        <w:t>Intro</w:t>
      </w:r>
    </w:p>
    <w:p>
      <w:pPr>
        <w:spacing w:after="160"/>
        <w:ind w:left="259"/>
      </w:pPr>
      <w:r>
        <w:t>PlagiarismSearch does not decide whether a passage is plagiarism. The report shows matched or similar text and the sources found for it, so your team can review the context before deciding what needs attention.</w:t>
      </w:r>
    </w:p>
    <w:p>
      <w:pPr>
        <w:spacing w:after="60"/>
      </w:pPr>
      <w:r>
        <w:rPr>
          <w:b/>
          <w:color w:val="1F374E"/>
        </w:rPr>
        <w:t>Matched text</w:t>
      </w:r>
    </w:p>
    <w:p>
      <w:pPr>
        <w:spacing w:after="160"/>
        <w:ind w:left="259"/>
      </w:pPr>
      <w:r>
        <w:t>See the passages where matching or similar text was found.</w:t>
      </w:r>
    </w:p>
    <w:p>
      <w:pPr>
        <w:spacing w:after="60"/>
      </w:pPr>
      <w:r>
        <w:rPr>
          <w:b/>
          <w:color w:val="1F374E"/>
        </w:rPr>
        <w:t>Source evidence</w:t>
      </w:r>
    </w:p>
    <w:p>
      <w:pPr>
        <w:spacing w:after="160"/>
        <w:ind w:left="259"/>
      </w:pPr>
      <w:r>
        <w:t>Review the corresponding sources and compare them with the checked text.</w:t>
      </w:r>
    </w:p>
    <w:p>
      <w:pPr>
        <w:spacing w:after="60"/>
      </w:pPr>
      <w:r>
        <w:rPr>
          <w:b/>
          <w:color w:val="1F374E"/>
        </w:rPr>
        <w:t>Interactive review</w:t>
      </w:r>
    </w:p>
    <w:p>
      <w:pPr>
        <w:spacing w:after="160"/>
        <w:ind w:left="259"/>
      </w:pPr>
      <w:r>
        <w:t>Select a match in the report to focus on the relevant source and inspect the result in context.</w:t>
      </w:r>
    </w:p>
    <w:p>
      <w:pPr>
        <w:spacing w:after="60"/>
      </w:pPr>
      <w:r>
        <w:rPr>
          <w:b/>
          <w:color w:val="1F374E"/>
        </w:rPr>
        <w:t>Closing line</w:t>
      </w:r>
    </w:p>
    <w:p>
      <w:pPr>
        <w:spacing w:after="160"/>
        <w:ind w:left="259"/>
      </w:pPr>
      <w:r>
        <w:t>The report supports review and decision-making; it is not an automatic plagiarism verdict.</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Report implementation rule</w:t>
            </w:r>
          </w:p>
          <w:p>
            <w:pPr>
              <w:pStyle w:val="ListBullet"/>
              <w:spacing w:after="40"/>
            </w:pPr>
            <w:r>
              <w:rPr>
                <w:sz w:val="18"/>
              </w:rPr>
              <w:t>Use the real approved PlagiarismSearch report language/visual system or a truthful precomputed state based on it.</w:t>
            </w:r>
          </w:p>
          <w:p>
            <w:pPr>
              <w:pStyle w:val="ListBullet"/>
              <w:spacing w:after="40"/>
            </w:pPr>
            <w:r>
              <w:rPr>
                <w:sz w:val="18"/>
              </w:rPr>
              <w:t>Do not invent report fields, thresholds, red/yellow rules, “plagiarism X%” verdicts, authenticity proof or success guarantees.</w:t>
            </w:r>
          </w:p>
          <w:p>
            <w:pPr>
              <w:pStyle w:val="ListBullet"/>
              <w:spacing w:after="40"/>
            </w:pPr>
            <w:r>
              <w:rPr>
                <w:sz w:val="18"/>
              </w:rPr>
              <w:t>This is supporting Business evidence, not a second full homepage report lesson; keep it proportionate to the page story.</w:t>
            </w:r>
          </w:p>
        </w:tc>
      </w:tr>
    </w:tbl>
    <w:p>
      <w:pPr>
        <w:spacing w:after="60"/>
      </w:pPr>
    </w:p>
    <w:p>
      <w:pPr>
        <w:pStyle w:val="Heading2"/>
      </w:pPr>
      <w:r>
        <w:t>D. SOURCES + ORGANIZATION STORAGE</w:t>
      </w:r>
    </w:p>
    <w:p>
      <w:pPr>
        <w:spacing w:after="60"/>
      </w:pPr>
      <w:r>
        <w:rPr>
          <w:b/>
          <w:color w:val="1F374E"/>
        </w:rPr>
        <w:t>Eyebrow</w:t>
      </w:r>
    </w:p>
    <w:p>
      <w:pPr>
        <w:spacing w:after="160"/>
        <w:ind w:left="259"/>
      </w:pPr>
      <w:r>
        <w:t>Sources &amp; Organization Storage</w:t>
      </w:r>
    </w:p>
    <w:p>
      <w:pPr>
        <w:spacing w:after="60"/>
      </w:pPr>
      <w:r>
        <w:rPr>
          <w:b/>
          <w:color w:val="1F374E"/>
        </w:rPr>
        <w:t>H2</w:t>
      </w:r>
    </w:p>
    <w:p>
      <w:pPr>
        <w:spacing w:after="160"/>
        <w:ind w:left="259"/>
      </w:pPr>
      <w:r>
        <w:t>Use Organization Storage as a controlled comparison source</w:t>
      </w:r>
    </w:p>
    <w:p>
      <w:pPr>
        <w:spacing w:after="60"/>
      </w:pPr>
      <w:r>
        <w:rPr>
          <w:b/>
          <w:color w:val="1F374E"/>
        </w:rPr>
        <w:t>Intro</w:t>
      </w:r>
    </w:p>
    <w:p>
      <w:pPr>
        <w:spacing w:after="160"/>
        <w:ind w:left="259"/>
      </w:pPr>
      <w:r>
        <w:t>PlagiarismSearch supports multiple source options in its scan settings, including web search, academic database search, personal storage search, and organization storage search.</w:t>
      </w:r>
    </w:p>
    <w:p>
      <w:pPr>
        <w:spacing w:after="60"/>
      </w:pPr>
      <w:r>
        <w:rPr>
          <w:b/>
          <w:color w:val="1F374E"/>
        </w:rPr>
        <w:t>Business-specific explanation</w:t>
      </w:r>
    </w:p>
    <w:p>
      <w:pPr>
        <w:spacing w:after="160"/>
        <w:ind w:left="259"/>
      </w:pPr>
      <w:r>
        <w:t>For a team, Organization Storage can become an additional comparison source when the relevant organization permissions and search option are enabled.</w:t>
      </w:r>
    </w:p>
    <w:p>
      <w:pPr>
        <w:spacing w:after="60"/>
      </w:pPr>
      <w:r>
        <w:rPr>
          <w:b/>
          <w:color w:val="1F374E"/>
        </w:rPr>
        <w:t>Critical clarification</w:t>
      </w:r>
    </w:p>
    <w:p>
      <w:pPr>
        <w:spacing w:after="160"/>
        <w:ind w:left="259"/>
      </w:pPr>
      <w:r>
        <w:t>Running a plagiarism check does not automatically add the checked document to Organization Storage. Adding content to Storage is a separate action and remains distinct from the normal checking and report workflow.</w:t>
      </w:r>
    </w:p>
    <w:p>
      <w:pPr>
        <w:spacing w:after="60"/>
      </w:pPr>
      <w:r>
        <w:rPr>
          <w:b/>
          <w:color w:val="1F374E"/>
        </w:rPr>
        <w:t>Supporting line</w:t>
      </w:r>
    </w:p>
    <w:p>
      <w:pPr>
        <w:spacing w:after="160"/>
        <w:ind w:left="259"/>
      </w:pPr>
      <w:r>
        <w:t>This lets an organization decide when its own stored content should become part of future comparisons instead of treating every checked document as repository content.</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Storage link rule</w:t>
            </w:r>
          </w:p>
          <w:p>
            <w:pPr>
              <w:pStyle w:val="ListBullet"/>
              <w:spacing w:after="40"/>
            </w:pPr>
            <w:r>
              <w:rPr>
                <w:sz w:val="18"/>
              </w:rPr>
              <w:t>Do not add a prominent /plagiarism-database CTA in this implementation unless that destination has completed factual QA before the page is finalized.</w:t>
            </w:r>
          </w:p>
          <w:p>
            <w:pPr>
              <w:pStyle w:val="ListBullet"/>
              <w:spacing w:after="40"/>
            </w:pPr>
            <w:r>
              <w:rPr>
                <w:sz w:val="18"/>
              </w:rPr>
              <w:t>Do not use stale Storage pricing/limits or legacy repository claims from the current /plagiarism-database page as source of truth.</w:t>
            </w:r>
          </w:p>
          <w:p>
            <w:pPr>
              <w:pStyle w:val="ListBullet"/>
              <w:spacing w:after="40"/>
            </w:pPr>
            <w:r>
              <w:rPr>
                <w:sz w:val="18"/>
              </w:rPr>
              <w:t>Normal checking, report retention and Organization Storage must remain visually and semantically distinct.</w:t>
            </w:r>
          </w:p>
        </w:tc>
      </w:tr>
    </w:tbl>
    <w:p>
      <w:pPr>
        <w:spacing w:after="60"/>
      </w:pPr>
    </w:p>
    <w:p>
      <w:pPr>
        <w:pStyle w:val="Heading2"/>
      </w:pPr>
      <w:r>
        <w:t>E. REAL BUSINESS WORKFLOWS</w:t>
      </w:r>
    </w:p>
    <w:p>
      <w:pPr>
        <w:spacing w:after="60"/>
      </w:pPr>
      <w:r>
        <w:rPr>
          <w:b/>
          <w:color w:val="1F374E"/>
        </w:rPr>
        <w:t>Eyebrow</w:t>
      </w:r>
    </w:p>
    <w:p>
      <w:pPr>
        <w:spacing w:after="160"/>
        <w:ind w:left="259"/>
      </w:pPr>
      <w:r>
        <w:t>Business Workflows</w:t>
      </w:r>
    </w:p>
    <w:p>
      <w:pPr>
        <w:spacing w:after="60"/>
      </w:pPr>
      <w:r>
        <w:rPr>
          <w:b/>
          <w:color w:val="1F374E"/>
        </w:rPr>
        <w:t>H2</w:t>
      </w:r>
    </w:p>
    <w:p>
      <w:pPr>
        <w:spacing w:after="160"/>
        <w:ind w:left="259"/>
      </w:pPr>
      <w:r>
        <w:t>Fit plagiarism checking into the way your team already reviews content</w:t>
      </w:r>
    </w:p>
    <w:p>
      <w:pPr>
        <w:spacing w:after="60"/>
      </w:pPr>
      <w:r>
        <w:rPr>
          <w:b/>
          <w:color w:val="1F374E"/>
        </w:rPr>
        <w:t>Intro</w:t>
      </w:r>
    </w:p>
    <w:p>
      <w:pPr>
        <w:spacing w:after="160"/>
        <w:ind w:left="259"/>
      </w:pPr>
      <w:r>
        <w:t>The same organization controls can support different recurring review workflows without requiring a separate plagiarism product for each type of business.</w:t>
      </w:r>
    </w:p>
    <w:p>
      <w:pPr>
        <w:spacing w:after="60"/>
      </w:pPr>
      <w:r>
        <w:rPr>
          <w:b/>
          <w:color w:val="1F374E"/>
        </w:rPr>
        <w:t>Agencies and content teams</w:t>
      </w:r>
    </w:p>
    <w:p>
      <w:pPr>
        <w:spacing w:after="160"/>
        <w:ind w:left="259"/>
      </w:pPr>
      <w:r>
        <w:t>Give writers, editors, and reviewers access to organization resources while the administrator manages permissions and balances. Review source matches before work is delivered or published.</w:t>
      </w:r>
    </w:p>
    <w:p>
      <w:pPr>
        <w:spacing w:after="60"/>
      </w:pPr>
      <w:r>
        <w:rPr>
          <w:b/>
          <w:color w:val="1F374E"/>
        </w:rPr>
        <w:t>In-house teams</w:t>
      </w:r>
    </w:p>
    <w:p>
      <w:pPr>
        <w:spacing w:after="160"/>
        <w:ind w:left="259"/>
      </w:pPr>
      <w:r>
        <w:t>Coordinate recurring plagiarism checks across a team while each member can keep personal resources separate from the organization balances assigned to them.</w:t>
      </w:r>
    </w:p>
    <w:p>
      <w:pPr>
        <w:spacing w:after="60"/>
      </w:pPr>
      <w:r>
        <w:rPr>
          <w:b/>
          <w:color w:val="1F374E"/>
        </w:rPr>
        <w:t>Publishers and recurring document review</w:t>
      </w:r>
    </w:p>
    <w:p>
      <w:pPr>
        <w:spacing w:after="160"/>
        <w:ind w:left="259"/>
      </w:pPr>
      <w:r>
        <w:t>Use Organization Storage when your own repository should be part of comparison, and use the API for workflows that need plagiarism checks to run from another system.</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Use-case rules</w:t>
            </w:r>
          </w:p>
          <w:p>
            <w:pPr>
              <w:pStyle w:val="ListBullet"/>
              <w:spacing w:after="40"/>
            </w:pPr>
            <w:r>
              <w:rPr>
                <w:sz w:val="18"/>
              </w:rPr>
              <w:t>These are operational scenarios, not SEO persona pages.</w:t>
            </w:r>
          </w:p>
          <w:p>
            <w:pPr>
              <w:pStyle w:val="ListBullet"/>
              <w:spacing w:after="40"/>
            </w:pPr>
            <w:r>
              <w:rPr>
                <w:sz w:val="18"/>
              </w:rPr>
              <w:t>Do not link to removed Publishers/Journals/Manuscript/Writers routes.</w:t>
            </w:r>
          </w:p>
          <w:p>
            <w:pPr>
              <w:pStyle w:val="ListBullet"/>
              <w:spacing w:after="40"/>
            </w:pPr>
            <w:r>
              <w:rPr>
                <w:sz w:val="18"/>
              </w:rPr>
              <w:t>Do not add speculative verticals such as legal, healthcare, government, HR or compliance unless later supported by product/sales evidence.</w:t>
            </w:r>
          </w:p>
        </w:tc>
      </w:tr>
    </w:tbl>
    <w:p>
      <w:pPr>
        <w:spacing w:after="60"/>
      </w:pPr>
    </w:p>
    <w:p>
      <w:pPr>
        <w:pStyle w:val="Heading2"/>
      </w:pPr>
      <w:r>
        <w:t>F. ORGANIZATION WORKSPACE VS API</w:t>
      </w:r>
    </w:p>
    <w:p>
      <w:pPr>
        <w:spacing w:after="60"/>
      </w:pPr>
      <w:r>
        <w:rPr>
          <w:b/>
          <w:color w:val="1F374E"/>
        </w:rPr>
        <w:t>Eyebrow</w:t>
      </w:r>
    </w:p>
    <w:p>
      <w:pPr>
        <w:spacing w:after="160"/>
        <w:ind w:left="259"/>
      </w:pPr>
      <w:r>
        <w:t>Choose Your Workflow</w:t>
      </w:r>
    </w:p>
    <w:p>
      <w:pPr>
        <w:spacing w:after="60"/>
      </w:pPr>
      <w:r>
        <w:rPr>
          <w:b/>
          <w:color w:val="1F374E"/>
        </w:rPr>
        <w:t>H2</w:t>
      </w:r>
    </w:p>
    <w:p>
      <w:pPr>
        <w:spacing w:after="160"/>
        <w:ind w:left="259"/>
      </w:pPr>
      <w:r>
        <w:t>Work in PlagiarismSearch or connect checking to your own system</w:t>
      </w:r>
    </w:p>
    <w:p>
      <w:pPr>
        <w:spacing w:after="60"/>
      </w:pPr>
      <w:r>
        <w:rPr>
          <w:b/>
          <w:color w:val="1F374E"/>
        </w:rPr>
        <w:t>Intro</w:t>
      </w:r>
    </w:p>
    <w:p>
      <w:pPr>
        <w:spacing w:after="160"/>
        <w:ind w:left="259"/>
      </w:pPr>
      <w:r>
        <w:t>Teams can work directly in PlagiarismSearch or use the API when plagiarism checking needs to become part of another application or automated workflow.</w:t>
      </w:r>
    </w:p>
    <w:p>
      <w:pPr>
        <w:spacing w:after="60"/>
      </w:pPr>
      <w:r>
        <w:rPr>
          <w:b/>
          <w:color w:val="1F374E"/>
        </w:rPr>
        <w:t>Path A - Organization workspace</w:t>
      </w:r>
    </w:p>
    <w:p>
      <w:pPr>
        <w:spacing w:after="160"/>
        <w:ind w:left="259"/>
      </w:pPr>
      <w:r>
        <w:t>Choose the organization workspace when team members should run checks and review reports directly in PlagiarismSearch. The administrator manages members, permissions, and organization resources while each member works through their own account access.</w:t>
      </w:r>
    </w:p>
    <w:p>
      <w:pPr>
        <w:spacing w:after="60"/>
      </w:pPr>
      <w:r>
        <w:rPr>
          <w:b/>
          <w:color w:val="1F374E"/>
        </w:rPr>
        <w:t>Path A CTA</w:t>
      </w:r>
    </w:p>
    <w:p>
      <w:pPr>
        <w:spacing w:after="160"/>
        <w:ind w:left="259"/>
      </w:pPr>
      <w:r>
        <w:t>Learn about Organization Management</w:t>
      </w:r>
    </w:p>
    <w:p>
      <w:pPr>
        <w:spacing w:after="60"/>
      </w:pPr>
      <w:r>
        <w:rPr>
          <w:b/>
          <w:color w:val="1F374E"/>
        </w:rPr>
        <w:t>Path A destination</w:t>
      </w:r>
    </w:p>
    <w:p>
      <w:pPr>
        <w:spacing w:after="160"/>
        <w:ind w:left="259"/>
      </w:pPr>
      <w:r>
        <w:t>/organization-management</w:t>
      </w:r>
    </w:p>
    <w:p>
      <w:pPr>
        <w:spacing w:after="60"/>
      </w:pPr>
      <w:r>
        <w:rPr>
          <w:b/>
          <w:color w:val="1F374E"/>
        </w:rPr>
        <w:t>Path B - API integration</w:t>
      </w:r>
    </w:p>
    <w:p>
      <w:pPr>
        <w:spacing w:after="160"/>
        <w:ind w:left="259"/>
      </w:pPr>
      <w:r>
        <w:t>Use the PlagiarismSearch API when checks need to be triggered from another application or workflow. API access may be included in some packages or purchased separately.</w:t>
      </w:r>
    </w:p>
    <w:p>
      <w:pPr>
        <w:spacing w:after="60"/>
      </w:pPr>
      <w:r>
        <w:rPr>
          <w:b/>
          <w:color w:val="1F374E"/>
        </w:rPr>
        <w:t>Path B CTA</w:t>
      </w:r>
    </w:p>
    <w:p>
      <w:pPr>
        <w:spacing w:after="160"/>
        <w:ind w:left="259"/>
      </w:pPr>
      <w:r>
        <w:t>Explore the Plagiarism API</w:t>
      </w:r>
    </w:p>
    <w:p>
      <w:pPr>
        <w:spacing w:after="60"/>
      </w:pPr>
      <w:r>
        <w:rPr>
          <w:b/>
          <w:color w:val="1F374E"/>
        </w:rPr>
        <w:t>Path B destination</w:t>
      </w:r>
    </w:p>
    <w:p>
      <w:pPr>
        <w:spacing w:after="160"/>
        <w:ind w:left="259"/>
      </w:pPr>
      <w:r>
        <w:t>/plagiarism-api</w:t>
      </w:r>
    </w:p>
    <w:p>
      <w:pPr>
        <w:spacing w:after="60"/>
      </w:pPr>
      <w:r>
        <w:rPr>
          <w:b/>
          <w:color w:val="1F374E"/>
        </w:rPr>
        <w:t>Optional supporting line</w:t>
      </w:r>
    </w:p>
    <w:p>
      <w:pPr>
        <w:spacing w:after="160"/>
        <w:ind w:left="259"/>
      </w:pPr>
      <w:r>
        <w:t>AI checking can also be used through the PlagiarismSearch API when the account has available AI-word balance.</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API scope</w:t>
            </w:r>
          </w:p>
          <w:p>
            <w:pPr>
              <w:pStyle w:val="ListBullet"/>
              <w:spacing w:after="40"/>
            </w:pPr>
            <w:r>
              <w:rPr>
                <w:sz w:val="18"/>
              </w:rPr>
              <w:t>Do not reproduce the API Request/Response/Webhook hero or developer documentation on this page.</w:t>
            </w:r>
          </w:p>
          <w:p>
            <w:pPr>
              <w:pStyle w:val="ListBullet"/>
              <w:spacing w:after="40"/>
            </w:pPr>
            <w:r>
              <w:rPr>
                <w:sz w:val="18"/>
              </w:rPr>
              <w:t>Do not claim universal API access, universal free trial, batch processing, custom integration delivery, SLA or implementation time.</w:t>
            </w:r>
          </w:p>
          <w:p>
            <w:pPr>
              <w:pStyle w:val="ListBullet"/>
              <w:spacing w:after="40"/>
            </w:pPr>
            <w:r>
              <w:rPr>
                <w:sz w:val="18"/>
              </w:rPr>
              <w:t>API is one deployment path; /plagiarism-api remains the technical/commercial owner.</w:t>
            </w:r>
          </w:p>
        </w:tc>
      </w:tr>
    </w:tbl>
    <w:p>
      <w:pPr>
        <w:spacing w:after="60"/>
      </w:pPr>
    </w:p>
    <w:p>
      <w:pPr>
        <w:pStyle w:val="Heading2"/>
      </w:pPr>
      <w:r>
        <w:t>G. AI AS A SECONDARY ORGANIZATION CAPABILITY</w:t>
      </w:r>
    </w:p>
    <w:p>
      <w:r>
        <w:t>This content does not require a separate physical section. It may live inside Organization Management, the workflow choice, or another compact secondary treatment.</w:t>
      </w:r>
    </w:p>
    <w:p>
      <w:pPr>
        <w:spacing w:after="60"/>
      </w:pPr>
      <w:r>
        <w:rPr>
          <w:b/>
          <w:color w:val="1F374E"/>
        </w:rPr>
        <w:t>Optional heading</w:t>
      </w:r>
    </w:p>
    <w:p>
      <w:pPr>
        <w:spacing w:after="160"/>
        <w:ind w:left="259"/>
      </w:pPr>
      <w:r>
        <w:t>Plagiarism and AI checks remain separate</w:t>
      </w:r>
    </w:p>
    <w:p>
      <w:pPr>
        <w:spacing w:after="60"/>
      </w:pPr>
      <w:r>
        <w:rPr>
          <w:b/>
          <w:color w:val="1F374E"/>
        </w:rPr>
        <w:t>Exact copy</w:t>
      </w:r>
    </w:p>
    <w:p>
      <w:pPr>
        <w:spacing w:after="160"/>
        <w:ind w:left="259"/>
      </w:pPr>
      <w:r>
        <w:t>Administrators can allocate both plagiarism and AI word balances through the organization. AI detection remains a separate analysis from plagiarism checking and uses its own AI-word balance.</w:t>
      </w:r>
    </w:p>
    <w:p>
      <w:pPr>
        <w:spacing w:after="60"/>
      </w:pPr>
      <w:r>
        <w:rPr>
          <w:b/>
          <w:color w:val="1F374E"/>
        </w:rPr>
        <w:t>Optional contextual CTA</w:t>
      </w:r>
    </w:p>
    <w:p>
      <w:pPr>
        <w:spacing w:after="160"/>
        <w:ind w:left="259"/>
      </w:pPr>
      <w:r>
        <w:t>Explore AI Content Detector</w:t>
      </w:r>
    </w:p>
    <w:p>
      <w:pPr>
        <w:spacing w:after="60"/>
      </w:pPr>
      <w:r>
        <w:rPr>
          <w:b/>
          <w:color w:val="1F374E"/>
        </w:rPr>
        <w:t>Destination</w:t>
      </w:r>
    </w:p>
    <w:p>
      <w:pPr>
        <w:spacing w:after="160"/>
        <w:ind w:left="259"/>
      </w:pPr>
      <w:r>
        <w:t>/ai-content-detector</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AI rules</w:t>
            </w:r>
          </w:p>
          <w:p>
            <w:pPr>
              <w:pStyle w:val="ListBullet"/>
              <w:spacing w:after="40"/>
            </w:pPr>
            <w:r>
              <w:rPr>
                <w:sz w:val="18"/>
              </w:rPr>
              <w:t>Do not create a large second product story.</w:t>
            </w:r>
          </w:p>
          <w:p>
            <w:pPr>
              <w:pStyle w:val="ListBullet"/>
              <w:spacing w:after="40"/>
            </w:pPr>
            <w:r>
              <w:rPr>
                <w:sz w:val="18"/>
              </w:rPr>
              <w:t>Do not equate AI generation with plagiarism or use AI results as proof of authorship.</w:t>
            </w:r>
          </w:p>
          <w:p>
            <w:pPr>
              <w:pStyle w:val="ListBullet"/>
              <w:spacing w:after="40"/>
            </w:pPr>
            <w:r>
              <w:rPr>
                <w:sz w:val="18"/>
              </w:rPr>
              <w:t>Do not publish AI accuracy percentages, named-model coverage or unsupported model claims.</w:t>
            </w:r>
          </w:p>
        </w:tc>
      </w:tr>
    </w:tbl>
    <w:p>
      <w:pPr>
        <w:spacing w:after="60"/>
      </w:pPr>
    </w:p>
    <w:p>
      <w:pPr>
        <w:pStyle w:val="Heading2"/>
      </w:pPr>
      <w:r>
        <w:t>H. DATA HANDLING</w:t>
      </w:r>
    </w:p>
    <w:p>
      <w:pPr>
        <w:spacing w:after="60"/>
      </w:pPr>
      <w:r>
        <w:rPr>
          <w:b/>
          <w:color w:val="1F374E"/>
        </w:rPr>
        <w:t>Eyebrow</w:t>
      </w:r>
    </w:p>
    <w:p>
      <w:pPr>
        <w:spacing w:after="160"/>
        <w:ind w:left="259"/>
      </w:pPr>
      <w:r>
        <w:t>Data Handling</w:t>
      </w:r>
    </w:p>
    <w:p>
      <w:pPr>
        <w:spacing w:after="60"/>
      </w:pPr>
      <w:r>
        <w:rPr>
          <w:b/>
          <w:color w:val="1F374E"/>
        </w:rPr>
        <w:t>H2</w:t>
      </w:r>
    </w:p>
    <w:p>
      <w:pPr>
        <w:spacing w:after="160"/>
        <w:ind w:left="259"/>
      </w:pPr>
      <w:r>
        <w:t>Keep checked documents, reports, and Organization Storage distinct</w:t>
      </w:r>
    </w:p>
    <w:p>
      <w:pPr>
        <w:spacing w:after="60"/>
      </w:pPr>
      <w:r>
        <w:rPr>
          <w:b/>
          <w:color w:val="1F374E"/>
        </w:rPr>
        <w:t>Intro</w:t>
      </w:r>
    </w:p>
    <w:p>
      <w:pPr>
        <w:spacing w:after="160"/>
        <w:ind w:left="259"/>
      </w:pPr>
      <w:r>
        <w:t>A checked document, a generated report, and content intentionally added to Organization Storage are different parts of the workflow.</w:t>
      </w:r>
    </w:p>
    <w:p>
      <w:pPr>
        <w:spacing w:after="60"/>
      </w:pPr>
      <w:r>
        <w:rPr>
          <w:b/>
          <w:color w:val="1F374E"/>
        </w:rPr>
        <w:t>Checked document</w:t>
      </w:r>
    </w:p>
    <w:p>
      <w:pPr>
        <w:spacing w:after="160"/>
        <w:ind w:left="259"/>
      </w:pPr>
      <w:r>
        <w:t>Uploaded source documents are not retained as stored documents after the check.</w:t>
      </w:r>
    </w:p>
    <w:p>
      <w:pPr>
        <w:spacing w:after="60"/>
      </w:pPr>
      <w:r>
        <w:rPr>
          <w:b/>
          <w:color w:val="1F374E"/>
        </w:rPr>
        <w:t>Generated report</w:t>
      </w:r>
    </w:p>
    <w:p>
      <w:pPr>
        <w:spacing w:after="160"/>
        <w:ind w:left="259"/>
      </w:pPr>
      <w:r>
        <w:t>Generated reports can remain available in the account for convenience. Users can permanently delete their reports.</w:t>
      </w:r>
    </w:p>
    <w:p>
      <w:pPr>
        <w:spacing w:after="60"/>
      </w:pPr>
      <w:r>
        <w:rPr>
          <w:b/>
          <w:color w:val="1F374E"/>
        </w:rPr>
        <w:t>Organization Storage</w:t>
      </w:r>
    </w:p>
    <w:p>
      <w:pPr>
        <w:spacing w:after="160"/>
        <w:ind w:left="259"/>
      </w:pPr>
      <w:r>
        <w:t>Organization Storage is a separate repository workflow. Content is added to it separately and access is governed by organization permissions.</w:t>
      </w:r>
    </w:p>
    <w:p>
      <w:pPr>
        <w:spacing w:after="60"/>
      </w:pPr>
      <w:r>
        <w:rPr>
          <w:b/>
          <w:color w:val="1F374E"/>
        </w:rPr>
        <w:t>Closing line</w:t>
      </w:r>
    </w:p>
    <w:p>
      <w:pPr>
        <w:spacing w:after="160"/>
        <w:ind w:left="259"/>
      </w:pPr>
      <w:r>
        <w:t>A normal plagiarism check should not be confused with intentionally adding content to Organization Storage.</w:t>
      </w:r>
    </w:p>
    <w:p>
      <w:pPr>
        <w:spacing w:after="60"/>
      </w:pPr>
      <w:r>
        <w:rPr>
          <w:b/>
          <w:color w:val="1F374E"/>
        </w:rPr>
        <w:t>CTA</w:t>
      </w:r>
    </w:p>
    <w:p>
      <w:pPr>
        <w:spacing w:after="160"/>
        <w:ind w:left="259"/>
      </w:pPr>
      <w:r>
        <w:t>Read the Privacy Policy</w:t>
      </w:r>
    </w:p>
    <w:p>
      <w:pPr>
        <w:spacing w:after="60"/>
      </w:pPr>
      <w:r>
        <w:rPr>
          <w:b/>
          <w:color w:val="1F374E"/>
        </w:rPr>
        <w:t>Destination</w:t>
      </w:r>
    </w:p>
    <w:p>
      <w:pPr>
        <w:spacing w:after="160"/>
        <w:ind w:left="259"/>
      </w:pPr>
      <w:r>
        <w:t>/policy</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Data-handling restrictions</w:t>
            </w:r>
          </w:p>
          <w:p>
            <w:pPr>
              <w:pStyle w:val="ListBullet"/>
              <w:spacing w:after="40"/>
            </w:pPr>
            <w:r>
              <w:rPr>
                <w:sz w:val="18"/>
              </w:rPr>
              <w:t>Do not say “privacy and security are guaranteed,” “always deleted forever,” “never stored anywhere,” “never leaves your browser,” or use unsupported security-certification language.</w:t>
            </w:r>
          </w:p>
          <w:p>
            <w:pPr>
              <w:pStyle w:val="ListBullet"/>
              <w:spacing w:after="40"/>
            </w:pPr>
            <w:r>
              <w:rPr>
                <w:sz w:val="18"/>
              </w:rPr>
              <w:t>Do not invent exact temporary-processing, backup or deletion timing.</w:t>
            </w:r>
          </w:p>
          <w:p>
            <w:pPr>
              <w:pStyle w:val="ListBullet"/>
              <w:spacing w:after="40"/>
            </w:pPr>
            <w:r>
              <w:rPr>
                <w:sz w:val="18"/>
              </w:rPr>
              <w:t>Do not conflate report retention with Organization Storage.</w:t>
            </w:r>
          </w:p>
        </w:tc>
      </w:tr>
    </w:tbl>
    <w:p>
      <w:pPr>
        <w:spacing w:after="60"/>
      </w:pPr>
    </w:p>
    <w:p>
      <w:pPr>
        <w:pStyle w:val="Heading2"/>
      </w:pPr>
      <w:r>
        <w:t>I. PLANS &amp; CUSTOM COMMERCIAL REQUIREMENTS</w:t>
      </w:r>
    </w:p>
    <w:p>
      <w:pPr>
        <w:spacing w:after="60"/>
      </w:pPr>
      <w:r>
        <w:rPr>
          <w:b/>
          <w:color w:val="1F374E"/>
        </w:rPr>
        <w:t>Eyebrow</w:t>
      </w:r>
    </w:p>
    <w:p>
      <w:pPr>
        <w:spacing w:after="160"/>
        <w:ind w:left="259"/>
      </w:pPr>
      <w:r>
        <w:t>Plans &amp; Custom Requirements</w:t>
      </w:r>
    </w:p>
    <w:p>
      <w:pPr>
        <w:spacing w:after="60"/>
      </w:pPr>
      <w:r>
        <w:rPr>
          <w:b/>
          <w:color w:val="1F374E"/>
        </w:rPr>
        <w:t>H2</w:t>
      </w:r>
    </w:p>
    <w:p>
      <w:pPr>
        <w:spacing w:after="160"/>
        <w:ind w:left="259"/>
      </w:pPr>
      <w:r>
        <w:t>Choose a standard plan or discuss a custom setup</w:t>
      </w:r>
    </w:p>
    <w:p>
      <w:pPr>
        <w:spacing w:after="60"/>
      </w:pPr>
      <w:r>
        <w:rPr>
          <w:b/>
          <w:color w:val="1F374E"/>
        </w:rPr>
        <w:t>Copy</w:t>
      </w:r>
    </w:p>
    <w:p>
      <w:pPr>
        <w:spacing w:after="160"/>
        <w:ind w:left="259"/>
      </w:pPr>
      <w:r>
        <w:t>Standard PlagiarismSearch plans are available on the Pricing page. If your organization needs larger volumes, API access, or a custom commercial arrangement, tell us what your workflow requires.</w:t>
        <w:br/>
        <w:br/>
        <w:t>Custom contracts and pricing are available for larger customers.</w:t>
      </w:r>
    </w:p>
    <w:p>
      <w:pPr>
        <w:spacing w:after="60"/>
      </w:pPr>
      <w:r>
        <w:rPr>
          <w:b/>
          <w:color w:val="1F374E"/>
        </w:rPr>
        <w:t>Primary CTA</w:t>
      </w:r>
    </w:p>
    <w:p>
      <w:pPr>
        <w:spacing w:after="160"/>
        <w:ind w:left="259"/>
      </w:pPr>
      <w:r>
        <w:t>Request a business quote</w:t>
      </w:r>
    </w:p>
    <w:p>
      <w:pPr>
        <w:spacing w:after="60"/>
      </w:pPr>
      <w:r>
        <w:rPr>
          <w:b/>
          <w:color w:val="1F374E"/>
        </w:rPr>
        <w:t>Secondary CTA</w:t>
      </w:r>
    </w:p>
    <w:p>
      <w:pPr>
        <w:spacing w:after="160"/>
        <w:ind w:left="259"/>
      </w:pPr>
      <w:r>
        <w:t>View standard pricing</w:t>
      </w:r>
    </w:p>
    <w:p>
      <w:pPr>
        <w:spacing w:after="60"/>
      </w:pPr>
      <w:r>
        <w:rPr>
          <w:b/>
          <w:color w:val="1F374E"/>
        </w:rPr>
        <w:t>Pricing destination</w:t>
      </w:r>
    </w:p>
    <w:p>
      <w:pPr>
        <w:spacing w:after="160"/>
        <w:ind w:left="259"/>
      </w:pPr>
      <w:r>
        <w:t>/prices</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Commercial rules</w:t>
            </w:r>
          </w:p>
          <w:p>
            <w:pPr>
              <w:pStyle w:val="ListBullet"/>
              <w:spacing w:after="40"/>
            </w:pPr>
            <w:r>
              <w:rPr>
                <w:sz w:val="18"/>
              </w:rPr>
              <w:t>Do not embed a large standard pricing widget by default. /prices owns standard purchase decisions.</w:t>
            </w:r>
          </w:p>
          <w:p>
            <w:pPr>
              <w:pStyle w:val="ListBullet"/>
              <w:spacing w:after="40"/>
            </w:pPr>
            <w:r>
              <w:rPr>
                <w:sz w:val="18"/>
              </w:rPr>
              <w:t>Do not claim fixed enterprise discounts, unlimited seats, dedicated manager, priority support, security package, SLA, universal API entitlement or fixed custom pricing.</w:t>
            </w:r>
          </w:p>
          <w:p>
            <w:pPr>
              <w:pStyle w:val="ListBullet"/>
              <w:spacing w:after="40"/>
            </w:pPr>
            <w:r>
              <w:rPr>
                <w:sz w:val="18"/>
              </w:rPr>
              <w:t>If production commercial rules change, backend/sales source-of-truth wins and the content must be reviewed before launch.</w:t>
            </w:r>
          </w:p>
        </w:tc>
      </w:tr>
    </w:tbl>
    <w:p>
      <w:pPr>
        <w:spacing w:after="60"/>
      </w:pPr>
    </w:p>
    <w:p>
      <w:pPr>
        <w:pStyle w:val="Heading2"/>
      </w:pPr>
      <w:r>
        <w:t>J. QUALIFIED BUSINESS INQUIRY</w:t>
      </w:r>
    </w:p>
    <w:p>
      <w:pPr>
        <w:spacing w:after="60"/>
      </w:pPr>
      <w:r>
        <w:rPr>
          <w:b/>
          <w:color w:val="1F374E"/>
        </w:rPr>
        <w:t>Eyebrow</w:t>
      </w:r>
    </w:p>
    <w:p>
      <w:pPr>
        <w:spacing w:after="160"/>
        <w:ind w:left="259"/>
      </w:pPr>
      <w:r>
        <w:t>Business Inquiry</w:t>
      </w:r>
    </w:p>
    <w:p>
      <w:pPr>
        <w:spacing w:after="60"/>
      </w:pPr>
      <w:r>
        <w:rPr>
          <w:b/>
          <w:color w:val="1F374E"/>
        </w:rPr>
        <w:t>H2</w:t>
      </w:r>
    </w:p>
    <w:p>
      <w:pPr>
        <w:spacing w:after="160"/>
        <w:ind w:left="259"/>
      </w:pPr>
      <w:r>
        <w:t>Tell us how your team plans to use PlagiarismSearch</w:t>
      </w:r>
    </w:p>
    <w:p>
      <w:pPr>
        <w:spacing w:after="60"/>
      </w:pPr>
      <w:r>
        <w:rPr>
          <w:b/>
          <w:color w:val="1F374E"/>
        </w:rPr>
        <w:t>Support copy</w:t>
      </w:r>
    </w:p>
    <w:p>
      <w:pPr>
        <w:spacing w:after="160"/>
        <w:ind w:left="259"/>
      </w:pPr>
      <w:r>
        <w:t>Share your team size, expected usage, and the workflow you want to support. These details help us understand whether you need an organization workspace, Organization Storage, API access, AI checking, standard pricing, or a custom commercial setup.</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EAF1F8"/>
            <w:vAlign w:val="center"/>
            <w:tcMar>
              <w:top w:w="100" w:type="dxa"/>
              <w:start w:w="120" w:type="dxa"/>
              <w:bottom w:w="100" w:type="dxa"/>
              <w:end w:w="120" w:type="dxa"/>
            </w:tcMar>
          </w:tcPr>
          <w:p>
            <w:r>
              <w:rPr>
                <w:b/>
                <w:color w:val="1F374E"/>
                <w:sz w:val="18"/>
              </w:rPr>
              <w:t>Field</w:t>
            </w:r>
          </w:p>
        </w:tc>
        <w:tc>
          <w:tcPr>
            <w:tcW w:type="dxa" w:w="6048"/>
            <w:shd w:fill="EAF1F8"/>
            <w:vAlign w:val="center"/>
            <w:tcMar>
              <w:top w:w="100" w:type="dxa"/>
              <w:start w:w="120" w:type="dxa"/>
              <w:bottom w:w="100" w:type="dxa"/>
              <w:end w:w="120" w:type="dxa"/>
            </w:tcMar>
          </w:tcPr>
          <w:p>
            <w:r>
              <w:rPr>
                <w:b/>
                <w:color w:val="1F374E"/>
                <w:sz w:val="18"/>
              </w:rPr>
              <w:t>Exact label / options</w:t>
            </w:r>
          </w:p>
        </w:tc>
        <w:tc>
          <w:tcPr>
            <w:tcW w:type="dxa" w:w="2736"/>
            <w:shd w:fill="EAF1F8"/>
            <w:vAlign w:val="center"/>
            <w:tcMar>
              <w:top w:w="100" w:type="dxa"/>
              <w:start w:w="120" w:type="dxa"/>
              <w:bottom w:w="100" w:type="dxa"/>
              <w:end w:w="120" w:type="dxa"/>
            </w:tcMar>
          </w:tcPr>
          <w:p>
            <w:r>
              <w:rPr>
                <w:b/>
                <w:color w:val="1F374E"/>
                <w:sz w:val="18"/>
              </w:rPr>
              <w:t>Requirement</w:t>
            </w:r>
          </w:p>
        </w:tc>
      </w:tr>
      <w:tr>
        <w:tc>
          <w:tcPr>
            <w:tcW w:type="dxa" w:w="2160"/>
            <w:vAlign w:val="top"/>
            <w:tcMar>
              <w:top w:w="100" w:type="dxa"/>
              <w:start w:w="120" w:type="dxa"/>
              <w:bottom w:w="100" w:type="dxa"/>
              <w:end w:w="120" w:type="dxa"/>
            </w:tcMar>
          </w:tcPr>
          <w:p>
            <w:pPr>
              <w:spacing w:after="40"/>
            </w:pPr>
            <w:r>
              <w:rPr>
                <w:sz w:val="17"/>
              </w:rPr>
              <w:t>Name</w:t>
            </w:r>
          </w:p>
        </w:tc>
        <w:tc>
          <w:tcPr>
            <w:tcW w:type="dxa" w:w="6048"/>
            <w:vAlign w:val="top"/>
            <w:tcMar>
              <w:top w:w="100" w:type="dxa"/>
              <w:start w:w="120" w:type="dxa"/>
              <w:bottom w:w="100" w:type="dxa"/>
              <w:end w:w="120" w:type="dxa"/>
            </w:tcMar>
          </w:tcPr>
          <w:p>
            <w:pPr>
              <w:spacing w:after="40"/>
            </w:pPr>
            <w:r>
              <w:rPr>
                <w:sz w:val="17"/>
              </w:rPr>
              <w:t>Name</w:t>
            </w:r>
          </w:p>
        </w:tc>
        <w:tc>
          <w:tcPr>
            <w:tcW w:type="dxa" w:w="2736"/>
            <w:vAlign w:val="top"/>
            <w:tcMar>
              <w:top w:w="100" w:type="dxa"/>
              <w:start w:w="120" w:type="dxa"/>
              <w:bottom w:w="100" w:type="dxa"/>
              <w:end w:w="120" w:type="dxa"/>
            </w:tcMar>
          </w:tcPr>
          <w:p>
            <w:pPr>
              <w:spacing w:after="40"/>
            </w:pPr>
            <w:r>
              <w:rPr>
                <w:sz w:val="17"/>
              </w:rPr>
              <w:t>Required</w:t>
            </w:r>
          </w:p>
        </w:tc>
      </w:tr>
      <w:tr>
        <w:tc>
          <w:tcPr>
            <w:tcW w:type="dxa" w:w="2160"/>
            <w:vAlign w:val="top"/>
            <w:tcMar>
              <w:top w:w="100" w:type="dxa"/>
              <w:start w:w="120" w:type="dxa"/>
              <w:bottom w:w="100" w:type="dxa"/>
              <w:end w:w="120" w:type="dxa"/>
            </w:tcMar>
          </w:tcPr>
          <w:p>
            <w:pPr>
              <w:spacing w:after="40"/>
            </w:pPr>
            <w:r>
              <w:rPr>
                <w:sz w:val="17"/>
              </w:rPr>
              <w:t>Email</w:t>
            </w:r>
          </w:p>
        </w:tc>
        <w:tc>
          <w:tcPr>
            <w:tcW w:type="dxa" w:w="6048"/>
            <w:vAlign w:val="top"/>
            <w:tcMar>
              <w:top w:w="100" w:type="dxa"/>
              <w:start w:w="120" w:type="dxa"/>
              <w:bottom w:w="100" w:type="dxa"/>
              <w:end w:w="120" w:type="dxa"/>
            </w:tcMar>
          </w:tcPr>
          <w:p>
            <w:pPr>
              <w:spacing w:after="40"/>
            </w:pPr>
            <w:r>
              <w:rPr>
                <w:sz w:val="17"/>
              </w:rPr>
              <w:t>Work email</w:t>
            </w:r>
          </w:p>
        </w:tc>
        <w:tc>
          <w:tcPr>
            <w:tcW w:type="dxa" w:w="2736"/>
            <w:vAlign w:val="top"/>
            <w:tcMar>
              <w:top w:w="100" w:type="dxa"/>
              <w:start w:w="120" w:type="dxa"/>
              <w:bottom w:w="100" w:type="dxa"/>
              <w:end w:w="120" w:type="dxa"/>
            </w:tcMar>
          </w:tcPr>
          <w:p>
            <w:pPr>
              <w:spacing w:after="40"/>
            </w:pPr>
            <w:r>
              <w:rPr>
                <w:sz w:val="17"/>
              </w:rPr>
              <w:t>Required</w:t>
            </w:r>
          </w:p>
        </w:tc>
      </w:tr>
      <w:tr>
        <w:tc>
          <w:tcPr>
            <w:tcW w:type="dxa" w:w="2160"/>
            <w:vAlign w:val="top"/>
            <w:tcMar>
              <w:top w:w="100" w:type="dxa"/>
              <w:start w:w="120" w:type="dxa"/>
              <w:bottom w:w="100" w:type="dxa"/>
              <w:end w:w="120" w:type="dxa"/>
            </w:tcMar>
          </w:tcPr>
          <w:p>
            <w:pPr>
              <w:spacing w:after="40"/>
            </w:pPr>
            <w:r>
              <w:rPr>
                <w:sz w:val="17"/>
              </w:rPr>
              <w:t>Organization</w:t>
            </w:r>
          </w:p>
        </w:tc>
        <w:tc>
          <w:tcPr>
            <w:tcW w:type="dxa" w:w="6048"/>
            <w:vAlign w:val="top"/>
            <w:tcMar>
              <w:top w:w="100" w:type="dxa"/>
              <w:start w:w="120" w:type="dxa"/>
              <w:bottom w:w="100" w:type="dxa"/>
              <w:end w:w="120" w:type="dxa"/>
            </w:tcMar>
          </w:tcPr>
          <w:p>
            <w:pPr>
              <w:spacing w:after="40"/>
            </w:pPr>
            <w:r>
              <w:rPr>
                <w:sz w:val="17"/>
              </w:rPr>
              <w:t>Organization or company</w:t>
            </w:r>
          </w:p>
        </w:tc>
        <w:tc>
          <w:tcPr>
            <w:tcW w:type="dxa" w:w="2736"/>
            <w:vAlign w:val="top"/>
            <w:tcMar>
              <w:top w:w="100" w:type="dxa"/>
              <w:start w:w="120" w:type="dxa"/>
              <w:bottom w:w="100" w:type="dxa"/>
              <w:end w:w="120" w:type="dxa"/>
            </w:tcMar>
          </w:tcPr>
          <w:p>
            <w:pPr>
              <w:spacing w:after="40"/>
            </w:pPr>
            <w:r>
              <w:rPr>
                <w:sz w:val="17"/>
              </w:rPr>
              <w:t>Required</w:t>
            </w:r>
          </w:p>
        </w:tc>
      </w:tr>
      <w:tr>
        <w:tc>
          <w:tcPr>
            <w:tcW w:type="dxa" w:w="2160"/>
            <w:vAlign w:val="top"/>
            <w:tcMar>
              <w:top w:w="100" w:type="dxa"/>
              <w:start w:w="120" w:type="dxa"/>
              <w:bottom w:w="100" w:type="dxa"/>
              <w:end w:w="120" w:type="dxa"/>
            </w:tcMar>
          </w:tcPr>
          <w:p>
            <w:pPr>
              <w:spacing w:after="40"/>
            </w:pPr>
            <w:r>
              <w:rPr>
                <w:sz w:val="17"/>
              </w:rPr>
              <w:t>Role</w:t>
            </w:r>
          </w:p>
        </w:tc>
        <w:tc>
          <w:tcPr>
            <w:tcW w:type="dxa" w:w="6048"/>
            <w:vAlign w:val="top"/>
            <w:tcMar>
              <w:top w:w="100" w:type="dxa"/>
              <w:start w:w="120" w:type="dxa"/>
              <w:bottom w:w="100" w:type="dxa"/>
              <w:end w:w="120" w:type="dxa"/>
            </w:tcMar>
          </w:tcPr>
          <w:p>
            <w:pPr>
              <w:spacing w:after="40"/>
            </w:pPr>
            <w:r>
              <w:rPr>
                <w:sz w:val="17"/>
              </w:rPr>
              <w:t>Role or job title</w:t>
            </w:r>
          </w:p>
        </w:tc>
        <w:tc>
          <w:tcPr>
            <w:tcW w:type="dxa" w:w="2736"/>
            <w:vAlign w:val="top"/>
            <w:tcMar>
              <w:top w:w="100" w:type="dxa"/>
              <w:start w:w="120" w:type="dxa"/>
              <w:bottom w:w="100" w:type="dxa"/>
              <w:end w:w="120" w:type="dxa"/>
            </w:tcMar>
          </w:tcPr>
          <w:p>
            <w:pPr>
              <w:spacing w:after="40"/>
            </w:pPr>
            <w:r>
              <w:rPr>
                <w:sz w:val="17"/>
              </w:rPr>
              <w:t>Optional</w:t>
            </w:r>
          </w:p>
        </w:tc>
      </w:tr>
      <w:tr>
        <w:tc>
          <w:tcPr>
            <w:tcW w:type="dxa" w:w="2160"/>
            <w:vAlign w:val="top"/>
            <w:tcMar>
              <w:top w:w="100" w:type="dxa"/>
              <w:start w:w="120" w:type="dxa"/>
              <w:bottom w:w="100" w:type="dxa"/>
              <w:end w:w="120" w:type="dxa"/>
            </w:tcMar>
          </w:tcPr>
          <w:p>
            <w:pPr>
              <w:spacing w:after="40"/>
            </w:pPr>
            <w:r>
              <w:rPr>
                <w:sz w:val="17"/>
              </w:rPr>
              <w:t>Team size</w:t>
            </w:r>
          </w:p>
        </w:tc>
        <w:tc>
          <w:tcPr>
            <w:tcW w:type="dxa" w:w="6048"/>
            <w:vAlign w:val="top"/>
            <w:tcMar>
              <w:top w:w="100" w:type="dxa"/>
              <w:start w:w="120" w:type="dxa"/>
              <w:bottom w:w="100" w:type="dxa"/>
              <w:end w:w="120" w:type="dxa"/>
            </w:tcMar>
          </w:tcPr>
          <w:p>
            <w:pPr>
              <w:spacing w:after="40"/>
            </w:pPr>
            <w:r>
              <w:rPr>
                <w:sz w:val="17"/>
              </w:rPr>
              <w:t>Approximate team size</w:t>
            </w:r>
          </w:p>
        </w:tc>
        <w:tc>
          <w:tcPr>
            <w:tcW w:type="dxa" w:w="2736"/>
            <w:vAlign w:val="top"/>
            <w:tcMar>
              <w:top w:w="100" w:type="dxa"/>
              <w:start w:w="120" w:type="dxa"/>
              <w:bottom w:w="100" w:type="dxa"/>
              <w:end w:w="120" w:type="dxa"/>
            </w:tcMar>
          </w:tcPr>
          <w:p>
            <w:pPr>
              <w:spacing w:after="40"/>
            </w:pPr>
            <w:r>
              <w:rPr>
                <w:sz w:val="17"/>
              </w:rPr>
              <w:t>Optional</w:t>
            </w:r>
          </w:p>
        </w:tc>
      </w:tr>
      <w:tr>
        <w:tc>
          <w:tcPr>
            <w:tcW w:type="dxa" w:w="2160"/>
            <w:vAlign w:val="top"/>
            <w:tcMar>
              <w:top w:w="100" w:type="dxa"/>
              <w:start w:w="120" w:type="dxa"/>
              <w:bottom w:w="100" w:type="dxa"/>
              <w:end w:w="120" w:type="dxa"/>
            </w:tcMar>
          </w:tcPr>
          <w:p>
            <w:pPr>
              <w:spacing w:after="40"/>
            </w:pPr>
            <w:r>
              <w:rPr>
                <w:sz w:val="17"/>
              </w:rPr>
              <w:t>Volume</w:t>
            </w:r>
          </w:p>
        </w:tc>
        <w:tc>
          <w:tcPr>
            <w:tcW w:type="dxa" w:w="6048"/>
            <w:vAlign w:val="top"/>
            <w:tcMar>
              <w:top w:w="100" w:type="dxa"/>
              <w:start w:w="120" w:type="dxa"/>
              <w:bottom w:w="100" w:type="dxa"/>
              <w:end w:w="120" w:type="dxa"/>
            </w:tcMar>
          </w:tcPr>
          <w:p>
            <w:pPr>
              <w:spacing w:after="40"/>
            </w:pPr>
            <w:r>
              <w:rPr>
                <w:sz w:val="17"/>
              </w:rPr>
              <w:t>Approximate monthly checking volume</w:t>
            </w:r>
          </w:p>
        </w:tc>
        <w:tc>
          <w:tcPr>
            <w:tcW w:type="dxa" w:w="2736"/>
            <w:vAlign w:val="top"/>
            <w:tcMar>
              <w:top w:w="100" w:type="dxa"/>
              <w:start w:w="120" w:type="dxa"/>
              <w:bottom w:w="100" w:type="dxa"/>
              <w:end w:w="120" w:type="dxa"/>
            </w:tcMar>
          </w:tcPr>
          <w:p>
            <w:pPr>
              <w:spacing w:after="40"/>
            </w:pPr>
            <w:r>
              <w:rPr>
                <w:sz w:val="17"/>
              </w:rPr>
              <w:t>Recommended</w:t>
            </w:r>
          </w:p>
        </w:tc>
      </w:tr>
      <w:tr>
        <w:tc>
          <w:tcPr>
            <w:tcW w:type="dxa" w:w="2160"/>
            <w:vAlign w:val="top"/>
            <w:tcMar>
              <w:top w:w="100" w:type="dxa"/>
              <w:start w:w="120" w:type="dxa"/>
              <w:bottom w:w="100" w:type="dxa"/>
              <w:end w:w="120" w:type="dxa"/>
            </w:tcMar>
          </w:tcPr>
          <w:p>
            <w:pPr>
              <w:spacing w:after="40"/>
            </w:pPr>
            <w:r>
              <w:rPr>
                <w:sz w:val="17"/>
              </w:rPr>
              <w:t>Volume helper</w:t>
            </w:r>
          </w:p>
        </w:tc>
        <w:tc>
          <w:tcPr>
            <w:tcW w:type="dxa" w:w="6048"/>
            <w:vAlign w:val="top"/>
            <w:tcMar>
              <w:top w:w="100" w:type="dxa"/>
              <w:start w:w="120" w:type="dxa"/>
              <w:bottom w:w="100" w:type="dxa"/>
              <w:end w:w="120" w:type="dxa"/>
            </w:tcMar>
          </w:tcPr>
          <w:p>
            <w:pPr>
              <w:spacing w:after="40"/>
            </w:pPr>
            <w:r>
              <w:rPr>
                <w:sz w:val="17"/>
              </w:rPr>
              <w:t>Words, documents, or another estimate is fine.</w:t>
            </w:r>
          </w:p>
        </w:tc>
        <w:tc>
          <w:tcPr>
            <w:tcW w:type="dxa" w:w="2736"/>
            <w:vAlign w:val="top"/>
            <w:tcMar>
              <w:top w:w="100" w:type="dxa"/>
              <w:start w:w="120" w:type="dxa"/>
              <w:bottom w:w="100" w:type="dxa"/>
              <w:end w:w="120" w:type="dxa"/>
            </w:tcMar>
          </w:tcPr>
          <w:p>
            <w:pPr>
              <w:spacing w:after="40"/>
            </w:pPr>
            <w:r>
              <w:rPr>
                <w:sz w:val="17"/>
              </w:rPr>
              <w:t>Helper text</w:t>
            </w:r>
          </w:p>
        </w:tc>
      </w:tr>
      <w:tr>
        <w:tc>
          <w:tcPr>
            <w:tcW w:type="dxa" w:w="2160"/>
            <w:vAlign w:val="top"/>
            <w:tcMar>
              <w:top w:w="100" w:type="dxa"/>
              <w:start w:w="120" w:type="dxa"/>
              <w:bottom w:w="100" w:type="dxa"/>
              <w:end w:w="120" w:type="dxa"/>
            </w:tcMar>
          </w:tcPr>
          <w:p>
            <w:pPr>
              <w:spacing w:after="40"/>
            </w:pPr>
            <w:r>
              <w:rPr>
                <w:sz w:val="17"/>
              </w:rPr>
              <w:t>Needs</w:t>
            </w:r>
          </w:p>
        </w:tc>
        <w:tc>
          <w:tcPr>
            <w:tcW w:type="dxa" w:w="6048"/>
            <w:vAlign w:val="top"/>
            <w:tcMar>
              <w:top w:w="100" w:type="dxa"/>
              <w:start w:w="120" w:type="dxa"/>
              <w:bottom w:w="100" w:type="dxa"/>
              <w:end w:w="120" w:type="dxa"/>
            </w:tcMar>
          </w:tcPr>
          <w:p>
            <w:pPr>
              <w:spacing w:after="40"/>
            </w:pPr>
            <w:r>
              <w:rPr>
                <w:sz w:val="17"/>
              </w:rPr>
              <w:t>What do you need?</w:t>
            </w:r>
          </w:p>
        </w:tc>
        <w:tc>
          <w:tcPr>
            <w:tcW w:type="dxa" w:w="2736"/>
            <w:vAlign w:val="top"/>
            <w:tcMar>
              <w:top w:w="100" w:type="dxa"/>
              <w:start w:w="120" w:type="dxa"/>
              <w:bottom w:w="100" w:type="dxa"/>
              <w:end w:w="120" w:type="dxa"/>
            </w:tcMar>
          </w:tcPr>
          <w:p>
            <w:pPr>
              <w:spacing w:after="40"/>
            </w:pPr>
            <w:r>
              <w:rPr>
                <w:sz w:val="17"/>
              </w:rPr>
              <w:t>Recommended</w:t>
            </w:r>
          </w:p>
        </w:tc>
      </w:tr>
      <w:tr>
        <w:tc>
          <w:tcPr>
            <w:tcW w:type="dxa" w:w="2160"/>
            <w:vAlign w:val="top"/>
            <w:tcMar>
              <w:top w:w="100" w:type="dxa"/>
              <w:start w:w="120" w:type="dxa"/>
              <w:bottom w:w="100" w:type="dxa"/>
              <w:end w:w="120" w:type="dxa"/>
            </w:tcMar>
          </w:tcPr>
          <w:p>
            <w:pPr>
              <w:spacing w:after="40"/>
            </w:pPr>
            <w:r>
              <w:rPr>
                <w:sz w:val="17"/>
              </w:rPr>
              <w:t>Needs options</w:t>
            </w:r>
          </w:p>
        </w:tc>
        <w:tc>
          <w:tcPr>
            <w:tcW w:type="dxa" w:w="6048"/>
            <w:vAlign w:val="top"/>
            <w:tcMar>
              <w:top w:w="100" w:type="dxa"/>
              <w:start w:w="120" w:type="dxa"/>
              <w:bottom w:w="100" w:type="dxa"/>
              <w:end w:w="120" w:type="dxa"/>
            </w:tcMar>
          </w:tcPr>
          <w:p>
            <w:pPr>
              <w:spacing w:after="40"/>
            </w:pPr>
            <w:r>
              <w:rPr>
                <w:sz w:val="17"/>
              </w:rPr>
              <w:t>Organization workspace; Organization Storage; API access; AI checking; Custom volume or pricing; Not sure yet</w:t>
            </w:r>
          </w:p>
        </w:tc>
        <w:tc>
          <w:tcPr>
            <w:tcW w:type="dxa" w:w="2736"/>
            <w:vAlign w:val="top"/>
            <w:tcMar>
              <w:top w:w="100" w:type="dxa"/>
              <w:start w:w="120" w:type="dxa"/>
              <w:bottom w:w="100" w:type="dxa"/>
              <w:end w:w="120" w:type="dxa"/>
            </w:tcMar>
          </w:tcPr>
          <w:p>
            <w:pPr>
              <w:spacing w:after="40"/>
            </w:pPr>
            <w:r>
              <w:rPr>
                <w:sz w:val="17"/>
              </w:rPr>
              <w:t>Multi-select or another clear selection pattern</w:t>
            </w:r>
          </w:p>
        </w:tc>
      </w:tr>
      <w:tr>
        <w:tc>
          <w:tcPr>
            <w:tcW w:type="dxa" w:w="2160"/>
            <w:vAlign w:val="top"/>
            <w:tcMar>
              <w:top w:w="100" w:type="dxa"/>
              <w:start w:w="120" w:type="dxa"/>
              <w:bottom w:w="100" w:type="dxa"/>
              <w:end w:w="120" w:type="dxa"/>
            </w:tcMar>
          </w:tcPr>
          <w:p>
            <w:pPr>
              <w:spacing w:after="40"/>
            </w:pPr>
            <w:r>
              <w:rPr>
                <w:sz w:val="17"/>
              </w:rPr>
              <w:t>Phone</w:t>
            </w:r>
          </w:p>
        </w:tc>
        <w:tc>
          <w:tcPr>
            <w:tcW w:type="dxa" w:w="6048"/>
            <w:vAlign w:val="top"/>
            <w:tcMar>
              <w:top w:w="100" w:type="dxa"/>
              <w:start w:w="120" w:type="dxa"/>
              <w:bottom w:w="100" w:type="dxa"/>
              <w:end w:w="120" w:type="dxa"/>
            </w:tcMar>
          </w:tcPr>
          <w:p>
            <w:pPr>
              <w:spacing w:after="40"/>
            </w:pPr>
            <w:r>
              <w:rPr>
                <w:sz w:val="17"/>
              </w:rPr>
              <w:t>Phone number</w:t>
            </w:r>
          </w:p>
        </w:tc>
        <w:tc>
          <w:tcPr>
            <w:tcW w:type="dxa" w:w="2736"/>
            <w:vAlign w:val="top"/>
            <w:tcMar>
              <w:top w:w="100" w:type="dxa"/>
              <w:start w:w="120" w:type="dxa"/>
              <w:bottom w:w="100" w:type="dxa"/>
              <w:end w:w="120" w:type="dxa"/>
            </w:tcMar>
          </w:tcPr>
          <w:p>
            <w:pPr>
              <w:spacing w:after="40"/>
            </w:pPr>
            <w:r>
              <w:rPr>
                <w:sz w:val="17"/>
              </w:rPr>
              <w:t>Optional</w:t>
            </w:r>
          </w:p>
        </w:tc>
      </w:tr>
      <w:tr>
        <w:tc>
          <w:tcPr>
            <w:tcW w:type="dxa" w:w="2160"/>
            <w:vAlign w:val="top"/>
            <w:tcMar>
              <w:top w:w="100" w:type="dxa"/>
              <w:start w:w="120" w:type="dxa"/>
              <w:bottom w:w="100" w:type="dxa"/>
              <w:end w:w="120" w:type="dxa"/>
            </w:tcMar>
          </w:tcPr>
          <w:p>
            <w:pPr>
              <w:spacing w:after="40"/>
            </w:pPr>
            <w:r>
              <w:rPr>
                <w:sz w:val="17"/>
              </w:rPr>
              <w:t>Message</w:t>
            </w:r>
          </w:p>
        </w:tc>
        <w:tc>
          <w:tcPr>
            <w:tcW w:type="dxa" w:w="6048"/>
            <w:vAlign w:val="top"/>
            <w:tcMar>
              <w:top w:w="100" w:type="dxa"/>
              <w:start w:w="120" w:type="dxa"/>
              <w:bottom w:w="100" w:type="dxa"/>
              <w:end w:w="120" w:type="dxa"/>
            </w:tcMar>
          </w:tcPr>
          <w:p>
            <w:pPr>
              <w:spacing w:after="40"/>
            </w:pPr>
            <w:r>
              <w:rPr>
                <w:sz w:val="17"/>
              </w:rPr>
              <w:t>Tell us about your workflow or requirements</w:t>
            </w:r>
          </w:p>
        </w:tc>
        <w:tc>
          <w:tcPr>
            <w:tcW w:type="dxa" w:w="2736"/>
            <w:vAlign w:val="top"/>
            <w:tcMar>
              <w:top w:w="100" w:type="dxa"/>
              <w:start w:w="120" w:type="dxa"/>
              <w:bottom w:w="100" w:type="dxa"/>
              <w:end w:w="120" w:type="dxa"/>
            </w:tcMar>
          </w:tcPr>
          <w:p>
            <w:pPr>
              <w:spacing w:after="40"/>
            </w:pPr>
            <w:r>
              <w:rPr>
                <w:sz w:val="17"/>
              </w:rPr>
              <w:t>Required or strongly encouraged</w:t>
            </w:r>
          </w:p>
        </w:tc>
      </w:tr>
      <w:tr>
        <w:tc>
          <w:tcPr>
            <w:tcW w:type="dxa" w:w="2160"/>
            <w:vAlign w:val="top"/>
            <w:tcMar>
              <w:top w:w="100" w:type="dxa"/>
              <w:start w:w="120" w:type="dxa"/>
              <w:bottom w:w="100" w:type="dxa"/>
              <w:end w:w="120" w:type="dxa"/>
            </w:tcMar>
          </w:tcPr>
          <w:p>
            <w:pPr>
              <w:spacing w:after="40"/>
            </w:pPr>
            <w:r>
              <w:rPr>
                <w:sz w:val="17"/>
              </w:rPr>
              <w:t>Submit</w:t>
            </w:r>
          </w:p>
        </w:tc>
        <w:tc>
          <w:tcPr>
            <w:tcW w:type="dxa" w:w="6048"/>
            <w:vAlign w:val="top"/>
            <w:tcMar>
              <w:top w:w="100" w:type="dxa"/>
              <w:start w:w="120" w:type="dxa"/>
              <w:bottom w:w="100" w:type="dxa"/>
              <w:end w:w="120" w:type="dxa"/>
            </w:tcMar>
          </w:tcPr>
          <w:p>
            <w:pPr>
              <w:spacing w:after="40"/>
            </w:pPr>
            <w:r>
              <w:rPr>
                <w:sz w:val="17"/>
              </w:rPr>
              <w:t>Request a business quote</w:t>
            </w:r>
          </w:p>
        </w:tc>
        <w:tc>
          <w:tcPr>
            <w:tcW w:type="dxa" w:w="2736"/>
            <w:vAlign w:val="top"/>
            <w:tcMar>
              <w:top w:w="100" w:type="dxa"/>
              <w:start w:w="120" w:type="dxa"/>
              <w:bottom w:w="100" w:type="dxa"/>
              <w:end w:w="120" w:type="dxa"/>
            </w:tcMar>
          </w:tcPr>
          <w:p>
            <w:pPr>
              <w:spacing w:after="40"/>
            </w:pPr>
            <w:r>
              <w:rPr>
                <w:sz w:val="17"/>
              </w:rPr>
              <w:t>Primary CTA</w:t>
            </w:r>
          </w:p>
        </w:tc>
      </w:tr>
      <w:tr>
        <w:tc>
          <w:tcPr>
            <w:tcW w:type="dxa" w:w="2160"/>
            <w:vAlign w:val="top"/>
            <w:tcMar>
              <w:top w:w="100" w:type="dxa"/>
              <w:start w:w="120" w:type="dxa"/>
              <w:bottom w:w="100" w:type="dxa"/>
              <w:end w:w="120" w:type="dxa"/>
            </w:tcMar>
          </w:tcPr>
          <w:p>
            <w:pPr>
              <w:spacing w:after="40"/>
            </w:pPr>
            <w:r>
              <w:rPr>
                <w:sz w:val="17"/>
              </w:rPr>
              <w:t>Success</w:t>
            </w:r>
          </w:p>
        </w:tc>
        <w:tc>
          <w:tcPr>
            <w:tcW w:type="dxa" w:w="6048"/>
            <w:vAlign w:val="top"/>
            <w:tcMar>
              <w:top w:w="100" w:type="dxa"/>
              <w:start w:w="120" w:type="dxa"/>
              <w:bottom w:w="100" w:type="dxa"/>
              <w:end w:w="120" w:type="dxa"/>
            </w:tcMar>
          </w:tcPr>
          <w:p>
            <w:pPr>
              <w:spacing w:after="40"/>
            </w:pPr>
            <w:r>
              <w:rPr>
                <w:sz w:val="17"/>
              </w:rPr>
              <w:t>Thanks - your business inquiry has been submitted.</w:t>
            </w:r>
          </w:p>
        </w:tc>
        <w:tc>
          <w:tcPr>
            <w:tcW w:type="dxa" w:w="2736"/>
            <w:vAlign w:val="top"/>
            <w:tcMar>
              <w:top w:w="100" w:type="dxa"/>
              <w:start w:w="120" w:type="dxa"/>
              <w:bottom w:w="100" w:type="dxa"/>
              <w:end w:w="120" w:type="dxa"/>
            </w:tcMar>
          </w:tcPr>
          <w:p>
            <w:pPr>
              <w:spacing w:after="40"/>
            </w:pPr>
            <w:r>
              <w:rPr>
                <w:sz w:val="17"/>
              </w:rPr>
              <w:t>Success state</w:t>
            </w:r>
          </w:p>
        </w:tc>
      </w:tr>
    </w:tbl>
    <w:p>
      <w:pPr>
        <w:spacing w:after="40"/>
      </w:pP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Form rules</w:t>
            </w:r>
          </w:p>
          <w:p>
            <w:pPr>
              <w:pStyle w:val="ListBullet"/>
              <w:spacing w:after="40"/>
            </w:pPr>
            <w:r>
              <w:rPr>
                <w:sz w:val="18"/>
              </w:rPr>
              <w:t>Remove Facebook and LinkedIn fields from the legacy form.</w:t>
            </w:r>
          </w:p>
          <w:p>
            <w:pPr>
              <w:pStyle w:val="ListBullet"/>
              <w:spacing w:after="40"/>
            </w:pPr>
            <w:r>
              <w:rPr>
                <w:sz w:val="18"/>
              </w:rPr>
              <w:t>Phone is optional; do not require a callback funnel.</w:t>
            </w:r>
          </w:p>
          <w:p>
            <w:pPr>
              <w:pStyle w:val="ListBullet"/>
              <w:spacing w:after="40"/>
            </w:pPr>
            <w:r>
              <w:rPr>
                <w:sz w:val="18"/>
              </w:rPr>
              <w:t>Remove “We’ll call you back in a few minutes” and any unsupported response-time promise.</w:t>
            </w:r>
          </w:p>
          <w:p>
            <w:pPr>
              <w:pStyle w:val="ListBullet"/>
              <w:spacing w:after="40"/>
            </w:pPr>
            <w:r>
              <w:rPr>
                <w:sz w:val="18"/>
              </w:rPr>
              <w:t>Do not carry over old pages/documents counters unless sales explicitly confirms a backend need.</w:t>
            </w:r>
          </w:p>
          <w:p>
            <w:pPr>
              <w:pStyle w:val="ListBullet"/>
              <w:spacing w:after="40"/>
            </w:pPr>
            <w:r>
              <w:rPr>
                <w:sz w:val="18"/>
              </w:rPr>
              <w:t>Use approved production consent wording from current legal/privacy requirements. Do not invent marketing-consent language in the design.</w:t>
            </w:r>
          </w:p>
          <w:p>
            <w:pPr>
              <w:pStyle w:val="ListBullet"/>
              <w:spacing w:after="40"/>
            </w:pPr>
            <w:r>
              <w:rPr>
                <w:sz w:val="18"/>
              </w:rPr>
              <w:t>Implement proper labels, validation, accessible error messages, focus behavior, success state and backend routing.</w:t>
            </w:r>
          </w:p>
        </w:tc>
      </w:tr>
    </w:tbl>
    <w:p>
      <w:pPr>
        <w:spacing w:after="60"/>
      </w:pPr>
    </w:p>
    <w:p>
      <w:pPr>
        <w:pStyle w:val="Heading2"/>
      </w:pPr>
      <w:r>
        <w:t>K. BUSINESS FAQ</w:t>
      </w:r>
    </w:p>
    <w:p>
      <w:pPr>
        <w:spacing w:after="60"/>
      </w:pPr>
      <w:r>
        <w:rPr>
          <w:b/>
          <w:color w:val="1F374E"/>
        </w:rPr>
        <w:t>Q: Can multiple people use PlagiarismSearch through one organization?</w:t>
      </w:r>
    </w:p>
    <w:p>
      <w:pPr>
        <w:spacing w:after="160"/>
        <w:ind w:left="259"/>
      </w:pPr>
      <w:r>
        <w:t>A: Yes. An administrator can create an organization, invite members, and manage their access to organization resources. Members can also be blocked or unblocked when needed.</w:t>
      </w:r>
    </w:p>
    <w:p>
      <w:pPr>
        <w:spacing w:after="60"/>
      </w:pPr>
      <w:r>
        <w:rPr>
          <w:b/>
          <w:color w:val="1F374E"/>
        </w:rPr>
        <w:t>Q: Can an administrator control what organization members can access?</w:t>
      </w:r>
    </w:p>
    <w:p>
      <w:pPr>
        <w:spacing w:after="160"/>
        <w:ind w:left="259"/>
      </w:pPr>
      <w:r>
        <w:t>A: Yes. Organization Management includes permissions related to Organization Storage and its use, including searching organization storage during plagiarism checks and viewing documents stored there.</w:t>
      </w:r>
    </w:p>
    <w:p>
      <w:pPr>
        <w:spacing w:after="60"/>
      </w:pPr>
      <w:r>
        <w:rPr>
          <w:b/>
          <w:color w:val="1F374E"/>
        </w:rPr>
        <w:t>Q: How do organization and personal balances work together?</w:t>
      </w:r>
    </w:p>
    <w:p>
      <w:pPr>
        <w:spacing w:after="160"/>
        <w:ind w:left="259"/>
      </w:pPr>
      <w:r>
        <w:t>A: Organization plagiarism and AI balances are managed separately from each member’s personal balance. A member can keep a private personal balance that the administrator and other members do not access, while also receiving organization resources allocated by the administrator.</w:t>
      </w:r>
    </w:p>
    <w:p>
      <w:pPr>
        <w:spacing w:after="60"/>
      </w:pPr>
      <w:r>
        <w:rPr>
          <w:b/>
          <w:color w:val="1F374E"/>
        </w:rPr>
        <w:t>Q: Are checked documents automatically added to Organization Storage?</w:t>
      </w:r>
    </w:p>
    <w:p>
      <w:pPr>
        <w:spacing w:after="160"/>
        <w:ind w:left="259"/>
      </w:pPr>
      <w:r>
        <w:t>A: No. Running a plagiarism check does not automatically add the checked document to Organization Storage. Storage is a separate action and depends on the organization workflow and the member’s permissions.</w:t>
      </w:r>
    </w:p>
    <w:p>
      <w:pPr>
        <w:spacing w:after="60"/>
      </w:pPr>
      <w:r>
        <w:rPr>
          <w:b/>
          <w:color w:val="1F374E"/>
        </w:rPr>
        <w:t>Q: Can Organization Storage be used as a plagiarism-checking source?</w:t>
      </w:r>
    </w:p>
    <w:p>
      <w:pPr>
        <w:spacing w:after="160"/>
        <w:ind w:left="259"/>
      </w:pPr>
      <w:r>
        <w:t>A: Yes. Organization Storage can be used as an additional comparison source when organization storage search is enabled and the member has the relevant permission.</w:t>
      </w:r>
    </w:p>
    <w:p>
      <w:pPr>
        <w:spacing w:after="60"/>
      </w:pPr>
      <w:r>
        <w:rPr>
          <w:b/>
          <w:color w:val="1F374E"/>
        </w:rPr>
        <w:t>Q: Can we integrate plagiarism checking into our own platform?</w:t>
      </w:r>
    </w:p>
    <w:p>
      <w:pPr>
        <w:spacing w:after="160"/>
        <w:ind w:left="259"/>
      </w:pPr>
      <w:r>
        <w:t>A: Yes. PlagiarismSearch provides an API for programmatic plagiarism-checking workflows. API access may be included in some packages or purchased separately. See the Plagiarism API page for the current integration workflow and developer documentation.</w:t>
      </w:r>
    </w:p>
    <w:p>
      <w:pPr>
        <w:spacing w:after="60"/>
      </w:pPr>
      <w:r>
        <w:rPr>
          <w:b/>
          <w:color w:val="1F374E"/>
        </w:rPr>
        <w:t>Q: Can an organization use AI detection too?</w:t>
      </w:r>
    </w:p>
    <w:p>
      <w:pPr>
        <w:spacing w:after="160"/>
        <w:ind w:left="259"/>
      </w:pPr>
      <w:r>
        <w:t>A: Yes. Administrators can allocate organization AI-word balance to members. AI detection is a separate analysis from plagiarism checking and requires available AI-word balance.</w:t>
      </w:r>
    </w:p>
    <w:p>
      <w:pPr>
        <w:spacing w:after="60"/>
      </w:pPr>
      <w:r>
        <w:rPr>
          <w:b/>
          <w:color w:val="1F374E"/>
        </w:rPr>
        <w:t>Q: What happens to uploaded documents and reports?</w:t>
      </w:r>
    </w:p>
    <w:p>
      <w:pPr>
        <w:spacing w:after="160"/>
        <w:ind w:left="259"/>
      </w:pPr>
      <w:r>
        <w:t>A: Uploaded source documents are not retained as stored documents after the check. Generated reports can remain available in the account for convenience and can be permanently deleted by the user. Organization Storage is a separate repository workflow.</w:t>
      </w:r>
    </w:p>
    <w:p>
      <w:pPr>
        <w:spacing w:after="60"/>
      </w:pPr>
      <w:r>
        <w:rPr>
          <w:b/>
          <w:color w:val="1F374E"/>
        </w:rPr>
        <w:t>Q: Do you offer custom pricing for larger organizations?</w:t>
      </w:r>
    </w:p>
    <w:p>
      <w:pPr>
        <w:spacing w:after="160"/>
        <w:ind w:left="259"/>
      </w:pPr>
      <w:r>
        <w:t>A: Yes. Standard plans are available on the Pricing page, while larger customers can use custom contracts and pricing. Send a business inquiry if your organization has larger-volume, API, or other custom commercial requirements.</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FAQ implementation rule</w:t>
            </w:r>
          </w:p>
          <w:p>
            <w:pPr>
              <w:pStyle w:val="ListBullet"/>
              <w:spacing w:after="40"/>
            </w:pPr>
            <w:r>
              <w:rPr>
                <w:sz w:val="18"/>
              </w:rPr>
              <w:t>Keep answers present in rendered HTML and accessible when collapsed.</w:t>
            </w:r>
          </w:p>
          <w:p>
            <w:pPr>
              <w:pStyle w:val="ListBullet"/>
              <w:spacing w:after="40"/>
            </w:pPr>
            <w:r>
              <w:rPr>
                <w:sz w:val="18"/>
              </w:rPr>
              <w:t>Use real crawlable links to /plagiarism-api and /prices where the answer references them.</w:t>
            </w:r>
          </w:p>
          <w:p>
            <w:pPr>
              <w:pStyle w:val="ListBullet"/>
              <w:spacing w:after="40"/>
            </w:pPr>
            <w:r>
              <w:rPr>
                <w:sz w:val="18"/>
              </w:rPr>
              <w:t>Do not expand the FAQ into generic “what is plagiarism” or keyword-targeted questions.</w:t>
            </w:r>
          </w:p>
          <w:p>
            <w:pPr>
              <w:pStyle w:val="ListBullet"/>
              <w:spacing w:after="40"/>
            </w:pPr>
            <w:r>
              <w:rPr>
                <w:sz w:val="18"/>
              </w:rPr>
              <w:t>Do not add unsupported enterprise security, SLA, trial, discount, accuracy or support-hours FAQs.</w:t>
            </w:r>
          </w:p>
        </w:tc>
      </w:tr>
    </w:tbl>
    <w:p>
      <w:pPr>
        <w:spacing w:after="60"/>
      </w:pPr>
    </w:p>
    <w:p>
      <w:pPr>
        <w:pStyle w:val="Heading2"/>
      </w:pPr>
      <w:r>
        <w:t>L. FINAL CTA</w:t>
      </w:r>
    </w:p>
    <w:p>
      <w:pPr>
        <w:spacing w:after="60"/>
      </w:pPr>
      <w:r>
        <w:rPr>
          <w:b/>
          <w:color w:val="1F374E"/>
        </w:rPr>
        <w:t>H2</w:t>
      </w:r>
    </w:p>
    <w:p>
      <w:pPr>
        <w:spacing w:after="160"/>
        <w:ind w:left="259"/>
      </w:pPr>
      <w:r>
        <w:t>Set up plagiarism checking for your team</w:t>
      </w:r>
    </w:p>
    <w:p>
      <w:pPr>
        <w:spacing w:after="60"/>
      </w:pPr>
      <w:r>
        <w:rPr>
          <w:b/>
          <w:color w:val="1F374E"/>
        </w:rPr>
        <w:t>Supporting copy</w:t>
      </w:r>
    </w:p>
    <w:p>
      <w:pPr>
        <w:spacing w:after="160"/>
        <w:ind w:left="259"/>
      </w:pPr>
      <w:r>
        <w:t>Tell us how your organization works today and whether you need a managed team workspace, Organization Storage, API access, or higher-volume usage.</w:t>
      </w:r>
    </w:p>
    <w:p>
      <w:pPr>
        <w:spacing w:after="60"/>
      </w:pPr>
      <w:r>
        <w:rPr>
          <w:b/>
          <w:color w:val="1F374E"/>
        </w:rPr>
        <w:t>Primary CTA</w:t>
      </w:r>
    </w:p>
    <w:p>
      <w:pPr>
        <w:spacing w:after="160"/>
        <w:ind w:left="259"/>
      </w:pPr>
      <w:r>
        <w:t>Request a business quote</w:t>
      </w:r>
    </w:p>
    <w:p>
      <w:pPr>
        <w:spacing w:after="60"/>
      </w:pPr>
      <w:r>
        <w:rPr>
          <w:b/>
          <w:color w:val="1F374E"/>
        </w:rPr>
        <w:t>Secondary CTA</w:t>
      </w:r>
    </w:p>
    <w:p>
      <w:pPr>
        <w:spacing w:after="160"/>
        <w:ind w:left="259"/>
      </w:pPr>
      <w:r>
        <w:t>View standard pricing</w:t>
      </w:r>
    </w:p>
    <w:p>
      <w:pPr>
        <w:spacing w:after="60"/>
      </w:pPr>
      <w:r>
        <w:rPr>
          <w:b/>
          <w:color w:val="1F374E"/>
        </w:rPr>
        <w:t>Pricing destination</w:t>
      </w:r>
    </w:p>
    <w:p>
      <w:pPr>
        <w:spacing w:after="160"/>
        <w:ind w:left="259"/>
      </w:pPr>
      <w:r>
        <w:t>/prices</w:t>
      </w: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Final CTA rule</w:t>
            </w:r>
          </w:p>
          <w:p>
            <w:pPr>
              <w:pStyle w:val="ListBullet"/>
              <w:spacing w:after="40"/>
            </w:pPr>
            <w:r>
              <w:rPr>
                <w:sz w:val="18"/>
              </w:rPr>
              <w:t>Do not return the user to a checker widget or render a second fake checker.</w:t>
            </w:r>
          </w:p>
          <w:p>
            <w:pPr>
              <w:pStyle w:val="ListBullet"/>
              <w:spacing w:after="40"/>
            </w:pPr>
            <w:r>
              <w:rPr>
                <w:sz w:val="18"/>
              </w:rPr>
              <w:t>Primary action should reach the Business inquiry. Secondary action can go to standard pricing.</w:t>
            </w:r>
          </w:p>
        </w:tc>
      </w:tr>
    </w:tbl>
    <w:p>
      <w:pPr>
        <w:spacing w:after="60"/>
      </w:pPr>
    </w:p>
    <w:p>
      <w:pPr>
        <w:pStyle w:val="Heading1"/>
      </w:pPr>
      <w:r>
        <w:t>12. APPROVED INTERNAL LINK MAP</w:t>
      </w:r>
    </w:p>
    <w:tbl>
      <w:tblPr>
        <w:tblStyle w:val="TableGrid"/>
        <w:tblW w:type="auto" w:w="0"/>
        <w:jc w:val="center"/>
        <w:tblLook w:firstColumn="1" w:firstRow="1" w:lastColumn="0" w:lastRow="0" w:noHBand="0" w:noVBand="1" w:val="04A0"/>
      </w:tblPr>
      <w:tblGrid>
        <w:gridCol w:w="3389"/>
        <w:gridCol w:w="3389"/>
        <w:gridCol w:w="3389"/>
      </w:tblGrid>
      <w:tr>
        <w:tc>
          <w:tcPr>
            <w:tcW w:type="dxa" w:w="3744"/>
            <w:shd w:fill="EAF1F8"/>
            <w:vAlign w:val="center"/>
            <w:tcMar>
              <w:top w:w="100" w:type="dxa"/>
              <w:start w:w="120" w:type="dxa"/>
              <w:bottom w:w="100" w:type="dxa"/>
              <w:end w:w="120" w:type="dxa"/>
            </w:tcMar>
          </w:tcPr>
          <w:p>
            <w:r>
              <w:rPr>
                <w:b/>
                <w:color w:val="1F374E"/>
                <w:sz w:val="18"/>
              </w:rPr>
              <w:t>Context / anchor</w:t>
            </w:r>
          </w:p>
        </w:tc>
        <w:tc>
          <w:tcPr>
            <w:tcW w:type="dxa" w:w="3024"/>
            <w:shd w:fill="EAF1F8"/>
            <w:vAlign w:val="center"/>
            <w:tcMar>
              <w:top w:w="100" w:type="dxa"/>
              <w:start w:w="120" w:type="dxa"/>
              <w:bottom w:w="100" w:type="dxa"/>
              <w:end w:w="120" w:type="dxa"/>
            </w:tcMar>
          </w:tcPr>
          <w:p>
            <w:r>
              <w:rPr>
                <w:b/>
                <w:color w:val="1F374E"/>
                <w:sz w:val="18"/>
              </w:rPr>
              <w:t>Destination</w:t>
            </w:r>
          </w:p>
        </w:tc>
        <w:tc>
          <w:tcPr>
            <w:tcW w:type="dxa" w:w="4464"/>
            <w:shd w:fill="EAF1F8"/>
            <w:vAlign w:val="center"/>
            <w:tcMar>
              <w:top w:w="100" w:type="dxa"/>
              <w:start w:w="120" w:type="dxa"/>
              <w:bottom w:w="100" w:type="dxa"/>
              <w:end w:w="120" w:type="dxa"/>
            </w:tcMar>
          </w:tcPr>
          <w:p>
            <w:r>
              <w:rPr>
                <w:b/>
                <w:color w:val="1F374E"/>
                <w:sz w:val="18"/>
              </w:rPr>
              <w:t>Rule</w:t>
            </w:r>
          </w:p>
        </w:tc>
      </w:tr>
      <w:tr>
        <w:tc>
          <w:tcPr>
            <w:tcW w:type="dxa" w:w="3744"/>
            <w:vAlign w:val="top"/>
            <w:tcMar>
              <w:top w:w="100" w:type="dxa"/>
              <w:start w:w="120" w:type="dxa"/>
              <w:bottom w:w="100" w:type="dxa"/>
              <w:end w:w="120" w:type="dxa"/>
            </w:tcMar>
          </w:tcPr>
          <w:p>
            <w:pPr>
              <w:spacing w:after="40"/>
            </w:pPr>
            <w:r>
              <w:rPr>
                <w:sz w:val="17"/>
              </w:rPr>
              <w:t>Learn more about Organization Management</w:t>
            </w:r>
          </w:p>
        </w:tc>
        <w:tc>
          <w:tcPr>
            <w:tcW w:type="dxa" w:w="3024"/>
            <w:vAlign w:val="top"/>
            <w:tcMar>
              <w:top w:w="100" w:type="dxa"/>
              <w:start w:w="120" w:type="dxa"/>
              <w:bottom w:w="100" w:type="dxa"/>
              <w:end w:w="120" w:type="dxa"/>
            </w:tcMar>
          </w:tcPr>
          <w:p>
            <w:pPr>
              <w:spacing w:after="40"/>
            </w:pPr>
            <w:r>
              <w:rPr>
                <w:sz w:val="17"/>
              </w:rPr>
              <w:t>/organization-management</w:t>
            </w:r>
          </w:p>
        </w:tc>
        <w:tc>
          <w:tcPr>
            <w:tcW w:type="dxa" w:w="4464"/>
            <w:vAlign w:val="top"/>
            <w:tcMar>
              <w:top w:w="100" w:type="dxa"/>
              <w:start w:w="120" w:type="dxa"/>
              <w:bottom w:w="100" w:type="dxa"/>
              <w:end w:w="120" w:type="dxa"/>
            </w:tcMar>
          </w:tcPr>
          <w:p>
            <w:pPr>
              <w:spacing w:after="40"/>
            </w:pPr>
            <w:r>
              <w:rPr>
                <w:sz w:val="17"/>
              </w:rPr>
              <w:t>Approved contextual supporting link.</w:t>
            </w:r>
          </w:p>
        </w:tc>
      </w:tr>
      <w:tr>
        <w:tc>
          <w:tcPr>
            <w:tcW w:type="dxa" w:w="3744"/>
            <w:vAlign w:val="top"/>
            <w:tcMar>
              <w:top w:w="100" w:type="dxa"/>
              <w:start w:w="120" w:type="dxa"/>
              <w:bottom w:w="100" w:type="dxa"/>
              <w:end w:w="120" w:type="dxa"/>
            </w:tcMar>
          </w:tcPr>
          <w:p>
            <w:pPr>
              <w:spacing w:after="40"/>
            </w:pPr>
            <w:r>
              <w:rPr>
                <w:sz w:val="17"/>
              </w:rPr>
              <w:t>Explore the Plagiarism API</w:t>
            </w:r>
          </w:p>
        </w:tc>
        <w:tc>
          <w:tcPr>
            <w:tcW w:type="dxa" w:w="3024"/>
            <w:vAlign w:val="top"/>
            <w:tcMar>
              <w:top w:w="100" w:type="dxa"/>
              <w:start w:w="120" w:type="dxa"/>
              <w:bottom w:w="100" w:type="dxa"/>
              <w:end w:w="120" w:type="dxa"/>
            </w:tcMar>
          </w:tcPr>
          <w:p>
            <w:pPr>
              <w:spacing w:after="40"/>
            </w:pPr>
            <w:r>
              <w:rPr>
                <w:sz w:val="17"/>
              </w:rPr>
              <w:t>/plagiarism-api</w:t>
            </w:r>
          </w:p>
        </w:tc>
        <w:tc>
          <w:tcPr>
            <w:tcW w:type="dxa" w:w="4464"/>
            <w:vAlign w:val="top"/>
            <w:tcMar>
              <w:top w:w="100" w:type="dxa"/>
              <w:start w:w="120" w:type="dxa"/>
              <w:bottom w:w="100" w:type="dxa"/>
              <w:end w:w="120" w:type="dxa"/>
            </w:tcMar>
          </w:tcPr>
          <w:p>
            <w:pPr>
              <w:spacing w:after="40"/>
            </w:pPr>
            <w:r>
              <w:rPr>
                <w:sz w:val="17"/>
              </w:rPr>
              <w:t>Approved API owner destination.</w:t>
            </w:r>
          </w:p>
        </w:tc>
      </w:tr>
      <w:tr>
        <w:tc>
          <w:tcPr>
            <w:tcW w:type="dxa" w:w="3744"/>
            <w:vAlign w:val="top"/>
            <w:tcMar>
              <w:top w:w="100" w:type="dxa"/>
              <w:start w:w="120" w:type="dxa"/>
              <w:bottom w:w="100" w:type="dxa"/>
              <w:end w:w="120" w:type="dxa"/>
            </w:tcMar>
          </w:tcPr>
          <w:p>
            <w:pPr>
              <w:spacing w:after="40"/>
            </w:pPr>
            <w:r>
              <w:rPr>
                <w:sz w:val="17"/>
              </w:rPr>
              <w:t>Explore AI Content Detector</w:t>
            </w:r>
          </w:p>
        </w:tc>
        <w:tc>
          <w:tcPr>
            <w:tcW w:type="dxa" w:w="3024"/>
            <w:vAlign w:val="top"/>
            <w:tcMar>
              <w:top w:w="100" w:type="dxa"/>
              <w:start w:w="120" w:type="dxa"/>
              <w:bottom w:w="100" w:type="dxa"/>
              <w:end w:w="120" w:type="dxa"/>
            </w:tcMar>
          </w:tcPr>
          <w:p>
            <w:pPr>
              <w:spacing w:after="40"/>
            </w:pPr>
            <w:r>
              <w:rPr>
                <w:sz w:val="17"/>
              </w:rPr>
              <w:t>/ai-content-detector</w:t>
            </w:r>
          </w:p>
        </w:tc>
        <w:tc>
          <w:tcPr>
            <w:tcW w:type="dxa" w:w="4464"/>
            <w:vAlign w:val="top"/>
            <w:tcMar>
              <w:top w:w="100" w:type="dxa"/>
              <w:start w:w="120" w:type="dxa"/>
              <w:bottom w:w="100" w:type="dxa"/>
              <w:end w:w="120" w:type="dxa"/>
            </w:tcMar>
          </w:tcPr>
          <w:p>
            <w:pPr>
              <w:spacing w:after="40"/>
            </w:pPr>
            <w:r>
              <w:rPr>
                <w:sz w:val="17"/>
              </w:rPr>
              <w:t>Optional secondary capability link; maximum one meaningful body destination unless design requires the same destination in a CTA repeat.</w:t>
            </w:r>
          </w:p>
        </w:tc>
      </w:tr>
      <w:tr>
        <w:tc>
          <w:tcPr>
            <w:tcW w:type="dxa" w:w="3744"/>
            <w:vAlign w:val="top"/>
            <w:tcMar>
              <w:top w:w="100" w:type="dxa"/>
              <w:start w:w="120" w:type="dxa"/>
              <w:bottom w:w="100" w:type="dxa"/>
              <w:end w:w="120" w:type="dxa"/>
            </w:tcMar>
          </w:tcPr>
          <w:p>
            <w:pPr>
              <w:spacing w:after="40"/>
            </w:pPr>
            <w:r>
              <w:rPr>
                <w:sz w:val="17"/>
              </w:rPr>
              <w:t>View standard pricing</w:t>
            </w:r>
          </w:p>
        </w:tc>
        <w:tc>
          <w:tcPr>
            <w:tcW w:type="dxa" w:w="3024"/>
            <w:vAlign w:val="top"/>
            <w:tcMar>
              <w:top w:w="100" w:type="dxa"/>
              <w:start w:w="120" w:type="dxa"/>
              <w:bottom w:w="100" w:type="dxa"/>
              <w:end w:w="120" w:type="dxa"/>
            </w:tcMar>
          </w:tcPr>
          <w:p>
            <w:pPr>
              <w:spacing w:after="40"/>
            </w:pPr>
            <w:r>
              <w:rPr>
                <w:sz w:val="17"/>
              </w:rPr>
              <w:t>/prices</w:t>
            </w:r>
          </w:p>
        </w:tc>
        <w:tc>
          <w:tcPr>
            <w:tcW w:type="dxa" w:w="4464"/>
            <w:vAlign w:val="top"/>
            <w:tcMar>
              <w:top w:w="100" w:type="dxa"/>
              <w:start w:w="120" w:type="dxa"/>
              <w:bottom w:w="100" w:type="dxa"/>
              <w:end w:w="120" w:type="dxa"/>
            </w:tcMar>
          </w:tcPr>
          <w:p>
            <w:pPr>
              <w:spacing w:after="40"/>
            </w:pPr>
            <w:r>
              <w:rPr>
                <w:sz w:val="17"/>
              </w:rPr>
              <w:t>Approved standard purchase destination.</w:t>
            </w:r>
          </w:p>
        </w:tc>
      </w:tr>
      <w:tr>
        <w:tc>
          <w:tcPr>
            <w:tcW w:type="dxa" w:w="3744"/>
            <w:vAlign w:val="top"/>
            <w:tcMar>
              <w:top w:w="100" w:type="dxa"/>
              <w:start w:w="120" w:type="dxa"/>
              <w:bottom w:w="100" w:type="dxa"/>
              <w:end w:w="120" w:type="dxa"/>
            </w:tcMar>
          </w:tcPr>
          <w:p>
            <w:pPr>
              <w:spacing w:after="40"/>
            </w:pPr>
            <w:r>
              <w:rPr>
                <w:sz w:val="17"/>
              </w:rPr>
              <w:t>Read the Privacy Policy</w:t>
            </w:r>
          </w:p>
        </w:tc>
        <w:tc>
          <w:tcPr>
            <w:tcW w:type="dxa" w:w="3024"/>
            <w:vAlign w:val="top"/>
            <w:tcMar>
              <w:top w:w="100" w:type="dxa"/>
              <w:start w:w="120" w:type="dxa"/>
              <w:bottom w:w="100" w:type="dxa"/>
              <w:end w:w="120" w:type="dxa"/>
            </w:tcMar>
          </w:tcPr>
          <w:p>
            <w:pPr>
              <w:spacing w:after="40"/>
            </w:pPr>
            <w:r>
              <w:rPr>
                <w:sz w:val="17"/>
              </w:rPr>
              <w:t>/policy</w:t>
            </w:r>
          </w:p>
        </w:tc>
        <w:tc>
          <w:tcPr>
            <w:tcW w:type="dxa" w:w="4464"/>
            <w:vAlign w:val="top"/>
            <w:tcMar>
              <w:top w:w="100" w:type="dxa"/>
              <w:start w:w="120" w:type="dxa"/>
              <w:bottom w:w="100" w:type="dxa"/>
              <w:end w:w="120" w:type="dxa"/>
            </w:tcMar>
          </w:tcPr>
          <w:p>
            <w:pPr>
              <w:spacing w:after="40"/>
            </w:pPr>
            <w:r>
              <w:rPr>
                <w:sz w:val="17"/>
              </w:rPr>
              <w:t>Approved legal/data-handling destination.</w:t>
            </w:r>
          </w:p>
        </w:tc>
      </w:tr>
      <w:tr>
        <w:tc>
          <w:tcPr>
            <w:tcW w:type="dxa" w:w="3744"/>
            <w:vAlign w:val="top"/>
            <w:tcMar>
              <w:top w:w="100" w:type="dxa"/>
              <w:start w:w="120" w:type="dxa"/>
              <w:bottom w:w="100" w:type="dxa"/>
              <w:end w:w="120" w:type="dxa"/>
            </w:tcMar>
          </w:tcPr>
          <w:p>
            <w:pPr>
              <w:spacing w:after="40"/>
            </w:pPr>
            <w:r>
              <w:rPr>
                <w:sz w:val="17"/>
              </w:rPr>
              <w:t>Organization Storage</w:t>
            </w:r>
          </w:p>
        </w:tc>
        <w:tc>
          <w:tcPr>
            <w:tcW w:type="dxa" w:w="3024"/>
            <w:vAlign w:val="top"/>
            <w:tcMar>
              <w:top w:w="100" w:type="dxa"/>
              <w:start w:w="120" w:type="dxa"/>
              <w:bottom w:w="100" w:type="dxa"/>
              <w:end w:w="120" w:type="dxa"/>
            </w:tcMar>
          </w:tcPr>
          <w:p>
            <w:pPr>
              <w:spacing w:after="40"/>
            </w:pPr>
            <w:r>
              <w:rPr>
                <w:sz w:val="17"/>
              </w:rPr>
              <w:t>/plagiarism-database</w:t>
            </w:r>
          </w:p>
        </w:tc>
        <w:tc>
          <w:tcPr>
            <w:tcW w:type="dxa" w:w="4464"/>
            <w:vAlign w:val="top"/>
            <w:tcMar>
              <w:top w:w="100" w:type="dxa"/>
              <w:start w:w="120" w:type="dxa"/>
              <w:bottom w:w="100" w:type="dxa"/>
              <w:end w:w="120" w:type="dxa"/>
            </w:tcMar>
          </w:tcPr>
          <w:p>
            <w:pPr>
              <w:spacing w:after="40"/>
            </w:pPr>
            <w:r>
              <w:rPr>
                <w:sz w:val="17"/>
              </w:rPr>
              <w:t>HOLD prominent link until the destination passes factual QA; do not create a new storage URL.</w:t>
            </w:r>
          </w:p>
        </w:tc>
      </w:tr>
    </w:tbl>
    <w:p>
      <w:pPr>
        <w:spacing w:after="40"/>
      </w:pP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Do not add body links to</w:t>
            </w:r>
          </w:p>
          <w:p>
            <w:pPr>
              <w:pStyle w:val="ListBullet"/>
              <w:spacing w:after="40"/>
            </w:pPr>
            <w:r>
              <w:rPr>
                <w:sz w:val="18"/>
              </w:rPr>
              <w:t>Removed Publishers, Journals, Manuscript or Writers landing routes.</w:t>
            </w:r>
          </w:p>
          <w:p>
            <w:pPr>
              <w:pStyle w:val="ListBullet"/>
              <w:spacing w:after="40"/>
            </w:pPr>
            <w:r>
              <w:rPr>
                <w:sz w:val="18"/>
              </w:rPr>
              <w:t>Students, Teachers, University, Turnitin Alternative, Quote Checker, PDF Checker or PowerPoint Checker merely to increase internal links.</w:t>
            </w:r>
          </w:p>
          <w:p>
            <w:pPr>
              <w:pStyle w:val="ListBullet"/>
              <w:spacing w:after="40"/>
            </w:pPr>
            <w:r>
              <w:rPr>
                <w:sz w:val="18"/>
              </w:rPr>
              <w:t>A new /business, /enterprise or /integrations route.</w:t>
            </w:r>
          </w:p>
        </w:tc>
      </w:tr>
    </w:tbl>
    <w:p>
      <w:pPr>
        <w:spacing w:after="60"/>
      </w:pPr>
    </w:p>
    <w:p>
      <w:pPr>
        <w:pStyle w:val="Heading1"/>
      </w:pPr>
      <w:r>
        <w:t>13. CLAIM / PRODUCT-FACT GUARDRAILS</w:t>
      </w:r>
    </w:p>
    <w:tbl>
      <w:tblPr>
        <w:tblStyle w:val="TableGrid"/>
        <w:tblW w:type="auto" w:w="0"/>
        <w:jc w:val="center"/>
        <w:tblLook w:firstColumn="1" w:firstRow="1" w:lastColumn="0" w:lastRow="0" w:noHBand="0" w:noVBand="1" w:val="04A0"/>
      </w:tblPr>
      <w:tblGrid>
        <w:gridCol w:w="5083"/>
        <w:gridCol w:w="5083"/>
      </w:tblGrid>
      <w:tr>
        <w:tc>
          <w:tcPr>
            <w:tcW w:type="dxa" w:w="7200"/>
            <w:shd w:fill="EAF1F8"/>
            <w:vAlign w:val="center"/>
            <w:tcMar>
              <w:top w:w="100" w:type="dxa"/>
              <w:start w:w="120" w:type="dxa"/>
              <w:bottom w:w="100" w:type="dxa"/>
              <w:end w:w="120" w:type="dxa"/>
            </w:tcMar>
          </w:tcPr>
          <w:p>
            <w:r>
              <w:rPr>
                <w:b/>
                <w:color w:val="1F374E"/>
                <w:sz w:val="18"/>
              </w:rPr>
              <w:t>Claim / feature</w:t>
            </w:r>
          </w:p>
        </w:tc>
        <w:tc>
          <w:tcPr>
            <w:tcW w:type="dxa" w:w="4032"/>
            <w:shd w:fill="EAF1F8"/>
            <w:vAlign w:val="center"/>
            <w:tcMar>
              <w:top w:w="100" w:type="dxa"/>
              <w:start w:w="120" w:type="dxa"/>
              <w:bottom w:w="100" w:type="dxa"/>
              <w:end w:w="120" w:type="dxa"/>
            </w:tcMar>
          </w:tcPr>
          <w:p>
            <w:r>
              <w:rPr>
                <w:b/>
                <w:color w:val="1F374E"/>
                <w:sz w:val="18"/>
              </w:rPr>
              <w:t>Status</w:t>
            </w:r>
          </w:p>
        </w:tc>
      </w:tr>
      <w:tr>
        <w:tc>
          <w:tcPr>
            <w:tcW w:type="dxa" w:w="7200"/>
            <w:vAlign w:val="top"/>
            <w:tcMar>
              <w:top w:w="100" w:type="dxa"/>
              <w:start w:w="120" w:type="dxa"/>
              <w:bottom w:w="100" w:type="dxa"/>
              <w:end w:w="120" w:type="dxa"/>
            </w:tcMar>
          </w:tcPr>
          <w:p>
            <w:pPr>
              <w:spacing w:after="40"/>
            </w:pPr>
            <w:r>
              <w:rPr>
                <w:sz w:val="17"/>
              </w:rPr>
              <w:t>Best / top / most reliable plagiarism checker for organizations</w:t>
            </w:r>
          </w:p>
        </w:tc>
        <w:tc>
          <w:tcPr>
            <w:tcW w:type="dxa" w:w="4032"/>
            <w:vAlign w:val="top"/>
            <w:tcMar>
              <w:top w:w="100" w:type="dxa"/>
              <w:start w:w="120" w:type="dxa"/>
              <w:bottom w:w="100" w:type="dxa"/>
              <w:end w:w="120" w:type="dxa"/>
            </w:tcMar>
          </w:tcPr>
          <w:p>
            <w:pPr>
              <w:spacing w:after="40"/>
            </w:pPr>
            <w:r>
              <w:rPr>
                <w:sz w:val="17"/>
              </w:rPr>
              <w:t>FORBIDDEN - unsupported superiority</w:t>
            </w:r>
          </w:p>
        </w:tc>
      </w:tr>
      <w:tr>
        <w:tc>
          <w:tcPr>
            <w:tcW w:type="dxa" w:w="7200"/>
            <w:vAlign w:val="top"/>
            <w:tcMar>
              <w:top w:w="100" w:type="dxa"/>
              <w:start w:w="120" w:type="dxa"/>
              <w:bottom w:w="100" w:type="dxa"/>
              <w:end w:w="120" w:type="dxa"/>
            </w:tcMar>
          </w:tcPr>
          <w:p>
            <w:pPr>
              <w:spacing w:after="40"/>
            </w:pPr>
            <w:r>
              <w:rPr>
                <w:sz w:val="17"/>
              </w:rPr>
              <w:t>Plagiarism-free content guarantee</w:t>
            </w:r>
          </w:p>
        </w:tc>
        <w:tc>
          <w:tcPr>
            <w:tcW w:type="dxa" w:w="4032"/>
            <w:vAlign w:val="top"/>
            <w:tcMar>
              <w:top w:w="100" w:type="dxa"/>
              <w:start w:w="120" w:type="dxa"/>
              <w:bottom w:w="100" w:type="dxa"/>
              <w:end w:w="120" w:type="dxa"/>
            </w:tcMar>
          </w:tcPr>
          <w:p>
            <w:pPr>
              <w:spacing w:after="40"/>
            </w:pPr>
            <w:r>
              <w:rPr>
                <w:sz w:val="17"/>
              </w:rPr>
              <w:t>FORBIDDEN</w:t>
            </w:r>
          </w:p>
        </w:tc>
      </w:tr>
      <w:tr>
        <w:tc>
          <w:tcPr>
            <w:tcW w:type="dxa" w:w="7200"/>
            <w:vAlign w:val="top"/>
            <w:tcMar>
              <w:top w:w="100" w:type="dxa"/>
              <w:start w:w="120" w:type="dxa"/>
              <w:bottom w:w="100" w:type="dxa"/>
              <w:end w:w="120" w:type="dxa"/>
            </w:tcMar>
          </w:tcPr>
          <w:p>
            <w:pPr>
              <w:spacing w:after="40"/>
            </w:pPr>
            <w:r>
              <w:rPr>
                <w:sz w:val="17"/>
              </w:rPr>
              <w:t>Privacy and security are guaranteed</w:t>
            </w:r>
          </w:p>
        </w:tc>
        <w:tc>
          <w:tcPr>
            <w:tcW w:type="dxa" w:w="4032"/>
            <w:vAlign w:val="top"/>
            <w:tcMar>
              <w:top w:w="100" w:type="dxa"/>
              <w:start w:w="120" w:type="dxa"/>
              <w:bottom w:w="100" w:type="dxa"/>
              <w:end w:w="120" w:type="dxa"/>
            </w:tcMar>
          </w:tcPr>
          <w:p>
            <w:pPr>
              <w:spacing w:after="40"/>
            </w:pPr>
            <w:r>
              <w:rPr>
                <w:sz w:val="17"/>
              </w:rPr>
              <w:t>FORBIDDEN</w:t>
            </w:r>
          </w:p>
        </w:tc>
      </w:tr>
      <w:tr>
        <w:tc>
          <w:tcPr>
            <w:tcW w:type="dxa" w:w="7200"/>
            <w:vAlign w:val="top"/>
            <w:tcMar>
              <w:top w:w="100" w:type="dxa"/>
              <w:start w:w="120" w:type="dxa"/>
              <w:bottom w:w="100" w:type="dxa"/>
              <w:end w:w="120" w:type="dxa"/>
            </w:tcMar>
          </w:tcPr>
          <w:p>
            <w:pPr>
              <w:spacing w:after="40"/>
            </w:pPr>
            <w:r>
              <w:rPr>
                <w:sz w:val="17"/>
              </w:rPr>
              <w:t>Checked document is always deleted forever / never stored anywhere</w:t>
            </w:r>
          </w:p>
        </w:tc>
        <w:tc>
          <w:tcPr>
            <w:tcW w:type="dxa" w:w="4032"/>
            <w:vAlign w:val="top"/>
            <w:tcMar>
              <w:top w:w="100" w:type="dxa"/>
              <w:start w:w="120" w:type="dxa"/>
              <w:bottom w:w="100" w:type="dxa"/>
              <w:end w:w="120" w:type="dxa"/>
            </w:tcMar>
          </w:tcPr>
          <w:p>
            <w:pPr>
              <w:spacing w:after="40"/>
            </w:pPr>
            <w:r>
              <w:rPr>
                <w:sz w:val="17"/>
              </w:rPr>
              <w:t>FORBIDDEN</w:t>
            </w:r>
          </w:p>
        </w:tc>
      </w:tr>
      <w:tr>
        <w:tc>
          <w:tcPr>
            <w:tcW w:type="dxa" w:w="7200"/>
            <w:vAlign w:val="top"/>
            <w:tcMar>
              <w:top w:w="100" w:type="dxa"/>
              <w:start w:w="120" w:type="dxa"/>
              <w:bottom w:w="100" w:type="dxa"/>
              <w:end w:w="120" w:type="dxa"/>
            </w:tcMar>
          </w:tcPr>
          <w:p>
            <w:pPr>
              <w:spacing w:after="40"/>
            </w:pPr>
            <w:r>
              <w:rPr>
                <w:sz w:val="17"/>
              </w:rPr>
              <w:t>24/7/365 support</w:t>
            </w:r>
          </w:p>
        </w:tc>
        <w:tc>
          <w:tcPr>
            <w:tcW w:type="dxa" w:w="4032"/>
            <w:vAlign w:val="top"/>
            <w:tcMar>
              <w:top w:w="100" w:type="dxa"/>
              <w:start w:w="120" w:type="dxa"/>
              <w:bottom w:w="100" w:type="dxa"/>
              <w:end w:w="120" w:type="dxa"/>
            </w:tcMar>
          </w:tcPr>
          <w:p>
            <w:pPr>
              <w:spacing w:after="40"/>
            </w:pPr>
            <w:r>
              <w:rPr>
                <w:sz w:val="17"/>
              </w:rPr>
              <w:t>DO NOT CLAIM - open fact</w:t>
            </w:r>
          </w:p>
        </w:tc>
      </w:tr>
      <w:tr>
        <w:tc>
          <w:tcPr>
            <w:tcW w:type="dxa" w:w="7200"/>
            <w:vAlign w:val="top"/>
            <w:tcMar>
              <w:top w:w="100" w:type="dxa"/>
              <w:start w:w="120" w:type="dxa"/>
              <w:bottom w:w="100" w:type="dxa"/>
              <w:end w:w="120" w:type="dxa"/>
            </w:tcMar>
          </w:tcPr>
          <w:p>
            <w:pPr>
              <w:spacing w:after="40"/>
            </w:pPr>
            <w:r>
              <w:rPr>
                <w:sz w:val="17"/>
              </w:rPr>
              <w:t>Few-minute check, integration or callback SLA</w:t>
            </w:r>
          </w:p>
        </w:tc>
        <w:tc>
          <w:tcPr>
            <w:tcW w:type="dxa" w:w="4032"/>
            <w:vAlign w:val="top"/>
            <w:tcMar>
              <w:top w:w="100" w:type="dxa"/>
              <w:start w:w="120" w:type="dxa"/>
              <w:bottom w:w="100" w:type="dxa"/>
              <w:end w:w="120" w:type="dxa"/>
            </w:tcMar>
          </w:tcPr>
          <w:p>
            <w:pPr>
              <w:spacing w:after="40"/>
            </w:pPr>
            <w:r>
              <w:rPr>
                <w:sz w:val="17"/>
              </w:rPr>
              <w:t>FORBIDDEN unless separately documented</w:t>
            </w:r>
          </w:p>
        </w:tc>
      </w:tr>
      <w:tr>
        <w:tc>
          <w:tcPr>
            <w:tcW w:type="dxa" w:w="7200"/>
            <w:vAlign w:val="top"/>
            <w:tcMar>
              <w:top w:w="100" w:type="dxa"/>
              <w:start w:w="120" w:type="dxa"/>
              <w:bottom w:w="100" w:type="dxa"/>
              <w:end w:w="120" w:type="dxa"/>
            </w:tcMar>
          </w:tcPr>
          <w:p>
            <w:pPr>
              <w:spacing w:after="40"/>
            </w:pPr>
            <w:r>
              <w:rPr>
                <w:sz w:val="17"/>
              </w:rPr>
              <w:t>Universal free API trial</w:t>
            </w:r>
          </w:p>
        </w:tc>
        <w:tc>
          <w:tcPr>
            <w:tcW w:type="dxa" w:w="4032"/>
            <w:vAlign w:val="top"/>
            <w:tcMar>
              <w:top w:w="100" w:type="dxa"/>
              <w:start w:w="120" w:type="dxa"/>
              <w:bottom w:w="100" w:type="dxa"/>
              <w:end w:w="120" w:type="dxa"/>
            </w:tcMar>
          </w:tcPr>
          <w:p>
            <w:pPr>
              <w:spacing w:after="40"/>
            </w:pPr>
            <w:r>
              <w:rPr>
                <w:sz w:val="17"/>
              </w:rPr>
              <w:t>FORBIDDEN</w:t>
            </w:r>
          </w:p>
        </w:tc>
      </w:tr>
      <w:tr>
        <w:tc>
          <w:tcPr>
            <w:tcW w:type="dxa" w:w="7200"/>
            <w:vAlign w:val="top"/>
            <w:tcMar>
              <w:top w:w="100" w:type="dxa"/>
              <w:start w:w="120" w:type="dxa"/>
              <w:bottom w:w="100" w:type="dxa"/>
              <w:end w:w="120" w:type="dxa"/>
            </w:tcMar>
          </w:tcPr>
          <w:p>
            <w:pPr>
              <w:spacing w:after="40"/>
            </w:pPr>
            <w:r>
              <w:rPr>
                <w:sz w:val="17"/>
              </w:rPr>
              <w:t>Every organization automatically has API access</w:t>
            </w:r>
          </w:p>
        </w:tc>
        <w:tc>
          <w:tcPr>
            <w:tcW w:type="dxa" w:w="4032"/>
            <w:vAlign w:val="top"/>
            <w:tcMar>
              <w:top w:w="100" w:type="dxa"/>
              <w:start w:w="120" w:type="dxa"/>
              <w:bottom w:w="100" w:type="dxa"/>
              <w:end w:w="120" w:type="dxa"/>
            </w:tcMar>
          </w:tcPr>
          <w:p>
            <w:pPr>
              <w:spacing w:after="40"/>
            </w:pPr>
            <w:r>
              <w:rPr>
                <w:sz w:val="17"/>
              </w:rPr>
              <w:t>FORBIDDEN</w:t>
            </w:r>
          </w:p>
        </w:tc>
      </w:tr>
      <w:tr>
        <w:tc>
          <w:tcPr>
            <w:tcW w:type="dxa" w:w="7200"/>
            <w:vAlign w:val="top"/>
            <w:tcMar>
              <w:top w:w="100" w:type="dxa"/>
              <w:start w:w="120" w:type="dxa"/>
              <w:bottom w:w="100" w:type="dxa"/>
              <w:end w:w="120" w:type="dxa"/>
            </w:tcMar>
          </w:tcPr>
          <w:p>
            <w:pPr>
              <w:spacing w:after="40"/>
            </w:pPr>
            <w:r>
              <w:rPr>
                <w:sz w:val="17"/>
              </w:rPr>
              <w:t>AI detection equals plagiarism detection</w:t>
            </w:r>
          </w:p>
        </w:tc>
        <w:tc>
          <w:tcPr>
            <w:tcW w:type="dxa" w:w="4032"/>
            <w:vAlign w:val="top"/>
            <w:tcMar>
              <w:top w:w="100" w:type="dxa"/>
              <w:start w:w="120" w:type="dxa"/>
              <w:bottom w:w="100" w:type="dxa"/>
              <w:end w:w="120" w:type="dxa"/>
            </w:tcMar>
          </w:tcPr>
          <w:p>
            <w:pPr>
              <w:spacing w:after="40"/>
            </w:pPr>
            <w:r>
              <w:rPr>
                <w:sz w:val="17"/>
              </w:rPr>
              <w:t>FALSE</w:t>
            </w:r>
          </w:p>
        </w:tc>
      </w:tr>
      <w:tr>
        <w:tc>
          <w:tcPr>
            <w:tcW w:type="dxa" w:w="7200"/>
            <w:vAlign w:val="top"/>
            <w:tcMar>
              <w:top w:w="100" w:type="dxa"/>
              <w:start w:w="120" w:type="dxa"/>
              <w:bottom w:w="100" w:type="dxa"/>
              <w:end w:w="120" w:type="dxa"/>
            </w:tcMar>
          </w:tcPr>
          <w:p>
            <w:pPr>
              <w:spacing w:after="40"/>
            </w:pPr>
            <w:r>
              <w:rPr>
                <w:sz w:val="17"/>
              </w:rPr>
              <w:t>Report is an automatic plagiarism verdict</w:t>
            </w:r>
          </w:p>
        </w:tc>
        <w:tc>
          <w:tcPr>
            <w:tcW w:type="dxa" w:w="4032"/>
            <w:vAlign w:val="top"/>
            <w:tcMar>
              <w:top w:w="100" w:type="dxa"/>
              <w:start w:w="120" w:type="dxa"/>
              <w:bottom w:w="100" w:type="dxa"/>
              <w:end w:w="120" w:type="dxa"/>
            </w:tcMar>
          </w:tcPr>
          <w:p>
            <w:pPr>
              <w:spacing w:after="40"/>
            </w:pPr>
            <w:r>
              <w:rPr>
                <w:sz w:val="17"/>
              </w:rPr>
              <w:t>FALSE</w:t>
            </w:r>
          </w:p>
        </w:tc>
      </w:tr>
      <w:tr>
        <w:tc>
          <w:tcPr>
            <w:tcW w:type="dxa" w:w="7200"/>
            <w:vAlign w:val="top"/>
            <w:tcMar>
              <w:top w:w="100" w:type="dxa"/>
              <w:start w:w="120" w:type="dxa"/>
              <w:bottom w:w="100" w:type="dxa"/>
              <w:end w:w="120" w:type="dxa"/>
            </w:tcMar>
          </w:tcPr>
          <w:p>
            <w:pPr>
              <w:spacing w:after="40"/>
            </w:pPr>
            <w:r>
              <w:rPr>
                <w:sz w:val="17"/>
              </w:rPr>
              <w:t>Normal checks automatically enter Organization Storage</w:t>
            </w:r>
          </w:p>
        </w:tc>
        <w:tc>
          <w:tcPr>
            <w:tcW w:type="dxa" w:w="4032"/>
            <w:vAlign w:val="top"/>
            <w:tcMar>
              <w:top w:w="100" w:type="dxa"/>
              <w:start w:w="120" w:type="dxa"/>
              <w:bottom w:w="100" w:type="dxa"/>
              <w:end w:w="120" w:type="dxa"/>
            </w:tcMar>
          </w:tcPr>
          <w:p>
            <w:pPr>
              <w:spacing w:after="40"/>
            </w:pPr>
            <w:r>
              <w:rPr>
                <w:sz w:val="17"/>
              </w:rPr>
              <w:t>FALSE</w:t>
            </w:r>
          </w:p>
        </w:tc>
      </w:tr>
      <w:tr>
        <w:tc>
          <w:tcPr>
            <w:tcW w:type="dxa" w:w="7200"/>
            <w:vAlign w:val="top"/>
            <w:tcMar>
              <w:top w:w="100" w:type="dxa"/>
              <w:start w:w="120" w:type="dxa"/>
              <w:bottom w:w="100" w:type="dxa"/>
              <w:end w:w="120" w:type="dxa"/>
            </w:tcMar>
          </w:tcPr>
          <w:p>
            <w:pPr>
              <w:spacing w:after="40"/>
            </w:pPr>
            <w:r>
              <w:rPr>
                <w:sz w:val="17"/>
              </w:rPr>
              <w:t>SSO</w:t>
            </w:r>
          </w:p>
        </w:tc>
        <w:tc>
          <w:tcPr>
            <w:tcW w:type="dxa" w:w="4032"/>
            <w:vAlign w:val="top"/>
            <w:tcMar>
              <w:top w:w="100" w:type="dxa"/>
              <w:start w:w="120" w:type="dxa"/>
              <w:bottom w:w="100" w:type="dxa"/>
              <w:end w:w="120" w:type="dxa"/>
            </w:tcMar>
          </w:tcPr>
          <w:p>
            <w:pPr>
              <w:spacing w:after="40"/>
            </w:pPr>
            <w:r>
              <w:rPr>
                <w:sz w:val="17"/>
              </w:rPr>
              <w:t>UNCONFIRMED - do not add</w:t>
            </w:r>
          </w:p>
        </w:tc>
      </w:tr>
      <w:tr>
        <w:tc>
          <w:tcPr>
            <w:tcW w:type="dxa" w:w="7200"/>
            <w:vAlign w:val="top"/>
            <w:tcMar>
              <w:top w:w="100" w:type="dxa"/>
              <w:start w:w="120" w:type="dxa"/>
              <w:bottom w:w="100" w:type="dxa"/>
              <w:end w:w="120" w:type="dxa"/>
            </w:tcMar>
          </w:tcPr>
          <w:p>
            <w:pPr>
              <w:spacing w:after="40"/>
            </w:pPr>
            <w:r>
              <w:rPr>
                <w:sz w:val="17"/>
              </w:rPr>
              <w:t>Departments / organization hierarchy</w:t>
            </w:r>
          </w:p>
        </w:tc>
        <w:tc>
          <w:tcPr>
            <w:tcW w:type="dxa" w:w="4032"/>
            <w:vAlign w:val="top"/>
            <w:tcMar>
              <w:top w:w="100" w:type="dxa"/>
              <w:start w:w="120" w:type="dxa"/>
              <w:bottom w:w="100" w:type="dxa"/>
              <w:end w:w="120" w:type="dxa"/>
            </w:tcMar>
          </w:tcPr>
          <w:p>
            <w:pPr>
              <w:spacing w:after="40"/>
            </w:pPr>
            <w:r>
              <w:rPr>
                <w:sz w:val="17"/>
              </w:rPr>
              <w:t>UNCONFIRMED</w:t>
            </w:r>
          </w:p>
        </w:tc>
      </w:tr>
      <w:tr>
        <w:tc>
          <w:tcPr>
            <w:tcW w:type="dxa" w:w="7200"/>
            <w:vAlign w:val="top"/>
            <w:tcMar>
              <w:top w:w="100" w:type="dxa"/>
              <w:start w:w="120" w:type="dxa"/>
              <w:bottom w:w="100" w:type="dxa"/>
              <w:end w:w="120" w:type="dxa"/>
            </w:tcMar>
          </w:tcPr>
          <w:p>
            <w:pPr>
              <w:spacing w:after="40"/>
            </w:pPr>
            <w:r>
              <w:rPr>
                <w:sz w:val="17"/>
              </w:rPr>
              <w:t>Classes / assignments</w:t>
            </w:r>
          </w:p>
        </w:tc>
        <w:tc>
          <w:tcPr>
            <w:tcW w:type="dxa" w:w="4032"/>
            <w:vAlign w:val="top"/>
            <w:tcMar>
              <w:top w:w="100" w:type="dxa"/>
              <w:start w:w="120" w:type="dxa"/>
              <w:bottom w:w="100" w:type="dxa"/>
              <w:end w:w="120" w:type="dxa"/>
            </w:tcMar>
          </w:tcPr>
          <w:p>
            <w:pPr>
              <w:spacing w:after="40"/>
            </w:pPr>
            <w:r>
              <w:rPr>
                <w:sz w:val="17"/>
              </w:rPr>
              <w:t>DO NOT ADD - not a native Business workflow</w:t>
            </w:r>
          </w:p>
        </w:tc>
      </w:tr>
      <w:tr>
        <w:tc>
          <w:tcPr>
            <w:tcW w:type="dxa" w:w="7200"/>
            <w:vAlign w:val="top"/>
            <w:tcMar>
              <w:top w:w="100" w:type="dxa"/>
              <w:start w:w="120" w:type="dxa"/>
              <w:bottom w:w="100" w:type="dxa"/>
              <w:end w:w="120" w:type="dxa"/>
            </w:tcMar>
          </w:tcPr>
          <w:p>
            <w:pPr>
              <w:spacing w:after="40"/>
            </w:pPr>
            <w:r>
              <w:rPr>
                <w:sz w:val="17"/>
              </w:rPr>
              <w:t>Organization analytics dashboard / audit logs</w:t>
            </w:r>
          </w:p>
        </w:tc>
        <w:tc>
          <w:tcPr>
            <w:tcW w:type="dxa" w:w="4032"/>
            <w:vAlign w:val="top"/>
            <w:tcMar>
              <w:top w:w="100" w:type="dxa"/>
              <w:start w:w="120" w:type="dxa"/>
              <w:bottom w:w="100" w:type="dxa"/>
              <w:end w:w="120" w:type="dxa"/>
            </w:tcMar>
          </w:tcPr>
          <w:p>
            <w:pPr>
              <w:spacing w:after="40"/>
            </w:pPr>
            <w:r>
              <w:rPr>
                <w:sz w:val="17"/>
              </w:rPr>
              <w:t>UNCONFIRMED</w:t>
            </w:r>
          </w:p>
        </w:tc>
      </w:tr>
      <w:tr>
        <w:tc>
          <w:tcPr>
            <w:tcW w:type="dxa" w:w="7200"/>
            <w:vAlign w:val="top"/>
            <w:tcMar>
              <w:top w:w="100" w:type="dxa"/>
              <w:start w:w="120" w:type="dxa"/>
              <w:bottom w:w="100" w:type="dxa"/>
              <w:end w:w="120" w:type="dxa"/>
            </w:tcMar>
          </w:tcPr>
          <w:p>
            <w:pPr>
              <w:spacing w:after="40"/>
            </w:pPr>
            <w:r>
              <w:rPr>
                <w:sz w:val="17"/>
              </w:rPr>
              <w:t>Unlimited seats</w:t>
            </w:r>
          </w:p>
        </w:tc>
        <w:tc>
          <w:tcPr>
            <w:tcW w:type="dxa" w:w="4032"/>
            <w:vAlign w:val="top"/>
            <w:tcMar>
              <w:top w:w="100" w:type="dxa"/>
              <w:start w:w="120" w:type="dxa"/>
              <w:bottom w:w="100" w:type="dxa"/>
              <w:end w:w="120" w:type="dxa"/>
            </w:tcMar>
          </w:tcPr>
          <w:p>
            <w:pPr>
              <w:spacing w:after="40"/>
            </w:pPr>
            <w:r>
              <w:rPr>
                <w:sz w:val="17"/>
              </w:rPr>
              <w:t>UNCONFIRMED</w:t>
            </w:r>
          </w:p>
        </w:tc>
      </w:tr>
      <w:tr>
        <w:tc>
          <w:tcPr>
            <w:tcW w:type="dxa" w:w="7200"/>
            <w:vAlign w:val="top"/>
            <w:tcMar>
              <w:top w:w="100" w:type="dxa"/>
              <w:start w:w="120" w:type="dxa"/>
              <w:bottom w:w="100" w:type="dxa"/>
              <w:end w:w="120" w:type="dxa"/>
            </w:tcMar>
          </w:tcPr>
          <w:p>
            <w:pPr>
              <w:spacing w:after="40"/>
            </w:pPr>
            <w:r>
              <w:rPr>
                <w:sz w:val="17"/>
              </w:rPr>
              <w:t>Fixed enterprise discounts</w:t>
            </w:r>
          </w:p>
        </w:tc>
        <w:tc>
          <w:tcPr>
            <w:tcW w:type="dxa" w:w="4032"/>
            <w:vAlign w:val="top"/>
            <w:tcMar>
              <w:top w:w="100" w:type="dxa"/>
              <w:start w:w="120" w:type="dxa"/>
              <w:bottom w:w="100" w:type="dxa"/>
              <w:end w:w="120" w:type="dxa"/>
            </w:tcMar>
          </w:tcPr>
          <w:p>
            <w:pPr>
              <w:spacing w:after="40"/>
            </w:pPr>
            <w:r>
              <w:rPr>
                <w:sz w:val="17"/>
              </w:rPr>
              <w:t>DO NOT CLAIM</w:t>
            </w:r>
          </w:p>
        </w:tc>
      </w:tr>
      <w:tr>
        <w:tc>
          <w:tcPr>
            <w:tcW w:type="dxa" w:w="7200"/>
            <w:vAlign w:val="top"/>
            <w:tcMar>
              <w:top w:w="100" w:type="dxa"/>
              <w:start w:w="120" w:type="dxa"/>
              <w:bottom w:w="100" w:type="dxa"/>
              <w:end w:w="120" w:type="dxa"/>
            </w:tcMar>
          </w:tcPr>
          <w:p>
            <w:pPr>
              <w:spacing w:after="40"/>
            </w:pPr>
            <w:r>
              <w:rPr>
                <w:sz w:val="17"/>
              </w:rPr>
              <w:t>Dedicated account manager</w:t>
            </w:r>
          </w:p>
        </w:tc>
        <w:tc>
          <w:tcPr>
            <w:tcW w:type="dxa" w:w="4032"/>
            <w:vAlign w:val="top"/>
            <w:tcMar>
              <w:top w:w="100" w:type="dxa"/>
              <w:start w:w="120" w:type="dxa"/>
              <w:bottom w:w="100" w:type="dxa"/>
              <w:end w:w="120" w:type="dxa"/>
            </w:tcMar>
          </w:tcPr>
          <w:p>
            <w:pPr>
              <w:spacing w:after="40"/>
            </w:pPr>
            <w:r>
              <w:rPr>
                <w:sz w:val="17"/>
              </w:rPr>
              <w:t>UNCONFIRMED</w:t>
            </w:r>
          </w:p>
        </w:tc>
      </w:tr>
      <w:tr>
        <w:tc>
          <w:tcPr>
            <w:tcW w:type="dxa" w:w="7200"/>
            <w:vAlign w:val="top"/>
            <w:tcMar>
              <w:top w:w="100" w:type="dxa"/>
              <w:start w:w="120" w:type="dxa"/>
              <w:bottom w:w="100" w:type="dxa"/>
              <w:end w:w="120" w:type="dxa"/>
            </w:tcMar>
          </w:tcPr>
          <w:p>
            <w:pPr>
              <w:spacing w:after="40"/>
            </w:pPr>
            <w:r>
              <w:rPr>
                <w:sz w:val="17"/>
              </w:rPr>
              <w:t>Security certifications / “enterprise-grade” certification claims</w:t>
            </w:r>
          </w:p>
        </w:tc>
        <w:tc>
          <w:tcPr>
            <w:tcW w:type="dxa" w:w="4032"/>
            <w:vAlign w:val="top"/>
            <w:tcMar>
              <w:top w:w="100" w:type="dxa"/>
              <w:start w:w="120" w:type="dxa"/>
              <w:bottom w:w="100" w:type="dxa"/>
              <w:end w:w="120" w:type="dxa"/>
            </w:tcMar>
          </w:tcPr>
          <w:p>
            <w:pPr>
              <w:spacing w:after="40"/>
            </w:pPr>
            <w:r>
              <w:rPr>
                <w:sz w:val="17"/>
              </w:rPr>
              <w:t>UNCONFIRMED</w:t>
            </w:r>
          </w:p>
        </w:tc>
      </w:tr>
      <w:tr>
        <w:tc>
          <w:tcPr>
            <w:tcW w:type="dxa" w:w="7200"/>
            <w:vAlign w:val="top"/>
            <w:tcMar>
              <w:top w:w="100" w:type="dxa"/>
              <w:start w:w="120" w:type="dxa"/>
              <w:bottom w:w="100" w:type="dxa"/>
              <w:end w:w="120" w:type="dxa"/>
            </w:tcMar>
          </w:tcPr>
          <w:p>
            <w:pPr>
              <w:spacing w:after="40"/>
            </w:pPr>
            <w:r>
              <w:rPr>
                <w:sz w:val="17"/>
              </w:rPr>
              <w:t>500M+ academic texts</w:t>
            </w:r>
          </w:p>
        </w:tc>
        <w:tc>
          <w:tcPr>
            <w:tcW w:type="dxa" w:w="4032"/>
            <w:vAlign w:val="top"/>
            <w:tcMar>
              <w:top w:w="100" w:type="dxa"/>
              <w:start w:w="120" w:type="dxa"/>
              <w:bottom w:w="100" w:type="dxa"/>
              <w:end w:w="120" w:type="dxa"/>
            </w:tcMar>
          </w:tcPr>
          <w:p>
            <w:pPr>
              <w:spacing w:after="40"/>
            </w:pPr>
            <w:r>
              <w:rPr>
                <w:sz w:val="17"/>
              </w:rPr>
              <w:t>CONFIRMED product fact, but use only if the page actually needs academic-source proof; it is not required in this Business baseline.</w:t>
            </w:r>
          </w:p>
        </w:tc>
      </w:tr>
      <w:tr>
        <w:tc>
          <w:tcPr>
            <w:tcW w:type="dxa" w:w="7200"/>
            <w:vAlign w:val="top"/>
            <w:tcMar>
              <w:top w:w="100" w:type="dxa"/>
              <w:start w:w="120" w:type="dxa"/>
              <w:bottom w:w="100" w:type="dxa"/>
              <w:end w:w="120" w:type="dxa"/>
            </w:tcMar>
          </w:tcPr>
          <w:p>
            <w:pPr>
              <w:spacing w:after="40"/>
            </w:pPr>
            <w:r>
              <w:rPr>
                <w:sz w:val="17"/>
              </w:rPr>
              <w:t>500,000+ users</w:t>
            </w:r>
          </w:p>
        </w:tc>
        <w:tc>
          <w:tcPr>
            <w:tcW w:type="dxa" w:w="4032"/>
            <w:vAlign w:val="top"/>
            <w:tcMar>
              <w:top w:w="100" w:type="dxa"/>
              <w:start w:w="120" w:type="dxa"/>
              <w:bottom w:w="100" w:type="dxa"/>
              <w:end w:w="120" w:type="dxa"/>
            </w:tcMar>
          </w:tcPr>
          <w:p>
            <w:pPr>
              <w:spacing w:after="40"/>
            </w:pPr>
            <w:r>
              <w:rPr>
                <w:sz w:val="17"/>
              </w:rPr>
              <w:t>CONFIRMED global proof, but not required here and must never be relabeled as 500,000 customers.</w:t>
            </w:r>
          </w:p>
        </w:tc>
      </w:tr>
    </w:tbl>
    <w:p>
      <w:pPr>
        <w:spacing w:after="40"/>
      </w:pPr>
    </w:p>
    <w:p>
      <w:pPr>
        <w:pStyle w:val="Heading1"/>
      </w:pPr>
      <w:r>
        <w:t>14. BUSINESS VS UNIVERSITY SEPARATION</w:t>
      </w:r>
    </w:p>
    <w:tbl>
      <w:tblPr>
        <w:tblStyle w:val="TableGrid"/>
        <w:tblW w:type="auto" w:w="0"/>
        <w:jc w:val="center"/>
        <w:tblLook w:firstColumn="1" w:firstRow="1" w:lastColumn="0" w:lastRow="0" w:noHBand="0" w:noVBand="1" w:val="04A0"/>
      </w:tblPr>
      <w:tblGrid>
        <w:gridCol w:w="5083"/>
        <w:gridCol w:w="5083"/>
      </w:tblGrid>
      <w:tr>
        <w:tc>
          <w:tcPr>
            <w:tcW w:type="dxa" w:w="5472"/>
            <w:shd w:fill="EAF1F8"/>
            <w:vAlign w:val="center"/>
            <w:tcMar>
              <w:top w:w="100" w:type="dxa"/>
              <w:start w:w="120" w:type="dxa"/>
              <w:bottom w:w="100" w:type="dxa"/>
              <w:end w:w="120" w:type="dxa"/>
            </w:tcMar>
          </w:tcPr>
          <w:p>
            <w:r>
              <w:rPr>
                <w:b/>
                <w:color w:val="1F374E"/>
                <w:sz w:val="18"/>
              </w:rPr>
              <w:t>University master emphasizes</w:t>
            </w:r>
          </w:p>
        </w:tc>
        <w:tc>
          <w:tcPr>
            <w:tcW w:type="dxa" w:w="5472"/>
            <w:shd w:fill="EAF1F8"/>
            <w:vAlign w:val="center"/>
            <w:tcMar>
              <w:top w:w="100" w:type="dxa"/>
              <w:start w:w="120" w:type="dxa"/>
              <w:bottom w:w="100" w:type="dxa"/>
              <w:end w:w="120" w:type="dxa"/>
            </w:tcMar>
          </w:tcPr>
          <w:p>
            <w:r>
              <w:rPr>
                <w:b/>
                <w:color w:val="1F374E"/>
                <w:sz w:val="18"/>
              </w:rPr>
              <w:t>Business &amp; Teams must emphasize</w:t>
            </w:r>
          </w:p>
        </w:tc>
      </w:tr>
      <w:tr>
        <w:tc>
          <w:tcPr>
            <w:tcW w:type="dxa" w:w="5472"/>
            <w:vAlign w:val="top"/>
            <w:tcMar>
              <w:top w:w="100" w:type="dxa"/>
              <w:start w:w="120" w:type="dxa"/>
              <w:bottom w:w="100" w:type="dxa"/>
              <w:end w:w="120" w:type="dxa"/>
            </w:tcMar>
          </w:tcPr>
          <w:p>
            <w:pPr>
              <w:spacing w:after="40"/>
            </w:pPr>
            <w:r>
              <w:rPr>
                <w:sz w:val="17"/>
              </w:rPr>
              <w:t>Institutional academic-integrity workflows</w:t>
            </w:r>
          </w:p>
        </w:tc>
        <w:tc>
          <w:tcPr>
            <w:tcW w:type="dxa" w:w="5472"/>
            <w:vAlign w:val="top"/>
            <w:tcMar>
              <w:top w:w="100" w:type="dxa"/>
              <w:start w:w="120" w:type="dxa"/>
              <w:bottom w:w="100" w:type="dxa"/>
              <w:end w:w="120" w:type="dxa"/>
            </w:tcMar>
          </w:tcPr>
          <w:p>
            <w:pPr>
              <w:spacing w:after="40"/>
            </w:pPr>
            <w:r>
              <w:rPr>
                <w:sz w:val="17"/>
              </w:rPr>
              <w:t>Operational content/document review across a team</w:t>
            </w:r>
          </w:p>
        </w:tc>
      </w:tr>
      <w:tr>
        <w:tc>
          <w:tcPr>
            <w:tcW w:type="dxa" w:w="5472"/>
            <w:vAlign w:val="top"/>
            <w:tcMar>
              <w:top w:w="100" w:type="dxa"/>
              <w:start w:w="120" w:type="dxa"/>
              <w:bottom w:w="100" w:type="dxa"/>
              <w:end w:w="120" w:type="dxa"/>
            </w:tcMar>
          </w:tcPr>
          <w:p>
            <w:pPr>
              <w:spacing w:after="40"/>
            </w:pPr>
            <w:r>
              <w:rPr>
                <w:sz w:val="17"/>
              </w:rPr>
              <w:t>Moodle / Canvas deployment</w:t>
            </w:r>
          </w:p>
        </w:tc>
        <w:tc>
          <w:tcPr>
            <w:tcW w:type="dxa" w:w="5472"/>
            <w:vAlign w:val="top"/>
            <w:tcMar>
              <w:top w:w="100" w:type="dxa"/>
              <w:start w:w="120" w:type="dxa"/>
              <w:bottom w:w="100" w:type="dxa"/>
              <w:end w:w="120" w:type="dxa"/>
            </w:tcMar>
          </w:tcPr>
          <w:p>
            <w:pPr>
              <w:spacing w:after="40"/>
            </w:pPr>
            <w:r>
              <w:rPr>
                <w:sz w:val="17"/>
              </w:rPr>
              <w:t>Organization workspace + optional API automation</w:t>
            </w:r>
          </w:p>
        </w:tc>
      </w:tr>
      <w:tr>
        <w:tc>
          <w:tcPr>
            <w:tcW w:type="dxa" w:w="5472"/>
            <w:vAlign w:val="top"/>
            <w:tcMar>
              <w:top w:w="100" w:type="dxa"/>
              <w:start w:w="120" w:type="dxa"/>
              <w:bottom w:w="100" w:type="dxa"/>
              <w:end w:w="120" w:type="dxa"/>
            </w:tcMar>
          </w:tcPr>
          <w:p>
            <w:pPr>
              <w:spacing w:after="40"/>
            </w:pPr>
            <w:r>
              <w:rPr>
                <w:sz w:val="17"/>
              </w:rPr>
              <w:t>Faculty/institutional roles</w:t>
            </w:r>
          </w:p>
        </w:tc>
        <w:tc>
          <w:tcPr>
            <w:tcW w:type="dxa" w:w="5472"/>
            <w:vAlign w:val="top"/>
            <w:tcMar>
              <w:top w:w="100" w:type="dxa"/>
              <w:start w:w="120" w:type="dxa"/>
              <w:bottom w:w="100" w:type="dxa"/>
              <w:end w:w="120" w:type="dxa"/>
            </w:tcMar>
          </w:tcPr>
          <w:p>
            <w:pPr>
              <w:spacing w:after="40"/>
            </w:pPr>
            <w:r>
              <w:rPr>
                <w:sz w:val="17"/>
              </w:rPr>
              <w:t>Administrator + team members</w:t>
            </w:r>
          </w:p>
        </w:tc>
      </w:tr>
      <w:tr>
        <w:tc>
          <w:tcPr>
            <w:tcW w:type="dxa" w:w="5472"/>
            <w:vAlign w:val="top"/>
            <w:tcMar>
              <w:top w:w="100" w:type="dxa"/>
              <w:start w:w="120" w:type="dxa"/>
              <w:bottom w:w="100" w:type="dxa"/>
              <w:end w:w="120" w:type="dxa"/>
            </w:tcMar>
          </w:tcPr>
          <w:p>
            <w:pPr>
              <w:spacing w:after="40"/>
            </w:pPr>
            <w:r>
              <w:rPr>
                <w:sz w:val="17"/>
              </w:rPr>
              <w:t>Academic/institutional procurement</w:t>
            </w:r>
          </w:p>
        </w:tc>
        <w:tc>
          <w:tcPr>
            <w:tcW w:type="dxa" w:w="5472"/>
            <w:vAlign w:val="top"/>
            <w:tcMar>
              <w:top w:w="100" w:type="dxa"/>
              <w:start w:w="120" w:type="dxa"/>
              <w:bottom w:w="100" w:type="dxa"/>
              <w:end w:w="120" w:type="dxa"/>
            </w:tcMar>
          </w:tcPr>
          <w:p>
            <w:pPr>
              <w:spacing w:after="40"/>
            </w:pPr>
            <w:r>
              <w:rPr>
                <w:sz w:val="17"/>
              </w:rPr>
              <w:t>Business/high-volume/custom commercial requirements</w:t>
            </w:r>
          </w:p>
        </w:tc>
      </w:tr>
      <w:tr>
        <w:tc>
          <w:tcPr>
            <w:tcW w:type="dxa" w:w="5472"/>
            <w:vAlign w:val="top"/>
            <w:tcMar>
              <w:top w:w="100" w:type="dxa"/>
              <w:start w:w="120" w:type="dxa"/>
              <w:bottom w:w="100" w:type="dxa"/>
              <w:end w:w="120" w:type="dxa"/>
            </w:tcMar>
          </w:tcPr>
          <w:p>
            <w:pPr>
              <w:spacing w:after="40"/>
            </w:pPr>
            <w:r>
              <w:rPr>
                <w:sz w:val="17"/>
              </w:rPr>
              <w:t>Education-specific deployment paths</w:t>
            </w:r>
          </w:p>
        </w:tc>
        <w:tc>
          <w:tcPr>
            <w:tcW w:type="dxa" w:w="5472"/>
            <w:vAlign w:val="top"/>
            <w:tcMar>
              <w:top w:w="100" w:type="dxa"/>
              <w:start w:w="120" w:type="dxa"/>
              <w:bottom w:w="100" w:type="dxa"/>
              <w:end w:w="120" w:type="dxa"/>
            </w:tcMar>
          </w:tcPr>
          <w:p>
            <w:pPr>
              <w:spacing w:after="40"/>
            </w:pPr>
            <w:r>
              <w:rPr>
                <w:sz w:val="17"/>
              </w:rPr>
              <w:t>Member/permission/resource control and business workflows</w:t>
            </w:r>
          </w:p>
        </w:tc>
      </w:tr>
      <w:tr>
        <w:tc>
          <w:tcPr>
            <w:tcW w:type="dxa" w:w="5472"/>
            <w:vAlign w:val="top"/>
            <w:tcMar>
              <w:top w:w="100" w:type="dxa"/>
              <w:start w:w="120" w:type="dxa"/>
              <w:bottom w:w="100" w:type="dxa"/>
              <w:end w:w="120" w:type="dxa"/>
            </w:tcMar>
          </w:tcPr>
          <w:p>
            <w:pPr>
              <w:spacing w:after="40"/>
            </w:pPr>
            <w:r>
              <w:rPr>
                <w:sz w:val="17"/>
              </w:rPr>
              <w:t>Deep LMS story</w:t>
            </w:r>
          </w:p>
        </w:tc>
        <w:tc>
          <w:tcPr>
            <w:tcW w:type="dxa" w:w="5472"/>
            <w:vAlign w:val="top"/>
            <w:tcMar>
              <w:top w:w="100" w:type="dxa"/>
              <w:start w:w="120" w:type="dxa"/>
              <w:bottom w:w="100" w:type="dxa"/>
              <w:end w:w="120" w:type="dxa"/>
            </w:tcMar>
          </w:tcPr>
          <w:p>
            <w:pPr>
              <w:spacing w:after="40"/>
            </w:pPr>
            <w:r>
              <w:rPr>
                <w:sz w:val="17"/>
              </w:rPr>
              <w:t>No deep LMS story by default</w:t>
            </w:r>
          </w:p>
        </w:tc>
      </w:tr>
      <w:tr>
        <w:tc>
          <w:tcPr>
            <w:tcW w:type="dxa" w:w="5472"/>
            <w:vAlign w:val="top"/>
            <w:tcMar>
              <w:top w:w="100" w:type="dxa"/>
              <w:start w:w="120" w:type="dxa"/>
              <w:bottom w:w="100" w:type="dxa"/>
              <w:end w:w="120" w:type="dxa"/>
            </w:tcMar>
          </w:tcPr>
          <w:p>
            <w:pPr>
              <w:spacing w:after="40"/>
            </w:pPr>
            <w:r>
              <w:rPr>
                <w:sz w:val="17"/>
              </w:rPr>
              <w:t>University-specific institutional context</w:t>
            </w:r>
          </w:p>
        </w:tc>
        <w:tc>
          <w:tcPr>
            <w:tcW w:type="dxa" w:w="5472"/>
            <w:vAlign w:val="top"/>
            <w:tcMar>
              <w:top w:w="100" w:type="dxa"/>
              <w:start w:w="120" w:type="dxa"/>
              <w:bottom w:w="100" w:type="dxa"/>
              <w:end w:w="120" w:type="dxa"/>
            </w:tcMar>
          </w:tcPr>
          <w:p>
            <w:pPr>
              <w:spacing w:after="40"/>
            </w:pPr>
            <w:r>
              <w:rPr>
                <w:sz w:val="17"/>
              </w:rPr>
              <w:t>Agencies, content teams, companies, publishers and recurring review</w:t>
            </w:r>
          </w:p>
        </w:tc>
      </w:tr>
    </w:tbl>
    <w:p>
      <w:pPr>
        <w:spacing w:after="40"/>
      </w:pPr>
    </w:p>
    <w:tbl>
      <w:tblPr>
        <w:tblStyle w:val="TableGrid"/>
        <w:tblW w:type="auto" w:w="0"/>
        <w:jc w:val="center"/>
        <w:tblLook w:firstColumn="1" w:firstRow="1" w:lastColumn="0" w:lastRow="0" w:noHBand="0" w:noVBand="1" w:val="04A0"/>
      </w:tblPr>
      <w:tblGrid>
        <w:gridCol w:w="10166"/>
      </w:tblGrid>
      <w:tr>
        <w:trPr>
          <w:cantSplit/>
        </w:trPr>
        <w:tc>
          <w:tcPr>
            <w:tcW w:type="dxa" w:w="10166"/>
            <w:shd w:fill="F7F9FB"/>
            <w:tcMar>
              <w:top w:w="140" w:type="dxa"/>
              <w:start w:w="180" w:type="dxa"/>
              <w:bottom w:w="140" w:type="dxa"/>
              <w:end w:w="180" w:type="dxa"/>
            </w:tcMar>
          </w:tcPr>
          <w:p>
            <w:r>
              <w:rPr>
                <w:b/>
                <w:color w:val="B34437"/>
                <w:sz w:val="20"/>
              </w:rPr>
              <w:t>Do not clone University</w:t>
            </w:r>
          </w:p>
          <w:p>
            <w:pPr>
              <w:pStyle w:val="ListBullet"/>
              <w:spacing w:after="40"/>
            </w:pPr>
            <w:r>
              <w:rPr>
                <w:sz w:val="18"/>
              </w:rPr>
              <w:t>Do not reuse University-specific copy, role labels, LMS-heavy sequence, faculty/student framing or institutional procurement language.</w:t>
            </w:r>
          </w:p>
          <w:p>
            <w:pPr>
              <w:pStyle w:val="ListBullet"/>
              <w:spacing w:after="40"/>
            </w:pPr>
            <w:r>
              <w:rPr>
                <w:sz w:val="18"/>
              </w:rPr>
              <w:t>The pages may share approved section design language and organization-product facts, but the Business narrative must feel independently authored.</w:t>
            </w:r>
          </w:p>
        </w:tc>
      </w:tr>
    </w:tbl>
    <w:p>
      <w:pPr>
        <w:spacing w:after="60"/>
      </w:pPr>
    </w:p>
    <w:p>
      <w:pPr>
        <w:pStyle w:val="Heading1"/>
      </w:pPr>
      <w:r>
        <w:t>15. INTERACTION, RESPONSIVE AND ACCESSIBILITY REQUIREMENTS</w:t>
      </w:r>
    </w:p>
    <w:p>
      <w:pPr>
        <w:pStyle w:val="ListBullet"/>
        <w:spacing w:after="60"/>
      </w:pPr>
      <w:r>
        <w:t>All CTA destinations/actions must be real. Primary quote CTAs should scroll/focus the Business inquiry or use the approved inquiry action; do not leave dead buttons.</w:t>
      </w:r>
    </w:p>
    <w:p>
      <w:pPr>
        <w:pStyle w:val="ListBullet"/>
        <w:spacing w:after="60"/>
      </w:pPr>
      <w:r>
        <w:t>If the Organization relationship visual is interactive, the same information must remain readable without hover and on touch devices.</w:t>
      </w:r>
    </w:p>
    <w:p>
      <w:pPr>
        <w:pStyle w:val="ListBullet"/>
        <w:spacing w:after="60"/>
      </w:pPr>
      <w:r>
        <w:t>If the report demo is interactive, use keyboard-accessible controls and preserve the real match-to-source relationship.</w:t>
      </w:r>
    </w:p>
    <w:p>
      <w:pPr>
        <w:pStyle w:val="ListBullet"/>
        <w:spacing w:after="60"/>
      </w:pPr>
      <w:r>
        <w:t>FAQ controls must be keyboard accessible with correct expanded/collapsed state.</w:t>
      </w:r>
    </w:p>
    <w:p>
      <w:pPr>
        <w:pStyle w:val="ListBullet"/>
        <w:spacing w:after="60"/>
      </w:pPr>
      <w:r>
        <w:t>Form fields need persistent labels, validation, accessible error messages, logical focus order and a clear success state.</w:t>
      </w:r>
    </w:p>
    <w:p>
      <w:pPr>
        <w:pStyle w:val="ListBullet"/>
        <w:spacing w:after="60"/>
      </w:pPr>
      <w:r>
        <w:t>On mobile, relationship diagrams may collapse into ordered vertical groups, but personal vs organization resources and check vs Storage separation must remain obvious.</w:t>
      </w:r>
    </w:p>
    <w:p>
      <w:pPr>
        <w:pStyle w:val="ListBullet"/>
        <w:spacing w:after="60"/>
      </w:pPr>
      <w:r>
        <w:t>Avoid fixed-height containers that clip longer copy. The future multilingual design system must tolerate text expansion even though this page is English.</w:t>
      </w:r>
    </w:p>
    <w:p>
      <w:pPr>
        <w:pStyle w:val="ListBullet"/>
        <w:spacing w:after="60"/>
      </w:pPr>
      <w:r>
        <w:t>Do not place essential text only inside images or decorative diagrams.</w:t>
      </w:r>
    </w:p>
    <w:p>
      <w:pPr>
        <w:pStyle w:val="ListBullet"/>
        <w:spacing w:after="60"/>
      </w:pPr>
      <w:r>
        <w:t>Preserve sensible heading hierarchy and semantic DOM order even if desktop layout visually alternates columns.</w:t>
      </w:r>
    </w:p>
    <w:p>
      <w:pPr>
        <w:pStyle w:val="ListBullet"/>
        <w:spacing w:after="60"/>
      </w:pPr>
      <w:r>
        <w:t>Any tabs/accordions must keep important content available in the DOM; do not rely on client-only network fetch after interaction.</w:t>
      </w:r>
    </w:p>
    <w:p>
      <w:pPr>
        <w:pStyle w:val="Heading1"/>
      </w:pPr>
      <w:r>
        <w:t>16. PRODUCTION / STAGING BINDING RULES</w:t>
      </w:r>
    </w:p>
    <w:p>
      <w:pPr>
        <w:pStyle w:val="ListBullet"/>
        <w:spacing w:after="60"/>
      </w:pPr>
      <w:r>
        <w:t>This page is part of the coordinated staging rebuild and final one-time production cutover; do not treat it as a standalone incremental SEO deployment.</w:t>
      </w:r>
    </w:p>
    <w:p>
      <w:pPr>
        <w:pStyle w:val="ListBullet"/>
        <w:spacing w:after="60"/>
      </w:pPr>
      <w:r>
        <w:t>Prototype values may not replace backend truth. Production pricing, API entitlements, organization balances and checkout rules remain owned by current backend/product sources.</w:t>
      </w:r>
    </w:p>
    <w:p>
      <w:pPr>
        <w:pStyle w:val="ListBullet"/>
        <w:spacing w:after="60"/>
      </w:pPr>
      <w:r>
        <w:t>Form submission must be connected to the real backend/routing with validation and approved consent handling before launch.</w:t>
      </w:r>
    </w:p>
    <w:p>
      <w:pPr>
        <w:pStyle w:val="ListBullet"/>
        <w:spacing w:after="60"/>
      </w:pPr>
      <w:r>
        <w:t>All internal links must use final clean production URLs, not .html prototype paths.</w:t>
      </w:r>
    </w:p>
    <w:p>
      <w:pPr>
        <w:pStyle w:val="ListBullet"/>
        <w:spacing w:after="60"/>
      </w:pPr>
      <w:r>
        <w:t>Preserve indexability, self-canonical behavior and correct hreflang handling for any locale versions; this brief is EN only and is not a translation source.</w:t>
      </w:r>
    </w:p>
    <w:p>
      <w:pPr>
        <w:pStyle w:val="ListBullet"/>
        <w:spacing w:after="60"/>
      </w:pPr>
      <w:r>
        <w:t>No English copy from this page should be translated automatically into other locale pages. Locale rollout remains selective and must be authored natively according to local demand/support.</w:t>
      </w:r>
    </w:p>
    <w:p>
      <w:pPr>
        <w:pStyle w:val="ListBullet"/>
        <w:spacing w:after="60"/>
      </w:pPr>
      <w:r>
        <w:t>Metadata/schema, analytics/tracking events, responsive behavior, accessibility, form backend, canonical/hreflang and final route QA remain required staging checks.</w:t>
      </w:r>
    </w:p>
    <w:p>
      <w:pPr>
        <w:pStyle w:val="Heading1"/>
      </w:pPr>
      <w:r>
        <w:t>17. DEFINITION OF DONE</w:t>
      </w:r>
    </w:p>
    <w:p>
      <w:pPr>
        <w:spacing w:after="60"/>
        <w:ind w:left="216" w:hanging="216"/>
      </w:pPr>
      <w:r>
        <w:t>1. The page unmistakably reads as a Business &amp; Teams solution, not a second generic checker landing.</w:t>
      </w:r>
    </w:p>
    <w:p>
      <w:pPr>
        <w:spacing w:after="60"/>
        <w:ind w:left="216" w:hanging="216"/>
      </w:pPr>
      <w:r>
        <w:t>2. The hero communicates managed team workflow without a checker widget.</w:t>
      </w:r>
    </w:p>
    <w:p>
      <w:pPr>
        <w:spacing w:after="60"/>
        <w:ind w:left="216" w:hanging="216"/>
      </w:pPr>
      <w:r>
        <w:t>3. Organization Management is visually and semantically one of the strongest page ideas.</w:t>
      </w:r>
    </w:p>
    <w:p>
      <w:pPr>
        <w:spacing w:after="60"/>
        <w:ind w:left="216" w:hanging="216"/>
      </w:pPr>
      <w:r>
        <w:t>4. Personal and organization resources are clearly distinct.</w:t>
      </w:r>
    </w:p>
    <w:p>
      <w:pPr>
        <w:spacing w:after="60"/>
        <w:ind w:left="216" w:hanging="216"/>
      </w:pPr>
      <w:r>
        <w:t>5. The report section uses truthful product evidence and no plagiarism-verdict language.</w:t>
      </w:r>
    </w:p>
    <w:p>
      <w:pPr>
        <w:spacing w:after="60"/>
        <w:ind w:left="216" w:hanging="216"/>
      </w:pPr>
      <w:r>
        <w:t>6. Organization Storage is visibly separate from normal checking/report retention and does not look automatic.</w:t>
      </w:r>
    </w:p>
    <w:p>
      <w:pPr>
        <w:spacing w:after="60"/>
        <w:ind w:left="216" w:hanging="216"/>
      </w:pPr>
      <w:r>
        <w:t>7. Business scenarios are operational and do not resurrect old audience SEO landings.</w:t>
      </w:r>
    </w:p>
    <w:p>
      <w:pPr>
        <w:spacing w:after="60"/>
        <w:ind w:left="216" w:hanging="216"/>
      </w:pPr>
      <w:r>
        <w:t>8. Workspace vs API is understandable without duplicating the API page.</w:t>
      </w:r>
    </w:p>
    <w:p>
      <w:pPr>
        <w:spacing w:after="60"/>
        <w:ind w:left="216" w:hanging="216"/>
      </w:pPr>
      <w:r>
        <w:t>9. AI remains secondary and separate from plagiarism.</w:t>
      </w:r>
    </w:p>
    <w:p>
      <w:pPr>
        <w:spacing w:after="60"/>
        <w:ind w:left="216" w:hanging="216"/>
      </w:pPr>
      <w:r>
        <w:t>10. Legacy privacy/security/deletion/support/trial claims are gone.</w:t>
      </w:r>
    </w:p>
    <w:p>
      <w:pPr>
        <w:spacing w:after="60"/>
        <w:ind w:left="216" w:hanging="216"/>
      </w:pPr>
      <w:r>
        <w:t>11. Standard pricing and custom commercial requirements have clear separate paths.</w:t>
      </w:r>
    </w:p>
    <w:p>
      <w:pPr>
        <w:spacing w:after="60"/>
        <w:ind w:left="216" w:hanging="216"/>
      </w:pPr>
      <w:r>
        <w:t>12. The Business inquiry captures useful organization/workflow information and has no unsupported callback promise.</w:t>
      </w:r>
    </w:p>
    <w:p>
      <w:pPr>
        <w:spacing w:after="60"/>
        <w:ind w:left="216" w:hanging="216"/>
      </w:pPr>
      <w:r>
        <w:t>13. FAQ copy matches the approved baseline and is accessible/rendered.</w:t>
      </w:r>
    </w:p>
    <w:p>
      <w:pPr>
        <w:spacing w:after="60"/>
        <w:ind w:left="216" w:hanging="216"/>
      </w:pPr>
      <w:r>
        <w:t>14. No unsupported enterprise features or claims have been introduced.</w:t>
      </w:r>
    </w:p>
    <w:p>
      <w:pPr>
        <w:spacing w:after="60"/>
        <w:ind w:left="216" w:hanging="216"/>
      </w:pPr>
      <w:r>
        <w:t>15. No new SEO URL has been invented.</w:t>
      </w:r>
    </w:p>
    <w:p>
      <w:pPr>
        <w:spacing w:after="60"/>
        <w:ind w:left="216" w:hanging="216"/>
      </w:pPr>
      <w:r>
        <w:t>16. Page works cleanly on desktop and mobile within the approved PlagiarismSearch design system.</w:t>
      </w:r>
    </w:p>
    <w:p>
      <w:pPr>
        <w:spacing w:after="60"/>
        <w:ind w:left="216" w:hanging="216"/>
      </w:pPr>
      <w:r>
        <w:t>17. No new SEC-* library record is created until post-implementation review and approval.</w:t>
      </w:r>
    </w:p>
    <w:p>
      <w:pPr>
        <w:pStyle w:val="Heading1"/>
      </w:pPr>
      <w:r>
        <w:t>18. FINAL EXECUTION PRINCIPLE</w:t>
      </w:r>
    </w:p>
    <w:p>
      <w:r>
        <w:rPr>
          <w:b/>
          <w:color w:val="1F374E"/>
        </w:rPr>
        <w:t xml:space="preserve">Build a real Business product story, not a template. </w:t>
      </w:r>
      <w:r>
        <w:t>The content and product truth above are fixed; the visual solution is yours. Use the approved design system and section library as a vocabulary, not a cage. The strongest result will make the organization workflow immediately understandable, use real product evidence instead of generic enterprise marketing, and keep every claim inside the confirmed facts.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4"/>
      </w:rPr>
      <w:t>PlagiarismSearch SEO Recovery 2026 - EN Business &amp; Teams Claude Implementation Brief - 2026-09-15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F374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F8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B344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37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4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