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CLAUDE EXECUTION BRIEF</w:t>
        <w:br/>
        <w:t>EN STUDENTS PAGE</w:t>
      </w:r>
    </w:p>
    <w:p>
      <w:pPr>
        <w:spacing w:after="120" w:line="252" w:lineRule="auto"/>
        <w:jc w:val="center"/>
      </w:pPr>
      <w:r>
        <w:rPr>
          <w:b/>
          <w:color w:val="2F5F86"/>
        </w:rPr>
        <w:t>PlagiarismSearch - /plagiarism-checker-for-students</w:t>
      </w:r>
    </w:p>
    <w:p>
      <w:pPr>
        <w:spacing w:after="120" w:line="252" w:lineRule="auto"/>
        <w:jc w:val="center"/>
      </w:pPr>
      <w:r>
        <w:t>Content baseline approved for implementation briefing - 15 September 2026</w:t>
      </w:r>
    </w:p>
    <w:p>
      <w:pPr>
        <w:pStyle w:val="SmallNote"/>
        <w:jc w:val="center"/>
      </w:pPr>
      <w:r>
        <w:t>This file is an implementation brief for Claude/Designer. It freezes the page intent, exact content baseline, product semantics, SEO boundaries, interaction requirements and factual restrictions while preserving broad visual freedom inside the approved PlagiarismSearch design system.</w:t>
      </w:r>
    </w:p>
    <w:p>
      <w:pPr>
        <w:pStyle w:val="Heading1"/>
        <w:keepNext/>
        <w:spacing w:before="200" w:after="100"/>
      </w:pPr>
      <w:r>
        <w:t>1. OBJECTIVE</w:t>
      </w:r>
    </w:p>
    <w:p>
      <w:pPr>
        <w:spacing w:after="120" w:line="252" w:lineRule="auto"/>
      </w:pPr>
      <w:r>
        <w:t>Design and implement the new English Students page on the existing /plagiarism-checker-for-students URL. The page must serve a real student pre-submission job: check a draft, inspect matching text and sources, understand each match in context, revise where appropriate, and return to the checker if needed.</w:t>
      </w:r>
    </w:p>
    <w:p>
      <w:pPr>
        <w:spacing w:after="120" w:line="252" w:lineRule="auto"/>
      </w:pPr>
      <w:r>
        <w:t>Do not redesign this as a generic “why plagiarism is bad” article, a duplicate of the homepage, a promise of guaranteed originality, or a legacy “15,000/20,000 words free” landing. The homepage remains the primary generic English Plagiarism Checker owner; this page owns the student-qualified pre-submission use case.</w:t>
      </w:r>
    </w:p>
    <w:tbl>
      <w:tblPr>
        <w:tblStyle w:val="TableGrid"/>
        <w:tblW w:type="auto" w:w="0"/>
        <w:tblLayout w:type="autofit"/>
        <w:tblLook w:firstColumn="1" w:firstRow="1" w:lastColumn="0" w:lastRow="0" w:noHBand="0" w:noVBand="1" w:val="04A0"/>
      </w:tblPr>
      <w:tblGrid>
        <w:gridCol w:w="5083"/>
        <w:gridCol w:w="5083"/>
      </w:tblGrid>
      <w:tr>
        <w:tc>
          <w:tcPr>
            <w:tcW w:type="dxa" w:w="2880"/>
            <w:vAlign w:val="center"/>
            <w:tcMar>
              <w:top w:w="90" w:type="dxa"/>
              <w:start w:w="110" w:type="dxa"/>
              <w:bottom w:w="90" w:type="dxa"/>
              <w:end w:w="110" w:type="dxa"/>
            </w:tcMar>
            <w:shd w:fill="1F374E"/>
          </w:tcPr>
          <w:p>
            <w:pPr>
              <w:spacing w:after="0" w:before="0"/>
            </w:pPr>
            <w:r>
              <w:rPr>
                <w:rFonts w:ascii="Aptos" w:hAnsi="Aptos"/>
                <w:b/>
                <w:color w:val="FFFFFF"/>
                <w:sz w:val="17"/>
              </w:rPr>
              <w:t>Field</w:t>
            </w:r>
          </w:p>
        </w:tc>
        <w:tc>
          <w:tcPr>
            <w:tcW w:type="dxa" w:w="6912"/>
            <w:vAlign w:val="center"/>
            <w:tcMar>
              <w:top w:w="90" w:type="dxa"/>
              <w:start w:w="110" w:type="dxa"/>
              <w:bottom w:w="90" w:type="dxa"/>
              <w:end w:w="110" w:type="dxa"/>
            </w:tcMar>
            <w:shd w:fill="1F374E"/>
          </w:tcPr>
          <w:p>
            <w:pPr>
              <w:spacing w:after="0" w:before="0"/>
            </w:pPr>
            <w:r>
              <w:rPr>
                <w:rFonts w:ascii="Aptos" w:hAnsi="Aptos"/>
                <w:b/>
                <w:color w:val="FFFFFF"/>
                <w:sz w:val="17"/>
              </w:rPr>
              <w:t>Value</w:t>
            </w:r>
          </w:p>
        </w:tc>
      </w:tr>
      <w:tr>
        <w:tc>
          <w:tcPr>
            <w:tcW w:type="dxa" w:w="2880"/>
            <w:vAlign w:val="center"/>
            <w:tcMar>
              <w:top w:w="90" w:type="dxa"/>
              <w:start w:w="110" w:type="dxa"/>
              <w:bottom w:w="90" w:type="dxa"/>
              <w:end w:w="110" w:type="dxa"/>
            </w:tcMar>
          </w:tcPr>
          <w:p>
            <w:pPr>
              <w:spacing w:after="0" w:before="0"/>
            </w:pPr>
            <w:r>
              <w:rPr>
                <w:rFonts w:ascii="Aptos" w:hAnsi="Aptos"/>
                <w:sz w:val="17"/>
              </w:rPr>
              <w:t>URL</w:t>
            </w:r>
          </w:p>
        </w:tc>
        <w:tc>
          <w:tcPr>
            <w:tcW w:type="dxa" w:w="6912"/>
            <w:vAlign w:val="center"/>
            <w:tcMar>
              <w:top w:w="90" w:type="dxa"/>
              <w:start w:w="110" w:type="dxa"/>
              <w:bottom w:w="90" w:type="dxa"/>
              <w:end w:w="110" w:type="dxa"/>
            </w:tcMar>
          </w:tcPr>
          <w:p>
            <w:pPr>
              <w:spacing w:after="0" w:before="0"/>
            </w:pPr>
            <w:r>
              <w:rPr>
                <w:rFonts w:ascii="Aptos" w:hAnsi="Aptos"/>
                <w:sz w:val="17"/>
              </w:rPr>
              <w:t>https://plagiarismsearch.com/plagiarism-checker-for-students</w:t>
            </w:r>
          </w:p>
        </w:tc>
      </w:tr>
      <w:tr>
        <w:tc>
          <w:tcPr>
            <w:tcW w:type="dxa" w:w="2880"/>
            <w:vAlign w:val="center"/>
            <w:tcMar>
              <w:top w:w="90" w:type="dxa"/>
              <w:start w:w="110" w:type="dxa"/>
              <w:bottom w:w="90" w:type="dxa"/>
              <w:end w:w="110" w:type="dxa"/>
            </w:tcMar>
          </w:tcPr>
          <w:p>
            <w:pPr>
              <w:spacing w:after="0" w:before="0"/>
            </w:pPr>
            <w:r>
              <w:rPr>
                <w:rFonts w:ascii="Aptos" w:hAnsi="Aptos"/>
                <w:sz w:val="17"/>
              </w:rPr>
              <w:t>Architecture role</w:t>
            </w:r>
          </w:p>
        </w:tc>
        <w:tc>
          <w:tcPr>
            <w:tcW w:type="dxa" w:w="6912"/>
            <w:vAlign w:val="center"/>
            <w:tcMar>
              <w:top w:w="90" w:type="dxa"/>
              <w:start w:w="110" w:type="dxa"/>
              <w:bottom w:w="90" w:type="dxa"/>
              <w:end w:w="110" w:type="dxa"/>
            </w:tcMar>
          </w:tcPr>
          <w:p>
            <w:pPr>
              <w:spacing w:after="0" w:before="0"/>
            </w:pPr>
            <w:r>
              <w:rPr>
                <w:rFonts w:ascii="Aptos" w:hAnsi="Aptos"/>
                <w:sz w:val="17"/>
              </w:rPr>
              <w:t>Primary English student pre-submission plagiarism-check use case</w:t>
            </w:r>
          </w:p>
        </w:tc>
      </w:tr>
      <w:tr>
        <w:tc>
          <w:tcPr>
            <w:tcW w:type="dxa" w:w="2880"/>
            <w:vAlign w:val="center"/>
            <w:tcMar>
              <w:top w:w="90" w:type="dxa"/>
              <w:start w:w="110" w:type="dxa"/>
              <w:bottom w:w="90" w:type="dxa"/>
              <w:end w:w="110" w:type="dxa"/>
            </w:tcMar>
          </w:tcPr>
          <w:p>
            <w:pPr>
              <w:spacing w:after="0" w:before="0"/>
            </w:pPr>
            <w:r>
              <w:rPr>
                <w:rFonts w:ascii="Aptos" w:hAnsi="Aptos"/>
                <w:sz w:val="17"/>
              </w:rPr>
              <w:t>Archetype</w:t>
            </w:r>
          </w:p>
        </w:tc>
        <w:tc>
          <w:tcPr>
            <w:tcW w:type="dxa" w:w="6912"/>
            <w:vAlign w:val="center"/>
            <w:tcMar>
              <w:top w:w="90" w:type="dxa"/>
              <w:start w:w="110" w:type="dxa"/>
              <w:bottom w:w="90" w:type="dxa"/>
              <w:end w:w="110" w:type="dxa"/>
            </w:tcMar>
          </w:tcPr>
          <w:p>
            <w:pPr>
              <w:spacing w:after="0" w:before="0"/>
            </w:pPr>
            <w:r>
              <w:rPr>
                <w:rFonts w:ascii="Aptos" w:hAnsi="Aptos"/>
                <w:sz w:val="17"/>
              </w:rPr>
              <w:t>AR-09 - Individual Use Case</w:t>
            </w:r>
          </w:p>
        </w:tc>
      </w:tr>
      <w:tr>
        <w:tc>
          <w:tcPr>
            <w:tcW w:type="dxa" w:w="2880"/>
            <w:vAlign w:val="center"/>
            <w:tcMar>
              <w:top w:w="90" w:type="dxa"/>
              <w:start w:w="110" w:type="dxa"/>
              <w:bottom w:w="90" w:type="dxa"/>
              <w:end w:w="110" w:type="dxa"/>
            </w:tcMar>
          </w:tcPr>
          <w:p>
            <w:pPr>
              <w:spacing w:after="0" w:before="0"/>
            </w:pPr>
            <w:r>
              <w:rPr>
                <w:rFonts w:ascii="Aptos" w:hAnsi="Aptos"/>
                <w:sz w:val="17"/>
              </w:rPr>
              <w:t>Route decision</w:t>
            </w:r>
          </w:p>
        </w:tc>
        <w:tc>
          <w:tcPr>
            <w:tcW w:type="dxa" w:w="6912"/>
            <w:vAlign w:val="center"/>
            <w:tcMar>
              <w:top w:w="90" w:type="dxa"/>
              <w:start w:w="110" w:type="dxa"/>
              <w:bottom w:w="90" w:type="dxa"/>
              <w:end w:w="110" w:type="dxa"/>
            </w:tcMar>
          </w:tcPr>
          <w:p>
            <w:pPr>
              <w:spacing w:after="0" w:before="0"/>
            </w:pPr>
            <w:r>
              <w:rPr>
                <w:rFonts w:ascii="Aptos" w:hAnsi="Aptos"/>
                <w:sz w:val="17"/>
              </w:rPr>
              <w:t>KEEP URL + RADICAL CONTENT REWRITE</w:t>
            </w:r>
          </w:p>
        </w:tc>
      </w:tr>
      <w:tr>
        <w:tc>
          <w:tcPr>
            <w:tcW w:type="dxa" w:w="2880"/>
            <w:vAlign w:val="center"/>
            <w:tcMar>
              <w:top w:w="90" w:type="dxa"/>
              <w:start w:w="110" w:type="dxa"/>
              <w:bottom w:w="90" w:type="dxa"/>
              <w:end w:w="110" w:type="dxa"/>
            </w:tcMar>
          </w:tcPr>
          <w:p>
            <w:pPr>
              <w:spacing w:after="0" w:before="0"/>
            </w:pPr>
            <w:r>
              <w:rPr>
                <w:rFonts w:ascii="Aptos" w:hAnsi="Aptos"/>
                <w:sz w:val="17"/>
              </w:rPr>
              <w:t>Priority</w:t>
            </w:r>
          </w:p>
        </w:tc>
        <w:tc>
          <w:tcPr>
            <w:tcW w:type="dxa" w:w="6912"/>
            <w:vAlign w:val="center"/>
            <w:tcMar>
              <w:top w:w="90" w:type="dxa"/>
              <w:start w:w="110" w:type="dxa"/>
              <w:bottom w:w="90" w:type="dxa"/>
              <w:end w:w="110" w:type="dxa"/>
            </w:tcMar>
          </w:tcPr>
          <w:p>
            <w:pPr>
              <w:spacing w:after="0" w:before="0"/>
            </w:pPr>
            <w:r>
              <w:rPr>
                <w:rFonts w:ascii="Aptos" w:hAnsi="Aptos"/>
                <w:sz w:val="17"/>
              </w:rPr>
              <w:t>P1 High</w:t>
            </w:r>
          </w:p>
        </w:tc>
      </w:tr>
      <w:tr>
        <w:tc>
          <w:tcPr>
            <w:tcW w:type="dxa" w:w="2880"/>
            <w:vAlign w:val="center"/>
            <w:tcMar>
              <w:top w:w="90" w:type="dxa"/>
              <w:start w:w="110" w:type="dxa"/>
              <w:bottom w:w="90" w:type="dxa"/>
              <w:end w:w="110" w:type="dxa"/>
            </w:tcMar>
          </w:tcPr>
          <w:p>
            <w:pPr>
              <w:spacing w:after="0" w:before="0"/>
            </w:pPr>
            <w:r>
              <w:rPr>
                <w:rFonts w:ascii="Aptos" w:hAnsi="Aptos"/>
                <w:sz w:val="17"/>
              </w:rPr>
              <w:t>Generic checker owner</w:t>
            </w:r>
          </w:p>
        </w:tc>
        <w:tc>
          <w:tcPr>
            <w:tcW w:type="dxa" w:w="6912"/>
            <w:vAlign w:val="center"/>
            <w:tcMar>
              <w:top w:w="90" w:type="dxa"/>
              <w:start w:w="110" w:type="dxa"/>
              <w:bottom w:w="90" w:type="dxa"/>
              <w:end w:w="110" w:type="dxa"/>
            </w:tcMar>
          </w:tcPr>
          <w:p>
            <w:pPr>
              <w:spacing w:after="0" w:before="0"/>
            </w:pPr>
            <w:r>
              <w:rPr>
                <w:rFonts w:ascii="Aptos" w:hAnsi="Aptos"/>
                <w:sz w:val="17"/>
              </w:rPr>
              <w:t>https://plagiarismsearch.com/ (homepage)</w:t>
            </w:r>
          </w:p>
        </w:tc>
      </w:tr>
      <w:tr>
        <w:tc>
          <w:tcPr>
            <w:tcW w:type="dxa" w:w="2880"/>
            <w:vAlign w:val="center"/>
            <w:tcMar>
              <w:top w:w="90" w:type="dxa"/>
              <w:start w:w="110" w:type="dxa"/>
              <w:bottom w:w="90" w:type="dxa"/>
              <w:end w:w="110" w:type="dxa"/>
            </w:tcMar>
          </w:tcPr>
          <w:p>
            <w:pPr>
              <w:spacing w:after="0" w:before="0"/>
            </w:pPr>
            <w:r>
              <w:rPr>
                <w:rFonts w:ascii="Aptos" w:hAnsi="Aptos"/>
                <w:sz w:val="17"/>
              </w:rPr>
              <w:t>Primary conversion</w:t>
            </w:r>
          </w:p>
        </w:tc>
        <w:tc>
          <w:tcPr>
            <w:tcW w:type="dxa" w:w="6912"/>
            <w:vAlign w:val="center"/>
            <w:tcMar>
              <w:top w:w="90" w:type="dxa"/>
              <w:start w:w="110" w:type="dxa"/>
              <w:bottom w:w="90" w:type="dxa"/>
              <w:end w:w="110" w:type="dxa"/>
            </w:tcMar>
          </w:tcPr>
          <w:p>
            <w:pPr>
              <w:spacing w:after="0" w:before="0"/>
            </w:pPr>
            <w:r>
              <w:rPr>
                <w:rFonts w:ascii="Aptos" w:hAnsi="Aptos"/>
                <w:sz w:val="17"/>
              </w:rPr>
              <w:t>Start plagiarism check</w:t>
            </w:r>
          </w:p>
        </w:tc>
      </w:tr>
      <w:tr>
        <w:tc>
          <w:tcPr>
            <w:tcW w:type="dxa" w:w="2880"/>
            <w:vAlign w:val="center"/>
            <w:tcMar>
              <w:top w:w="90" w:type="dxa"/>
              <w:start w:w="110" w:type="dxa"/>
              <w:bottom w:w="90" w:type="dxa"/>
              <w:end w:w="110" w:type="dxa"/>
            </w:tcMar>
          </w:tcPr>
          <w:p>
            <w:pPr>
              <w:spacing w:after="0" w:before="0"/>
            </w:pPr>
            <w:r>
              <w:rPr>
                <w:rFonts w:ascii="Aptos" w:hAnsi="Aptos"/>
                <w:sz w:val="17"/>
              </w:rPr>
              <w:t>Secondary conversion</w:t>
            </w:r>
          </w:p>
        </w:tc>
        <w:tc>
          <w:tcPr>
            <w:tcW w:type="dxa" w:w="6912"/>
            <w:vAlign w:val="center"/>
            <w:tcMar>
              <w:top w:w="90" w:type="dxa"/>
              <w:start w:w="110" w:type="dxa"/>
              <w:bottom w:w="90" w:type="dxa"/>
              <w:end w:w="110" w:type="dxa"/>
            </w:tcMar>
          </w:tcPr>
          <w:p>
            <w:pPr>
              <w:spacing w:after="0" w:before="0"/>
            </w:pPr>
            <w:r>
              <w:rPr>
                <w:rFonts w:ascii="Aptos" w:hAnsi="Aptos"/>
                <w:sz w:val="17"/>
              </w:rPr>
              <w:t>Registration / pricing path when needed</w:t>
            </w:r>
          </w:p>
        </w:tc>
      </w:tr>
      <w:tr>
        <w:tc>
          <w:tcPr>
            <w:tcW w:type="dxa" w:w="2880"/>
            <w:vAlign w:val="center"/>
            <w:tcMar>
              <w:top w:w="90" w:type="dxa"/>
              <w:start w:w="110" w:type="dxa"/>
              <w:bottom w:w="90" w:type="dxa"/>
              <w:end w:w="110" w:type="dxa"/>
            </w:tcMar>
          </w:tcPr>
          <w:p>
            <w:pPr>
              <w:spacing w:after="0" w:before="0"/>
            </w:pPr>
            <w:r>
              <w:rPr>
                <w:rFonts w:ascii="Aptos" w:hAnsi="Aptos"/>
                <w:sz w:val="17"/>
              </w:rPr>
              <w:t>Design model</w:t>
            </w:r>
          </w:p>
        </w:tc>
        <w:tc>
          <w:tcPr>
            <w:tcW w:type="dxa" w:w="6912"/>
            <w:vAlign w:val="center"/>
            <w:tcMar>
              <w:top w:w="90" w:type="dxa"/>
              <w:start w:w="110" w:type="dxa"/>
              <w:bottom w:w="90" w:type="dxa"/>
              <w:end w:w="110" w:type="dxa"/>
            </w:tcMar>
          </w:tcPr>
          <w:p>
            <w:pPr>
              <w:spacing w:after="0" w:before="0"/>
            </w:pPr>
            <w:r>
              <w:rPr>
                <w:rFonts w:ascii="Aptos" w:hAnsi="Aptos"/>
                <w:sz w:val="17"/>
              </w:rPr>
              <w:t>Master family + page-specific student story inside the approved design system</w:t>
            </w:r>
          </w:p>
        </w:tc>
      </w:tr>
      <w:tr>
        <w:tc>
          <w:tcPr>
            <w:tcW w:type="dxa" w:w="2880"/>
            <w:vAlign w:val="center"/>
            <w:tcMar>
              <w:top w:w="90" w:type="dxa"/>
              <w:start w:w="110" w:type="dxa"/>
              <w:bottom w:w="90" w:type="dxa"/>
              <w:end w:w="110" w:type="dxa"/>
            </w:tcMar>
          </w:tcPr>
          <w:p>
            <w:pPr>
              <w:spacing w:after="0" w:before="0"/>
            </w:pPr>
            <w:r>
              <w:rPr>
                <w:rFonts w:ascii="Aptos" w:hAnsi="Aptos"/>
                <w:sz w:val="17"/>
              </w:rPr>
              <w:t>Library rule</w:t>
            </w:r>
          </w:p>
        </w:tc>
        <w:tc>
          <w:tcPr>
            <w:tcW w:type="dxa" w:w="6912"/>
            <w:vAlign w:val="center"/>
            <w:tcMar>
              <w:top w:w="90" w:type="dxa"/>
              <w:start w:w="110" w:type="dxa"/>
              <w:bottom w:w="90" w:type="dxa"/>
              <w:end w:w="110" w:type="dxa"/>
            </w:tcMar>
          </w:tcPr>
          <w:p>
            <w:pPr>
              <w:spacing w:after="0" w:before="0"/>
            </w:pPr>
            <w:r>
              <w:rPr>
                <w:rFonts w:ascii="Aptos" w:hAnsi="Aptos"/>
                <w:sz w:val="17"/>
              </w:rPr>
              <w:t>Approved SEC-* sections are design vocabulary, not a mandatory block sequence</w:t>
            </w:r>
          </w:p>
        </w:tc>
      </w:tr>
      <w:tr>
        <w:tc>
          <w:tcPr>
            <w:tcW w:type="dxa" w:w="2880"/>
            <w:vAlign w:val="center"/>
            <w:tcMar>
              <w:top w:w="90" w:type="dxa"/>
              <w:start w:w="110" w:type="dxa"/>
              <w:bottom w:w="90" w:type="dxa"/>
              <w:end w:w="110" w:type="dxa"/>
            </w:tcMar>
          </w:tcPr>
          <w:p>
            <w:pPr>
              <w:spacing w:after="0" w:before="0"/>
            </w:pPr>
            <w:r>
              <w:rPr>
                <w:rFonts w:ascii="Aptos" w:hAnsi="Aptos"/>
                <w:sz w:val="17"/>
              </w:rPr>
              <w:t>Library status</w:t>
            </w:r>
          </w:p>
        </w:tc>
        <w:tc>
          <w:tcPr>
            <w:tcW w:type="dxa" w:w="6912"/>
            <w:vAlign w:val="center"/>
            <w:tcMar>
              <w:top w:w="90" w:type="dxa"/>
              <w:start w:w="110" w:type="dxa"/>
              <w:bottom w:w="90" w:type="dxa"/>
              <w:end w:w="110" w:type="dxa"/>
            </w:tcMar>
          </w:tcPr>
          <w:p>
            <w:pPr>
              <w:spacing w:after="0" w:before="0"/>
            </w:pPr>
            <w:r>
              <w:rPr>
                <w:rFonts w:ascii="Aptos" w:hAnsi="Aptos"/>
                <w:sz w:val="17"/>
              </w:rPr>
              <w:t>Do NOT add a new reusable SEC-* record until the completed page is reviewed and approved.</w:t>
            </w:r>
          </w:p>
        </w:tc>
      </w:tr>
    </w:tbl>
    <w:p>
      <w:pPr>
        <w:spacing w:after="120" w:line="252" w:lineRule="auto"/>
      </w:pPr>
    </w:p>
    <w:tbl>
      <w:tblPr>
        <w:tblStyle w:val="TableGrid"/>
        <w:tblW w:type="auto" w:w="0"/>
        <w:tblLook w:firstColumn="1" w:firstRow="1" w:lastColumn="0" w:lastRow="0" w:noHBand="0" w:noVBand="1" w:val="04A0"/>
      </w:tblPr>
      <w:tblGrid>
        <w:gridCol w:w="10166"/>
      </w:tblGrid>
      <w:tr>
        <w:tc>
          <w:tcPr>
            <w:tcW w:type="dxa" w:w="10166"/>
            <w:shd w:fill="FFF2EA"/>
            <w:tcMar>
              <w:top w:w="150" w:type="dxa"/>
              <w:start w:w="170" w:type="dxa"/>
              <w:bottom w:w="150" w:type="dxa"/>
              <w:end w:w="170" w:type="dxa"/>
            </w:tcMar>
          </w:tcPr>
          <w:p>
            <w:r>
              <w:rPr>
                <w:rFonts w:ascii="Aptos" w:hAnsi="Aptos"/>
                <w:b/>
                <w:color w:val="1F374E"/>
                <w:sz w:val="19"/>
              </w:rPr>
              <w:t>NON-NEGOTIABLE DIFFERENTIATION</w:t>
            </w:r>
          </w:p>
          <w:p>
            <w:pPr>
              <w:spacing w:after="40"/>
            </w:pPr>
            <w:r>
              <w:rPr>
                <w:rFonts w:ascii="Aptos" w:hAnsi="Aptos"/>
                <w:sz w:val="18"/>
              </w:rPr>
              <w:t>The hero uses the real production checker because “plagiarism checker for students” is a legitimate qualified tool intent.</w:t>
            </w:r>
          </w:p>
          <w:p>
            <w:pPr>
              <w:spacing w:after="40"/>
            </w:pPr>
            <w:r>
              <w:rPr>
                <w:rFonts w:ascii="Aptos" w:hAnsi="Aptos"/>
                <w:sz w:val="18"/>
              </w:rPr>
              <w:t>The page must still feel different from the homepage: student framing is “before submission -&gt; inspect evidence -&gt; interpret matches -&gt; revise deliberately,” not generic checker education.</w:t>
            </w:r>
          </w:p>
          <w:p>
            <w:pPr>
              <w:spacing w:after="40"/>
            </w:pPr>
            <w:r>
              <w:rPr>
                <w:rFonts w:ascii="Aptos" w:hAnsi="Aptos"/>
                <w:sz w:val="18"/>
              </w:rPr>
              <w:t>The signature student message is: Similarity is not a plagiarism grade.</w:t>
            </w:r>
          </w:p>
          <w:p>
            <w:pPr>
              <w:spacing w:after="40"/>
            </w:pPr>
            <w:r>
              <w:rPr>
                <w:rFonts w:ascii="Aptos" w:hAnsi="Aptos"/>
                <w:sz w:val="18"/>
              </w:rPr>
              <w:t>Do not optimize the new page around legacy 15,000/20,000-word free queries. The confirmed current free offer is 150 words without registration and 300 plagiarism words per day for registered users.</w:t>
            </w:r>
          </w:p>
          <w:p>
            <w:pPr>
              <w:spacing w:after="40"/>
            </w:pPr>
            <w:r>
              <w:rPr>
                <w:rFonts w:ascii="Aptos" w:hAnsi="Aptos"/>
                <w:sz w:val="18"/>
              </w:rPr>
              <w:t>No promise of 100% originality/authenticity, safe similarity thresholds, automatic citation fixes, “passing” plagiarism detection, or guaranteed academic integrity.</w:t>
            </w:r>
          </w:p>
        </w:tc>
      </w:tr>
    </w:tbl>
    <w:p>
      <w:pPr>
        <w:spacing w:after="120" w:line="252" w:lineRule="auto"/>
      </w:pPr>
    </w:p>
    <w:p>
      <w:pPr>
        <w:pStyle w:val="Heading1"/>
        <w:keepNext/>
        <w:spacing w:before="200" w:after="100"/>
      </w:pPr>
      <w:r>
        <w:t>2. SOURCE-OF-TRUTH RULE</w:t>
      </w:r>
    </w:p>
    <w:p>
      <w:pPr>
        <w:spacing w:after="120" w:line="252" w:lineRule="auto"/>
      </w:pPr>
      <w:r>
        <w:t>The exact content baseline in this document is authoritative for product facts, claims, CTA labels, approved destinations, FAQ answers, free-use wording and student workflow semantics. Do not browse for replacement claims, rewrite the copy into stronger marketing promises, or introduce new URLs/features/personas during implementation.</w:t>
      </w:r>
    </w:p>
    <w:p>
      <w:pPr>
        <w:spacing w:after="120" w:line="252" w:lineRule="auto"/>
      </w:pPr>
      <w:r>
        <w:t>You may change visual composition, merge compatible information acts, adapt approved section patterns, split copy across visual elements, and choose the strongest layout for the page. You may not change the meaning of the approved content or substitute generic SaaS feature language for required information jobs.</w:t>
      </w:r>
    </w:p>
    <w:p>
      <w:pPr>
        <w:pStyle w:val="Heading1"/>
        <w:keepNext/>
        <w:spacing w:before="200" w:after="100"/>
      </w:pPr>
      <w:r>
        <w:t>3. YOUR DESIGN FREEDOM</w:t>
      </w:r>
    </w:p>
    <w:p>
      <w:pPr>
        <w:spacing w:after="120" w:line="252" w:lineRule="auto"/>
      </w:pPr>
      <w:r>
        <w:t>You own visual composition, grid, spacing, typography within the existing design system, responsive behavior, cards, illustrations/diagrams, motion, transitions, interaction patterns and component styling. The section-first library is a source of proven patterns, not Lego that must be assembled literally.</w:t>
      </w:r>
    </w:p>
    <w:p>
      <w:pPr>
        <w:spacing w:after="120" w:line="252" w:lineRule="auto"/>
      </w:pPr>
      <w:r>
        <w:t>Reuse an approved SEC-* pattern when it solves the information job well. If a different composition would make the student journey clearer, you may create a page-local visual treatment. Do not register it as a new library section during this implementation pass. Library governance happens only after page review and approval.</w:t>
      </w:r>
    </w:p>
    <w:p>
      <w:pPr>
        <w:spacing w:after="120" w:line="252" w:lineRule="auto"/>
      </w:pPr>
      <w:r>
        <w:t>Do not copy the homepage composition section-for-section simply because the same checker/report/control components are available. Share product components and design language; change the page story around student intent.</w:t>
      </w:r>
    </w:p>
    <w:p>
      <w:pPr>
        <w:pStyle w:val="Heading1"/>
        <w:keepNext/>
        <w:spacing w:before="200" w:after="100"/>
      </w:pPr>
      <w:r>
        <w:t>4. PAGE POSITIONING &amp; RECOVERY CONTEXT</w:t>
      </w:r>
    </w:p>
    <w:p>
      <w:pPr>
        <w:spacing w:after="120" w:line="252" w:lineRule="auto"/>
      </w:pPr>
      <w:r>
        <w:t>This URL has real historical visibility and acquisition value, but its legacy query footprint is heavily polluted by branded and generic/free-word-count queries rather than student-qualified intent. The redesign should preserve the URL and its equity while deliberately changing what the page deserves to rank for.</w:t>
      </w:r>
    </w:p>
    <w:tbl>
      <w:tblPr>
        <w:tblStyle w:val="TableGrid"/>
        <w:tblW w:type="auto" w:w="0"/>
        <w:tblLayout w:type="autofit"/>
        <w:tblLook w:firstColumn="1" w:firstRow="1" w:lastColumn="0" w:lastRow="0" w:noHBand="0" w:noVBand="1" w:val="04A0"/>
      </w:tblPr>
      <w:tblGrid>
        <w:gridCol w:w="5083"/>
        <w:gridCol w:w="5083"/>
      </w:tblGrid>
      <w:tr>
        <w:tc>
          <w:tcPr>
            <w:tcW w:type="dxa" w:w="4032"/>
            <w:vAlign w:val="center"/>
            <w:tcMar>
              <w:top w:w="90" w:type="dxa"/>
              <w:start w:w="110" w:type="dxa"/>
              <w:bottom w:w="90" w:type="dxa"/>
              <w:end w:w="110" w:type="dxa"/>
            </w:tcMar>
            <w:shd w:fill="1F374E"/>
          </w:tcPr>
          <w:p>
            <w:pPr>
              <w:spacing w:after="0" w:before="0"/>
            </w:pPr>
            <w:r>
              <w:rPr>
                <w:rFonts w:ascii="Aptos" w:hAnsi="Aptos"/>
                <w:b/>
                <w:color w:val="FFFFFF"/>
                <w:sz w:val="17"/>
              </w:rPr>
              <w:t>Evidence / constraint</w:t>
            </w:r>
          </w:p>
        </w:tc>
        <w:tc>
          <w:tcPr>
            <w:tcW w:type="dxa" w:w="5760"/>
            <w:vAlign w:val="center"/>
            <w:tcMar>
              <w:top w:w="90" w:type="dxa"/>
              <w:start w:w="110" w:type="dxa"/>
              <w:bottom w:w="90" w:type="dxa"/>
              <w:end w:w="110" w:type="dxa"/>
            </w:tcMar>
            <w:shd w:fill="1F374E"/>
          </w:tcPr>
          <w:p>
            <w:pPr>
              <w:spacing w:after="0" w:before="0"/>
            </w:pPr>
            <w:r>
              <w:rPr>
                <w:rFonts w:ascii="Aptos" w:hAnsi="Aptos"/>
                <w:b/>
                <w:color w:val="FFFFFF"/>
                <w:sz w:val="17"/>
              </w:rPr>
              <w:t>Implementation meaning</w:t>
            </w:r>
          </w:p>
        </w:tc>
      </w:tr>
      <w:tr>
        <w:tc>
          <w:tcPr>
            <w:tcW w:type="dxa" w:w="4032"/>
            <w:vAlign w:val="center"/>
            <w:tcMar>
              <w:top w:w="90" w:type="dxa"/>
              <w:start w:w="110" w:type="dxa"/>
              <w:bottom w:w="90" w:type="dxa"/>
              <w:end w:w="110" w:type="dxa"/>
            </w:tcMar>
          </w:tcPr>
          <w:p>
            <w:pPr>
              <w:spacing w:after="0" w:before="0"/>
            </w:pPr>
            <w:r>
              <w:rPr>
                <w:rFonts w:ascii="Aptos" w:hAnsi="Aptos"/>
                <w:sz w:val="17"/>
              </w:rPr>
              <w:t>16-month GSC footprint: large impression history, low CTR, average position around page-one territory</w:t>
            </w:r>
          </w:p>
        </w:tc>
        <w:tc>
          <w:tcPr>
            <w:tcW w:type="dxa" w:w="5760"/>
            <w:vAlign w:val="center"/>
            <w:tcMar>
              <w:top w:w="90" w:type="dxa"/>
              <w:start w:w="110" w:type="dxa"/>
              <w:bottom w:w="90" w:type="dxa"/>
              <w:end w:w="110" w:type="dxa"/>
            </w:tcMar>
          </w:tcPr>
          <w:p>
            <w:pPr>
              <w:spacing w:after="0" w:before="0"/>
            </w:pPr>
            <w:r>
              <w:rPr>
                <w:rFonts w:ascii="Aptos" w:hAnsi="Aptos"/>
                <w:sz w:val="17"/>
              </w:rPr>
              <w:t>Do not assume historical impression volume equals healthy student intent ownership.</w:t>
            </w:r>
          </w:p>
        </w:tc>
      </w:tr>
      <w:tr>
        <w:tc>
          <w:tcPr>
            <w:tcW w:type="dxa" w:w="4032"/>
            <w:vAlign w:val="center"/>
            <w:tcMar>
              <w:top w:w="90" w:type="dxa"/>
              <w:start w:w="110" w:type="dxa"/>
              <w:bottom w:w="90" w:type="dxa"/>
              <w:end w:w="110" w:type="dxa"/>
            </w:tcMar>
          </w:tcPr>
          <w:p>
            <w:pPr>
              <w:spacing w:after="0" w:before="0"/>
            </w:pPr>
            <w:r>
              <w:rPr>
                <w:rFonts w:ascii="Aptos" w:hAnsi="Aptos"/>
                <w:sz w:val="17"/>
              </w:rPr>
              <w:t>Legacy top queries included brand terms and “15,000/20,000 words free” variants</w:t>
            </w:r>
          </w:p>
        </w:tc>
        <w:tc>
          <w:tcPr>
            <w:tcW w:type="dxa" w:w="5760"/>
            <w:vAlign w:val="center"/>
            <w:tcMar>
              <w:top w:w="90" w:type="dxa"/>
              <w:start w:w="110" w:type="dxa"/>
              <w:bottom w:w="90" w:type="dxa"/>
              <w:end w:w="110" w:type="dxa"/>
            </w:tcMar>
          </w:tcPr>
          <w:p>
            <w:pPr>
              <w:spacing w:after="0" w:before="0"/>
            </w:pPr>
            <w:r>
              <w:rPr>
                <w:rFonts w:ascii="Aptos" w:hAnsi="Aptos"/>
                <w:sz w:val="17"/>
              </w:rPr>
              <w:t>Do not reintroduce unsupported old offers merely to defend those queries.</w:t>
            </w:r>
          </w:p>
        </w:tc>
      </w:tr>
      <w:tr>
        <w:tc>
          <w:tcPr>
            <w:tcW w:type="dxa" w:w="4032"/>
            <w:vAlign w:val="center"/>
            <w:tcMar>
              <w:top w:w="90" w:type="dxa"/>
              <w:start w:w="110" w:type="dxa"/>
              <w:bottom w:w="90" w:type="dxa"/>
              <w:end w:w="110" w:type="dxa"/>
            </w:tcMar>
          </w:tcPr>
          <w:p>
            <w:pPr>
              <w:spacing w:after="0" w:before="0"/>
            </w:pPr>
            <w:r>
              <w:rPr>
                <w:rFonts w:ascii="Aptos" w:hAnsi="Aptos"/>
                <w:sz w:val="17"/>
              </w:rPr>
              <w:t>Current confirmed free offer: 150 words anonymous; 300 plagiarism words/day registered</w:t>
            </w:r>
          </w:p>
        </w:tc>
        <w:tc>
          <w:tcPr>
            <w:tcW w:type="dxa" w:w="5760"/>
            <w:vAlign w:val="center"/>
            <w:tcMar>
              <w:top w:w="90" w:type="dxa"/>
              <w:start w:w="110" w:type="dxa"/>
              <w:bottom w:w="90" w:type="dxa"/>
              <w:end w:w="110" w:type="dxa"/>
            </w:tcMar>
          </w:tcPr>
          <w:p>
            <w:pPr>
              <w:spacing w:after="0" w:before="0"/>
            </w:pPr>
            <w:r>
              <w:rPr>
                <w:rFonts w:ascii="Aptos" w:hAnsi="Aptos"/>
                <w:sz w:val="17"/>
              </w:rPr>
              <w:t>Use only these current confirmed limits and re-QA production values before launch.</w:t>
            </w:r>
          </w:p>
        </w:tc>
      </w:tr>
      <w:tr>
        <w:tc>
          <w:tcPr>
            <w:tcW w:type="dxa" w:w="4032"/>
            <w:vAlign w:val="center"/>
            <w:tcMar>
              <w:top w:w="90" w:type="dxa"/>
              <w:start w:w="110" w:type="dxa"/>
              <w:bottom w:w="90" w:type="dxa"/>
              <w:end w:w="110" w:type="dxa"/>
            </w:tcMar>
          </w:tcPr>
          <w:p>
            <w:pPr>
              <w:spacing w:after="0" w:before="0"/>
            </w:pPr>
            <w:r>
              <w:rPr>
                <w:rFonts w:ascii="Aptos" w:hAnsi="Aptos"/>
                <w:sz w:val="17"/>
              </w:rPr>
              <w:t>Dedicated student checker pages exist as a real search/use-case class</w:t>
            </w:r>
          </w:p>
        </w:tc>
        <w:tc>
          <w:tcPr>
            <w:tcW w:type="dxa" w:w="5760"/>
            <w:vAlign w:val="center"/>
            <w:tcMar>
              <w:top w:w="90" w:type="dxa"/>
              <w:start w:w="110" w:type="dxa"/>
              <w:bottom w:w="90" w:type="dxa"/>
              <w:end w:w="110" w:type="dxa"/>
            </w:tcMar>
          </w:tcPr>
          <w:p>
            <w:pPr>
              <w:spacing w:after="0" w:before="0"/>
            </w:pPr>
            <w:r>
              <w:rPr>
                <w:rFonts w:ascii="Aptos" w:hAnsi="Aptos"/>
                <w:sz w:val="17"/>
              </w:rPr>
              <w:t>Keep the URL and make student pre-submission checking genuinely useful.</w:t>
            </w:r>
          </w:p>
        </w:tc>
      </w:tr>
      <w:tr>
        <w:tc>
          <w:tcPr>
            <w:tcW w:type="dxa" w:w="4032"/>
            <w:vAlign w:val="center"/>
            <w:tcMar>
              <w:top w:w="90" w:type="dxa"/>
              <w:start w:w="110" w:type="dxa"/>
              <w:bottom w:w="90" w:type="dxa"/>
              <w:end w:w="110" w:type="dxa"/>
            </w:tcMar>
          </w:tcPr>
          <w:p>
            <w:pPr>
              <w:spacing w:after="0" w:before="0"/>
            </w:pPr>
            <w:r>
              <w:rPr>
                <w:rFonts w:ascii="Aptos" w:hAnsi="Aptos"/>
                <w:sz w:val="17"/>
              </w:rPr>
              <w:t>Homepage owns generic “Plagiarism Checker” intent</w:t>
            </w:r>
          </w:p>
        </w:tc>
        <w:tc>
          <w:tcPr>
            <w:tcW w:type="dxa" w:w="5760"/>
            <w:vAlign w:val="center"/>
            <w:tcMar>
              <w:top w:w="90" w:type="dxa"/>
              <w:start w:w="110" w:type="dxa"/>
              <w:bottom w:w="90" w:type="dxa"/>
              <w:end w:w="110" w:type="dxa"/>
            </w:tcMar>
          </w:tcPr>
          <w:p>
            <w:pPr>
              <w:spacing w:after="0" w:before="0"/>
            </w:pPr>
            <w:r>
              <w:rPr>
                <w:rFonts w:ascii="Aptos" w:hAnsi="Aptos"/>
                <w:sz w:val="17"/>
              </w:rPr>
              <w:t>Student page may use a real checker but must remain clearly qualified by audience/job.</w:t>
            </w:r>
          </w:p>
        </w:tc>
      </w:tr>
    </w:tbl>
    <w:p>
      <w:pPr>
        <w:spacing w:after="120" w:line="252" w:lineRule="auto"/>
      </w:pPr>
    </w:p>
    <w:tbl>
      <w:tblPr>
        <w:tblStyle w:val="TableGrid"/>
        <w:tblW w:type="auto" w:w="0"/>
        <w:tblLook w:firstColumn="1" w:firstRow="1" w:lastColumn="0" w:lastRow="0" w:noHBand="0" w:noVBand="1" w:val="04A0"/>
      </w:tblPr>
      <w:tblGrid>
        <w:gridCol w:w="10166"/>
      </w:tblGrid>
      <w:tr>
        <w:tc>
          <w:tcPr>
            <w:tcW w:type="dxa" w:w="10166"/>
            <w:shd w:fill="EAF7F7"/>
            <w:tcMar>
              <w:top w:w="150" w:type="dxa"/>
              <w:start w:w="170" w:type="dxa"/>
              <w:bottom w:w="150" w:type="dxa"/>
              <w:end w:w="170" w:type="dxa"/>
            </w:tcMar>
          </w:tcPr>
          <w:p>
            <w:r>
              <w:rPr>
                <w:rFonts w:ascii="Aptos" w:hAnsi="Aptos"/>
                <w:b/>
                <w:color w:val="1F374E"/>
                <w:sz w:val="19"/>
              </w:rPr>
              <w:t>RECOVERY INTERPRETATION RULE</w:t>
            </w:r>
          </w:p>
          <w:p>
            <w:pPr>
              <w:spacing w:after="40"/>
            </w:pPr>
            <w:r>
              <w:rPr>
                <w:rFonts w:ascii="Aptos" w:hAnsi="Aptos"/>
                <w:sz w:val="18"/>
              </w:rPr>
              <w:t>Do not judge the redesigned page only by whether total impressions return to the old 193K-style footprint.</w:t>
            </w:r>
          </w:p>
          <w:p>
            <w:pPr>
              <w:spacing w:after="40"/>
            </w:pPr>
            <w:r>
              <w:rPr>
                <w:rFonts w:ascii="Aptos" w:hAnsi="Aptos"/>
                <w:sz w:val="18"/>
              </w:rPr>
              <w:t>Losing mismatched “15k/20k free” impressions is acceptable if relevant student/essay/paper/pre-submission query ownership, CTR and product actions improve.</w:t>
            </w:r>
          </w:p>
          <w:p>
            <w:pPr>
              <w:spacing w:after="40"/>
            </w:pPr>
            <w:r>
              <w:rPr>
                <w:rFonts w:ascii="Aptos" w:hAnsi="Aptos"/>
                <w:sz w:val="18"/>
              </w:rPr>
              <w:t>Do not add copy solely to preserve misleading legacy query associations.</w:t>
            </w:r>
          </w:p>
        </w:tc>
      </w:tr>
    </w:tbl>
    <w:p>
      <w:pPr>
        <w:spacing w:after="120" w:line="252" w:lineRule="auto"/>
      </w:pPr>
    </w:p>
    <w:p>
      <w:pPr>
        <w:pStyle w:val="Heading1"/>
        <w:keepNext/>
        <w:spacing w:before="200" w:after="100"/>
      </w:pPr>
      <w:r>
        <w:t>5. ARCHITECTURE BOUNDARIES</w:t>
      </w:r>
    </w:p>
    <w:tbl>
      <w:tblPr>
        <w:tblStyle w:val="TableGrid"/>
        <w:tblW w:type="auto" w:w="0"/>
        <w:tblLayout w:type="autofit"/>
        <w:tblLook w:firstColumn="1" w:firstRow="1" w:lastColumn="0" w:lastRow="0" w:noHBand="0" w:noVBand="1" w:val="04A0"/>
      </w:tblPr>
      <w:tblGrid>
        <w:gridCol w:w="3389"/>
        <w:gridCol w:w="3389"/>
        <w:gridCol w:w="3389"/>
      </w:tblGrid>
      <w:tr>
        <w:tc>
          <w:tcPr>
            <w:tcW w:type="dxa" w:w="2880"/>
            <w:vAlign w:val="center"/>
            <w:tcMar>
              <w:top w:w="90" w:type="dxa"/>
              <w:start w:w="110" w:type="dxa"/>
              <w:bottom w:w="90" w:type="dxa"/>
              <w:end w:w="110" w:type="dxa"/>
            </w:tcMar>
            <w:shd w:fill="1F374E"/>
          </w:tcPr>
          <w:p>
            <w:pPr>
              <w:spacing w:after="0" w:before="0"/>
            </w:pPr>
            <w:r>
              <w:rPr>
                <w:rFonts w:ascii="Aptos" w:hAnsi="Aptos"/>
                <w:b/>
                <w:color w:val="FFFFFF"/>
                <w:sz w:val="17"/>
              </w:rPr>
              <w:t>Owner URL</w:t>
            </w:r>
          </w:p>
        </w:tc>
        <w:tc>
          <w:tcPr>
            <w:tcW w:type="dxa" w:w="3168"/>
            <w:vAlign w:val="center"/>
            <w:tcMar>
              <w:top w:w="90" w:type="dxa"/>
              <w:start w:w="110" w:type="dxa"/>
              <w:bottom w:w="90" w:type="dxa"/>
              <w:end w:w="110" w:type="dxa"/>
            </w:tcMar>
            <w:shd w:fill="1F374E"/>
          </w:tcPr>
          <w:p>
            <w:pPr>
              <w:spacing w:after="0" w:before="0"/>
            </w:pPr>
            <w:r>
              <w:rPr>
                <w:rFonts w:ascii="Aptos" w:hAnsi="Aptos"/>
                <w:b/>
                <w:color w:val="FFFFFF"/>
                <w:sz w:val="17"/>
              </w:rPr>
              <w:t>Owns this intent</w:t>
            </w:r>
          </w:p>
        </w:tc>
        <w:tc>
          <w:tcPr>
            <w:tcW w:type="dxa" w:w="4320"/>
            <w:vAlign w:val="center"/>
            <w:tcMar>
              <w:top w:w="90" w:type="dxa"/>
              <w:start w:w="110" w:type="dxa"/>
              <w:bottom w:w="90" w:type="dxa"/>
              <w:end w:w="110" w:type="dxa"/>
            </w:tcMar>
            <w:shd w:fill="1F374E"/>
          </w:tcPr>
          <w:p>
            <w:pPr>
              <w:spacing w:after="0" w:before="0"/>
            </w:pPr>
            <w:r>
              <w:rPr>
                <w:rFonts w:ascii="Aptos" w:hAnsi="Aptos"/>
                <w:b/>
                <w:color w:val="FFFFFF"/>
                <w:sz w:val="17"/>
              </w:rPr>
              <w:t>Students page may do</w:t>
            </w:r>
          </w:p>
        </w:tc>
      </w:tr>
      <w:tr>
        <w:tc>
          <w:tcPr>
            <w:tcW w:type="dxa" w:w="2880"/>
            <w:vAlign w:val="center"/>
            <w:tcMar>
              <w:top w:w="90" w:type="dxa"/>
              <w:start w:w="110" w:type="dxa"/>
              <w:bottom w:w="90" w:type="dxa"/>
              <w:end w:w="110" w:type="dxa"/>
            </w:tcMar>
          </w:tcPr>
          <w:p>
            <w:pPr>
              <w:spacing w:after="0" w:before="0"/>
            </w:pPr>
            <w:r>
              <w:rPr>
                <w:rFonts w:ascii="Aptos" w:hAnsi="Aptos"/>
                <w:sz w:val="17"/>
              </w:rPr>
              <w:t>/</w:t>
            </w:r>
          </w:p>
        </w:tc>
        <w:tc>
          <w:tcPr>
            <w:tcW w:type="dxa" w:w="3168"/>
            <w:vAlign w:val="center"/>
            <w:tcMar>
              <w:top w:w="90" w:type="dxa"/>
              <w:start w:w="110" w:type="dxa"/>
              <w:bottom w:w="90" w:type="dxa"/>
              <w:end w:w="110" w:type="dxa"/>
            </w:tcMar>
          </w:tcPr>
          <w:p>
            <w:pPr>
              <w:spacing w:after="0" w:before="0"/>
            </w:pPr>
            <w:r>
              <w:rPr>
                <w:rFonts w:ascii="Aptos" w:hAnsi="Aptos"/>
                <w:sz w:val="17"/>
              </w:rPr>
              <w:t>Generic English Plagiarism Checker</w:t>
            </w:r>
          </w:p>
        </w:tc>
        <w:tc>
          <w:tcPr>
            <w:tcW w:type="dxa" w:w="4320"/>
            <w:vAlign w:val="center"/>
            <w:tcMar>
              <w:top w:w="90" w:type="dxa"/>
              <w:start w:w="110" w:type="dxa"/>
              <w:bottom w:w="90" w:type="dxa"/>
              <w:end w:w="110" w:type="dxa"/>
            </w:tcMar>
          </w:tcPr>
          <w:p>
            <w:pPr>
              <w:spacing w:after="0" w:before="0"/>
            </w:pPr>
            <w:r>
              <w:rPr>
                <w:rFonts w:ascii="Aptos" w:hAnsi="Aptos"/>
                <w:sz w:val="17"/>
              </w:rPr>
              <w:t>Reuse the real checker/report/controls, but frame them around the student pre-submission job rather than generic category ownership.</w:t>
            </w:r>
          </w:p>
        </w:tc>
      </w:tr>
      <w:tr>
        <w:tc>
          <w:tcPr>
            <w:tcW w:type="dxa" w:w="2880"/>
            <w:vAlign w:val="center"/>
            <w:tcMar>
              <w:top w:w="90" w:type="dxa"/>
              <w:start w:w="110" w:type="dxa"/>
              <w:bottom w:w="90" w:type="dxa"/>
              <w:end w:w="110" w:type="dxa"/>
            </w:tcMar>
          </w:tcPr>
          <w:p>
            <w:pPr>
              <w:spacing w:after="0" w:before="0"/>
            </w:pPr>
            <w:r>
              <w:rPr>
                <w:rFonts w:ascii="Aptos" w:hAnsi="Aptos"/>
                <w:sz w:val="17"/>
              </w:rPr>
              <w:t>/plagiarism-checker-for-students</w:t>
            </w:r>
          </w:p>
        </w:tc>
        <w:tc>
          <w:tcPr>
            <w:tcW w:type="dxa" w:w="3168"/>
            <w:vAlign w:val="center"/>
            <w:tcMar>
              <w:top w:w="90" w:type="dxa"/>
              <w:start w:w="110" w:type="dxa"/>
              <w:bottom w:w="90" w:type="dxa"/>
              <w:end w:w="110" w:type="dxa"/>
            </w:tcMar>
          </w:tcPr>
          <w:p>
            <w:pPr>
              <w:spacing w:after="0" w:before="0"/>
            </w:pPr>
            <w:r>
              <w:rPr>
                <w:rFonts w:ascii="Aptos" w:hAnsi="Aptos"/>
                <w:sz w:val="17"/>
              </w:rPr>
              <w:t>Student pre-submission self-check</w:t>
            </w:r>
          </w:p>
        </w:tc>
        <w:tc>
          <w:tcPr>
            <w:tcW w:type="dxa" w:w="4320"/>
            <w:vAlign w:val="center"/>
            <w:tcMar>
              <w:top w:w="90" w:type="dxa"/>
              <w:start w:w="110" w:type="dxa"/>
              <w:bottom w:w="90" w:type="dxa"/>
              <w:end w:w="110" w:type="dxa"/>
            </w:tcMar>
          </w:tcPr>
          <w:p>
            <w:pPr>
              <w:spacing w:after="0" w:before="0"/>
            </w:pPr>
            <w:r>
              <w:rPr>
                <w:rFonts w:ascii="Aptos" w:hAnsi="Aptos"/>
                <w:sz w:val="17"/>
              </w:rPr>
              <w:t>Own student-qualified checking, interpretation of matches, citations/references context and revision workflow.</w:t>
            </w:r>
          </w:p>
        </w:tc>
      </w:tr>
      <w:tr>
        <w:tc>
          <w:tcPr>
            <w:tcW w:type="dxa" w:w="2880"/>
            <w:vAlign w:val="center"/>
            <w:tcMar>
              <w:top w:w="90" w:type="dxa"/>
              <w:start w:w="110" w:type="dxa"/>
              <w:bottom w:w="90" w:type="dxa"/>
              <w:end w:w="110" w:type="dxa"/>
            </w:tcMar>
          </w:tcPr>
          <w:p>
            <w:pPr>
              <w:spacing w:after="0" w:before="0"/>
            </w:pPr>
            <w:r>
              <w:rPr>
                <w:rFonts w:ascii="Aptos" w:hAnsi="Aptos"/>
                <w:sz w:val="17"/>
              </w:rPr>
              <w:t>/plagiarism-checker-for-teachers</w:t>
            </w:r>
          </w:p>
        </w:tc>
        <w:tc>
          <w:tcPr>
            <w:tcW w:type="dxa" w:w="3168"/>
            <w:vAlign w:val="center"/>
            <w:tcMar>
              <w:top w:w="90" w:type="dxa"/>
              <w:start w:w="110" w:type="dxa"/>
              <w:bottom w:w="90" w:type="dxa"/>
              <w:end w:w="110" w:type="dxa"/>
            </w:tcMar>
          </w:tcPr>
          <w:p>
            <w:pPr>
              <w:spacing w:after="0" w:before="0"/>
            </w:pPr>
            <w:r>
              <w:rPr>
                <w:rFonts w:ascii="Aptos" w:hAnsi="Aptos"/>
                <w:sz w:val="17"/>
              </w:rPr>
              <w:t>Individual educator reviewing student work</w:t>
            </w:r>
          </w:p>
        </w:tc>
        <w:tc>
          <w:tcPr>
            <w:tcW w:type="dxa" w:w="4320"/>
            <w:vAlign w:val="center"/>
            <w:tcMar>
              <w:top w:w="90" w:type="dxa"/>
              <w:start w:w="110" w:type="dxa"/>
              <w:bottom w:w="90" w:type="dxa"/>
              <w:end w:w="110" w:type="dxa"/>
            </w:tcMar>
          </w:tcPr>
          <w:p>
            <w:pPr>
              <w:spacing w:after="0" w:before="0"/>
            </w:pPr>
            <w:r>
              <w:rPr>
                <w:rFonts w:ascii="Aptos" w:hAnsi="Aptos"/>
                <w:sz w:val="17"/>
              </w:rPr>
              <w:t>Do not import teacher-review or class-management framing into the student page.</w:t>
            </w:r>
          </w:p>
        </w:tc>
      </w:tr>
      <w:tr>
        <w:tc>
          <w:tcPr>
            <w:tcW w:type="dxa" w:w="2880"/>
            <w:vAlign w:val="center"/>
            <w:tcMar>
              <w:top w:w="90" w:type="dxa"/>
              <w:start w:w="110" w:type="dxa"/>
              <w:bottom w:w="90" w:type="dxa"/>
              <w:end w:w="110" w:type="dxa"/>
            </w:tcMar>
          </w:tcPr>
          <w:p>
            <w:pPr>
              <w:spacing w:after="0" w:before="0"/>
            </w:pPr>
            <w:r>
              <w:rPr>
                <w:rFonts w:ascii="Aptos" w:hAnsi="Aptos"/>
                <w:sz w:val="17"/>
              </w:rPr>
              <w:t>/university-plagiarism-checker</w:t>
            </w:r>
          </w:p>
        </w:tc>
        <w:tc>
          <w:tcPr>
            <w:tcW w:type="dxa" w:w="3168"/>
            <w:vAlign w:val="center"/>
            <w:tcMar>
              <w:top w:w="90" w:type="dxa"/>
              <w:start w:w="110" w:type="dxa"/>
              <w:bottom w:w="90" w:type="dxa"/>
              <w:end w:w="110" w:type="dxa"/>
            </w:tcMar>
          </w:tcPr>
          <w:p>
            <w:pPr>
              <w:spacing w:after="0" w:before="0"/>
            </w:pPr>
            <w:r>
              <w:rPr>
                <w:rFonts w:ascii="Aptos" w:hAnsi="Aptos"/>
                <w:sz w:val="17"/>
              </w:rPr>
              <w:t>Institutional Education / LMS / procurement</w:t>
            </w:r>
          </w:p>
        </w:tc>
        <w:tc>
          <w:tcPr>
            <w:tcW w:type="dxa" w:w="4320"/>
            <w:vAlign w:val="center"/>
            <w:tcMar>
              <w:top w:w="90" w:type="dxa"/>
              <w:start w:w="110" w:type="dxa"/>
              <w:bottom w:w="90" w:type="dxa"/>
              <w:end w:w="110" w:type="dxa"/>
            </w:tcMar>
          </w:tcPr>
          <w:p>
            <w:pPr>
              <w:spacing w:after="0" w:before="0"/>
            </w:pPr>
            <w:r>
              <w:rPr>
                <w:rFonts w:ascii="Aptos" w:hAnsi="Aptos"/>
                <w:sz w:val="17"/>
              </w:rPr>
              <w:t>May be an optional contextual handoff only; do not import institutional admin/LMS/procurement story.</w:t>
            </w:r>
          </w:p>
        </w:tc>
      </w:tr>
      <w:tr>
        <w:tc>
          <w:tcPr>
            <w:tcW w:type="dxa" w:w="2880"/>
            <w:vAlign w:val="center"/>
            <w:tcMar>
              <w:top w:w="90" w:type="dxa"/>
              <w:start w:w="110" w:type="dxa"/>
              <w:bottom w:w="90" w:type="dxa"/>
              <w:end w:w="110" w:type="dxa"/>
            </w:tcMar>
          </w:tcPr>
          <w:p>
            <w:pPr>
              <w:spacing w:after="0" w:before="0"/>
            </w:pPr>
            <w:r>
              <w:rPr>
                <w:rFonts w:ascii="Aptos" w:hAnsi="Aptos"/>
                <w:sz w:val="17"/>
              </w:rPr>
              <w:t>/pdf-plagiarism-checker</w:t>
            </w:r>
          </w:p>
        </w:tc>
        <w:tc>
          <w:tcPr>
            <w:tcW w:type="dxa" w:w="3168"/>
            <w:vAlign w:val="center"/>
            <w:tcMar>
              <w:top w:w="90" w:type="dxa"/>
              <w:start w:w="110" w:type="dxa"/>
              <w:bottom w:w="90" w:type="dxa"/>
              <w:end w:w="110" w:type="dxa"/>
            </w:tcMar>
          </w:tcPr>
          <w:p>
            <w:pPr>
              <w:spacing w:after="0" w:before="0"/>
            </w:pPr>
            <w:r>
              <w:rPr>
                <w:rFonts w:ascii="Aptos" w:hAnsi="Aptos"/>
                <w:sz w:val="17"/>
              </w:rPr>
              <w:t>PDF/file-format checker intent</w:t>
            </w:r>
          </w:p>
        </w:tc>
        <w:tc>
          <w:tcPr>
            <w:tcW w:type="dxa" w:w="4320"/>
            <w:vAlign w:val="center"/>
            <w:tcMar>
              <w:top w:w="90" w:type="dxa"/>
              <w:start w:w="110" w:type="dxa"/>
              <w:bottom w:w="90" w:type="dxa"/>
              <w:end w:w="110" w:type="dxa"/>
            </w:tcMar>
          </w:tcPr>
          <w:p>
            <w:pPr>
              <w:spacing w:after="0" w:before="0"/>
            </w:pPr>
            <w:r>
              <w:rPr>
                <w:rFonts w:ascii="Aptos" w:hAnsi="Aptos"/>
                <w:sz w:val="17"/>
              </w:rPr>
              <w:t>Mention supported PDFs only as part of normal upload support; do not turn the page into a PDF checker landing.</w:t>
            </w:r>
          </w:p>
        </w:tc>
      </w:tr>
      <w:tr>
        <w:tc>
          <w:tcPr>
            <w:tcW w:type="dxa" w:w="2880"/>
            <w:vAlign w:val="center"/>
            <w:tcMar>
              <w:top w:w="90" w:type="dxa"/>
              <w:start w:w="110" w:type="dxa"/>
              <w:bottom w:w="90" w:type="dxa"/>
              <w:end w:w="110" w:type="dxa"/>
            </w:tcMar>
          </w:tcPr>
          <w:p>
            <w:pPr>
              <w:spacing w:after="0" w:before="0"/>
            </w:pPr>
            <w:r>
              <w:rPr>
                <w:rFonts w:ascii="Aptos" w:hAnsi="Aptos"/>
                <w:sz w:val="17"/>
              </w:rPr>
              <w:t>/turnitin-checker-alternative</w:t>
            </w:r>
          </w:p>
        </w:tc>
        <w:tc>
          <w:tcPr>
            <w:tcW w:type="dxa" w:w="3168"/>
            <w:vAlign w:val="center"/>
            <w:tcMar>
              <w:top w:w="90" w:type="dxa"/>
              <w:start w:w="110" w:type="dxa"/>
              <w:bottom w:w="90" w:type="dxa"/>
              <w:end w:w="110" w:type="dxa"/>
            </w:tcMar>
          </w:tcPr>
          <w:p>
            <w:pPr>
              <w:spacing w:after="0" w:before="0"/>
            </w:pPr>
            <w:r>
              <w:rPr>
                <w:rFonts w:ascii="Aptos" w:hAnsi="Aptos"/>
                <w:sz w:val="17"/>
              </w:rPr>
              <w:t>Turnitin comparison / alternative intent</w:t>
            </w:r>
          </w:p>
        </w:tc>
        <w:tc>
          <w:tcPr>
            <w:tcW w:type="dxa" w:w="4320"/>
            <w:vAlign w:val="center"/>
            <w:tcMar>
              <w:top w:w="90" w:type="dxa"/>
              <w:start w:w="110" w:type="dxa"/>
              <w:bottom w:w="90" w:type="dxa"/>
              <w:end w:w="110" w:type="dxa"/>
            </w:tcMar>
          </w:tcPr>
          <w:p>
            <w:pPr>
              <w:spacing w:after="0" w:before="0"/>
            </w:pPr>
            <w:r>
              <w:rPr>
                <w:rFonts w:ascii="Aptos" w:hAnsi="Aptos"/>
                <w:sz w:val="17"/>
              </w:rPr>
              <w:t>Do not add Turnitin comparison content here.</w:t>
            </w:r>
          </w:p>
        </w:tc>
      </w:tr>
      <w:tr>
        <w:tc>
          <w:tcPr>
            <w:tcW w:type="dxa" w:w="2880"/>
            <w:vAlign w:val="center"/>
            <w:tcMar>
              <w:top w:w="90" w:type="dxa"/>
              <w:start w:w="110" w:type="dxa"/>
              <w:bottom w:w="90" w:type="dxa"/>
              <w:end w:w="110" w:type="dxa"/>
            </w:tcMar>
          </w:tcPr>
          <w:p>
            <w:pPr>
              <w:spacing w:after="0" w:before="0"/>
            </w:pPr>
            <w:r>
              <w:rPr>
                <w:rFonts w:ascii="Aptos" w:hAnsi="Aptos"/>
                <w:sz w:val="17"/>
              </w:rPr>
              <w:t>/ai-content-detector</w:t>
            </w:r>
          </w:p>
        </w:tc>
        <w:tc>
          <w:tcPr>
            <w:tcW w:type="dxa" w:w="3168"/>
            <w:vAlign w:val="center"/>
            <w:tcMar>
              <w:top w:w="90" w:type="dxa"/>
              <w:start w:w="110" w:type="dxa"/>
              <w:bottom w:w="90" w:type="dxa"/>
              <w:end w:w="110" w:type="dxa"/>
            </w:tcMar>
          </w:tcPr>
          <w:p>
            <w:pPr>
              <w:spacing w:after="0" w:before="0"/>
            </w:pPr>
            <w:r>
              <w:rPr>
                <w:rFonts w:ascii="Aptos" w:hAnsi="Aptos"/>
                <w:sz w:val="17"/>
              </w:rPr>
              <w:t>AI-writing detection</w:t>
            </w:r>
          </w:p>
        </w:tc>
        <w:tc>
          <w:tcPr>
            <w:tcW w:type="dxa" w:w="4320"/>
            <w:vAlign w:val="center"/>
            <w:tcMar>
              <w:top w:w="90" w:type="dxa"/>
              <w:start w:w="110" w:type="dxa"/>
              <w:bottom w:w="90" w:type="dxa"/>
              <w:end w:w="110" w:type="dxa"/>
            </w:tcMar>
          </w:tcPr>
          <w:p>
            <w:pPr>
              <w:spacing w:after="0" w:before="0"/>
            </w:pPr>
            <w:r>
              <w:rPr>
                <w:rFonts w:ascii="Aptos" w:hAnsi="Aptos"/>
                <w:sz w:val="17"/>
              </w:rPr>
              <w:t>Explain AI only as a separate optional analysis and link once if useful.</w:t>
            </w:r>
          </w:p>
        </w:tc>
      </w:tr>
      <w:tr>
        <w:tc>
          <w:tcPr>
            <w:tcW w:type="dxa" w:w="2880"/>
            <w:vAlign w:val="center"/>
            <w:tcMar>
              <w:top w:w="90" w:type="dxa"/>
              <w:start w:w="110" w:type="dxa"/>
              <w:bottom w:w="90" w:type="dxa"/>
              <w:end w:w="110" w:type="dxa"/>
            </w:tcMar>
          </w:tcPr>
          <w:p>
            <w:pPr>
              <w:spacing w:after="0" w:before="0"/>
            </w:pPr>
            <w:r>
              <w:rPr>
                <w:rFonts w:ascii="Aptos" w:hAnsi="Aptos"/>
                <w:sz w:val="17"/>
              </w:rPr>
              <w:t>/prices</w:t>
            </w:r>
          </w:p>
        </w:tc>
        <w:tc>
          <w:tcPr>
            <w:tcW w:type="dxa" w:w="3168"/>
            <w:vAlign w:val="center"/>
            <w:tcMar>
              <w:top w:w="90" w:type="dxa"/>
              <w:start w:w="110" w:type="dxa"/>
              <w:bottom w:w="90" w:type="dxa"/>
              <w:end w:w="110" w:type="dxa"/>
            </w:tcMar>
          </w:tcPr>
          <w:p>
            <w:pPr>
              <w:spacing w:after="0" w:before="0"/>
            </w:pPr>
            <w:r>
              <w:rPr>
                <w:rFonts w:ascii="Aptos" w:hAnsi="Aptos"/>
                <w:sz w:val="17"/>
              </w:rPr>
              <w:t>Full pricing decision</w:t>
            </w:r>
          </w:p>
        </w:tc>
        <w:tc>
          <w:tcPr>
            <w:tcW w:type="dxa" w:w="4320"/>
            <w:vAlign w:val="center"/>
            <w:tcMar>
              <w:top w:w="90" w:type="dxa"/>
              <w:start w:w="110" w:type="dxa"/>
              <w:bottom w:w="90" w:type="dxa"/>
              <w:end w:w="110" w:type="dxa"/>
            </w:tcMar>
          </w:tcPr>
          <w:p>
            <w:pPr>
              <w:spacing w:after="0" w:before="0"/>
            </w:pPr>
            <w:r>
              <w:rPr>
                <w:rFonts w:ascii="Aptos" w:hAnsi="Aptos"/>
                <w:sz w:val="17"/>
              </w:rPr>
              <w:t>Use a compact pricing path only; /prices remains the pricing owner.</w:t>
            </w:r>
          </w:p>
        </w:tc>
      </w:tr>
    </w:tbl>
    <w:p>
      <w:pPr>
        <w:spacing w:after="120" w:line="252" w:lineRule="auto"/>
      </w:pPr>
    </w:p>
    <w:p>
      <w:pPr>
        <w:pStyle w:val="Heading1"/>
        <w:keepNext/>
        <w:spacing w:before="200" w:after="100"/>
      </w:pPr>
      <w:r>
        <w:t>6. PAGE-LEVEL SEO / HTML REQUIREMENTS</w:t>
      </w:r>
    </w:p>
    <w:p>
      <w:pPr>
        <w:spacing w:after="120" w:line="252" w:lineRule="auto"/>
      </w:pPr>
      <w:r>
        <w:rPr>
          <w:b/>
          <w:color w:val="2F5F86"/>
        </w:rPr>
        <w:t xml:space="preserve">SEO title: </w:t>
      </w:r>
      <w:r>
        <w:t>Plagiarism Checker for Students | PlagiarismSearch</w:t>
      </w:r>
    </w:p>
    <w:p>
      <w:pPr>
        <w:spacing w:after="120" w:line="252" w:lineRule="auto"/>
      </w:pPr>
      <w:r>
        <w:rPr>
          <w:b/>
          <w:color w:val="2F5F86"/>
        </w:rPr>
        <w:t xml:space="preserve">Meta description: </w:t>
      </w:r>
      <w:r>
        <w:t>Check essays, papers, assignments, and theses for matching text and sources before you submit. Review similarity, citations, references, and source context in a clear report.</w:t>
      </w:r>
    </w:p>
    <w:p>
      <w:pPr>
        <w:spacing w:after="120" w:line="252" w:lineRule="auto"/>
      </w:pPr>
      <w:r>
        <w:rPr>
          <w:b/>
          <w:color w:val="2F5F86"/>
        </w:rPr>
        <w:t xml:space="preserve">Visible H1: </w:t>
      </w:r>
      <w:r>
        <w:t>Plagiarism Checker for Students</w:t>
      </w:r>
    </w:p>
    <w:p>
      <w:pPr>
        <w:pStyle w:val="ListBullet"/>
      </w:pPr>
      <w:r>
        <w:t>Exactly one visible H1.</w:t>
      </w:r>
    </w:p>
    <w:p>
      <w:pPr>
        <w:pStyle w:val="ListBullet"/>
      </w:pPr>
      <w:r>
        <w:t>Keep essential copy and all FAQ answers in rendered HTML; do not hide critical text behind a separate client-side content fetch.</w:t>
      </w:r>
    </w:p>
    <w:p>
      <w:pPr>
        <w:pStyle w:val="ListBullet"/>
      </w:pPr>
      <w:r>
        <w:t>Approved internal destinations must use real crawlable &lt;a href&gt; links in production.</w:t>
      </w:r>
    </w:p>
    <w:p>
      <w:pPr>
        <w:pStyle w:val="ListBullet"/>
      </w:pPr>
      <w:r>
        <w:t>Keep the existing URL and self-canonical route. Do not invent /student-plagiarism-checker, /essay-plagiarism-checker or another replacement URL.</w:t>
      </w:r>
    </w:p>
    <w:p>
      <w:pPr>
        <w:pStyle w:val="ListBullet"/>
      </w:pPr>
      <w:r>
        <w:t>Do not build Title/H1/body around “15,000 words free,” “20,000 words free,” “unlimited,” “100% original,” “authentic,” “safe similarity score,” or other legacy/misleading modifiers.</w:t>
      </w:r>
    </w:p>
    <w:p>
      <w:pPr>
        <w:pStyle w:val="ListBullet"/>
      </w:pPr>
      <w:r>
        <w:t>Do not expand the page into generic “what is plagiarism / why plagiarism matters” filler. The page must remain product-led.</w:t>
      </w:r>
    </w:p>
    <w:p>
      <w:pPr>
        <w:pStyle w:val="ListBullet"/>
      </w:pPr>
      <w:r>
        <w:t>FAQ schema, if used, must exactly match visible FAQ content and must not add questions/answers that are absent from the page.</w:t>
      </w:r>
    </w:p>
    <w:p>
      <w:pPr>
        <w:pStyle w:val="Heading1"/>
        <w:keepNext/>
        <w:spacing w:before="200" w:after="100"/>
      </w:pPr>
      <w:r>
        <w:t>7. HEADER / FOOTER</w:t>
      </w:r>
    </w:p>
    <w:p>
      <w:pPr>
        <w:spacing w:after="120" w:line="252" w:lineRule="auto"/>
      </w:pPr>
      <w:r>
        <w:t>Out of scope. Use the already approved global header/footer architecture and current approved design system. Do not create new top-level navigation destinations from this task.</w:t>
      </w:r>
    </w:p>
    <w:p>
      <w:pPr>
        <w:pStyle w:val="Heading1"/>
        <w:keepNext/>
        <w:spacing w:before="200" w:after="100"/>
      </w:pPr>
      <w:r>
        <w:t>8. APPROVED SECTION LIBRARY - REFERENCE, NOT MANDATORY SEQUENCE</w:t>
      </w:r>
    </w:p>
    <w:tbl>
      <w:tblPr>
        <w:tblStyle w:val="TableGrid"/>
        <w:tblW w:type="auto" w:w="0"/>
        <w:tblLayout w:type="autofit"/>
        <w:tblLook w:firstColumn="1" w:firstRow="1" w:lastColumn="0" w:lastRow="0" w:noHBand="0" w:noVBand="1" w:val="04A0"/>
      </w:tblPr>
      <w:tblGrid>
        <w:gridCol w:w="3389"/>
        <w:gridCol w:w="3389"/>
        <w:gridCol w:w="3389"/>
      </w:tblGrid>
      <w:tr>
        <w:tc>
          <w:tcPr>
            <w:tcW w:type="dxa" w:w="3168"/>
            <w:vAlign w:val="center"/>
            <w:tcMar>
              <w:top w:w="90" w:type="dxa"/>
              <w:start w:w="110" w:type="dxa"/>
              <w:bottom w:w="90" w:type="dxa"/>
              <w:end w:w="110" w:type="dxa"/>
            </w:tcMar>
            <w:shd w:fill="1F374E"/>
          </w:tcPr>
          <w:p>
            <w:pPr>
              <w:spacing w:after="0" w:before="0"/>
            </w:pPr>
            <w:r>
              <w:rPr>
                <w:rFonts w:ascii="Aptos" w:hAnsi="Aptos"/>
                <w:b/>
                <w:color w:val="FFFFFF"/>
                <w:sz w:val="17"/>
              </w:rPr>
              <w:t>Information job</w:t>
            </w:r>
          </w:p>
        </w:tc>
        <w:tc>
          <w:tcPr>
            <w:tcW w:type="dxa" w:w="2448"/>
            <w:vAlign w:val="center"/>
            <w:tcMar>
              <w:top w:w="90" w:type="dxa"/>
              <w:start w:w="110" w:type="dxa"/>
              <w:bottom w:w="90" w:type="dxa"/>
              <w:end w:w="110" w:type="dxa"/>
            </w:tcMar>
            <w:shd w:fill="1F374E"/>
          </w:tcPr>
          <w:p>
            <w:pPr>
              <w:spacing w:after="0" w:before="0"/>
            </w:pPr>
            <w:r>
              <w:rPr>
                <w:rFonts w:ascii="Aptos" w:hAnsi="Aptos"/>
                <w:b/>
                <w:color w:val="FFFFFF"/>
                <w:sz w:val="17"/>
              </w:rPr>
              <w:t>Available approved pattern</w:t>
            </w:r>
          </w:p>
        </w:tc>
        <w:tc>
          <w:tcPr>
            <w:tcW w:type="dxa" w:w="4752"/>
            <w:vAlign w:val="center"/>
            <w:tcMar>
              <w:top w:w="90" w:type="dxa"/>
              <w:start w:w="110" w:type="dxa"/>
              <w:bottom w:w="90" w:type="dxa"/>
              <w:end w:w="110" w:type="dxa"/>
            </w:tcMar>
            <w:shd w:fill="1F374E"/>
          </w:tcPr>
          <w:p>
            <w:pPr>
              <w:spacing w:after="0" w:before="0"/>
            </w:pPr>
            <w:r>
              <w:rPr>
                <w:rFonts w:ascii="Aptos" w:hAnsi="Aptos"/>
                <w:b/>
                <w:color w:val="FFFFFF"/>
                <w:sz w:val="17"/>
              </w:rPr>
              <w:t>Instruction</w:t>
            </w:r>
          </w:p>
        </w:tc>
      </w:tr>
      <w:tr>
        <w:tc>
          <w:tcPr>
            <w:tcW w:type="dxa" w:w="3168"/>
            <w:vAlign w:val="center"/>
            <w:tcMar>
              <w:top w:w="90" w:type="dxa"/>
              <w:start w:w="110" w:type="dxa"/>
              <w:bottom w:w="90" w:type="dxa"/>
              <w:end w:w="110" w:type="dxa"/>
            </w:tcMar>
          </w:tcPr>
          <w:p>
            <w:pPr>
              <w:spacing w:after="0" w:before="0"/>
            </w:pPr>
            <w:r>
              <w:rPr>
                <w:rFonts w:ascii="Aptos" w:hAnsi="Aptos"/>
                <w:sz w:val="17"/>
              </w:rPr>
              <w:t>Real student checker hero</w:t>
            </w:r>
          </w:p>
        </w:tc>
        <w:tc>
          <w:tcPr>
            <w:tcW w:type="dxa" w:w="2448"/>
            <w:vAlign w:val="center"/>
            <w:tcMar>
              <w:top w:w="90" w:type="dxa"/>
              <w:start w:w="110" w:type="dxa"/>
              <w:bottom w:w="90" w:type="dxa"/>
              <w:end w:w="110" w:type="dxa"/>
            </w:tcMar>
          </w:tcPr>
          <w:p>
            <w:pPr>
              <w:spacing w:after="0" w:before="0"/>
            </w:pPr>
            <w:r>
              <w:rPr>
                <w:rFonts w:ascii="Aptos" w:hAnsi="Aptos"/>
                <w:sz w:val="17"/>
              </w:rPr>
              <w:t>SEC-HERO-01</w:t>
            </w:r>
          </w:p>
        </w:tc>
        <w:tc>
          <w:tcPr>
            <w:tcW w:type="dxa" w:w="4752"/>
            <w:vAlign w:val="center"/>
            <w:tcMar>
              <w:top w:w="90" w:type="dxa"/>
              <w:start w:w="110" w:type="dxa"/>
              <w:bottom w:w="90" w:type="dxa"/>
              <w:end w:w="110" w:type="dxa"/>
            </w:tcMar>
          </w:tcPr>
          <w:p>
            <w:pPr>
              <w:spacing w:after="0" w:before="0"/>
            </w:pPr>
            <w:r>
              <w:rPr>
                <w:rFonts w:ascii="Aptos" w:hAnsi="Aptos"/>
                <w:sz w:val="17"/>
              </w:rPr>
              <w:t>Strong reuse candidate. Use the real production checker; student copy and composition must remain audience-specific.</w:t>
            </w:r>
          </w:p>
        </w:tc>
      </w:tr>
      <w:tr>
        <w:tc>
          <w:tcPr>
            <w:tcW w:type="dxa" w:w="3168"/>
            <w:vAlign w:val="center"/>
            <w:tcMar>
              <w:top w:w="90" w:type="dxa"/>
              <w:start w:w="110" w:type="dxa"/>
              <w:bottom w:w="90" w:type="dxa"/>
              <w:end w:w="110" w:type="dxa"/>
            </w:tcMar>
          </w:tcPr>
          <w:p>
            <w:pPr>
              <w:spacing w:after="0" w:before="0"/>
            </w:pPr>
            <w:r>
              <w:rPr>
                <w:rFonts w:ascii="Aptos" w:hAnsi="Aptos"/>
                <w:sz w:val="17"/>
              </w:rPr>
              <w:t>Compact trust proof</w:t>
            </w:r>
          </w:p>
        </w:tc>
        <w:tc>
          <w:tcPr>
            <w:tcW w:type="dxa" w:w="2448"/>
            <w:vAlign w:val="center"/>
            <w:tcMar>
              <w:top w:w="90" w:type="dxa"/>
              <w:start w:w="110" w:type="dxa"/>
              <w:bottom w:w="90" w:type="dxa"/>
              <w:end w:w="110" w:type="dxa"/>
            </w:tcMar>
          </w:tcPr>
          <w:p>
            <w:pPr>
              <w:spacing w:after="0" w:before="0"/>
            </w:pPr>
            <w:r>
              <w:rPr>
                <w:rFonts w:ascii="Aptos" w:hAnsi="Aptos"/>
                <w:sz w:val="17"/>
              </w:rPr>
              <w:t>SEC-PROOF-01</w:t>
            </w:r>
          </w:p>
        </w:tc>
        <w:tc>
          <w:tcPr>
            <w:tcW w:type="dxa" w:w="4752"/>
            <w:vAlign w:val="center"/>
            <w:tcMar>
              <w:top w:w="90" w:type="dxa"/>
              <w:start w:w="110" w:type="dxa"/>
              <w:bottom w:w="90" w:type="dxa"/>
              <w:end w:w="110" w:type="dxa"/>
            </w:tcMar>
          </w:tcPr>
          <w:p>
            <w:pPr>
              <w:spacing w:after="0" w:before="0"/>
            </w:pPr>
            <w:r>
              <w:rPr>
                <w:rFonts w:ascii="Aptos" w:hAnsi="Aptos"/>
                <w:sz w:val="17"/>
              </w:rPr>
              <w:t>Use only verified proof. 500,000+ users is users, not clients/students.</w:t>
            </w:r>
          </w:p>
        </w:tc>
      </w:tr>
      <w:tr>
        <w:tc>
          <w:tcPr>
            <w:tcW w:type="dxa" w:w="3168"/>
            <w:vAlign w:val="center"/>
            <w:tcMar>
              <w:top w:w="90" w:type="dxa"/>
              <w:start w:w="110" w:type="dxa"/>
              <w:bottom w:w="90" w:type="dxa"/>
              <w:end w:w="110" w:type="dxa"/>
            </w:tcMar>
          </w:tcPr>
          <w:p>
            <w:pPr>
              <w:spacing w:after="0" w:before="0"/>
            </w:pPr>
            <w:r>
              <w:rPr>
                <w:rFonts w:ascii="Aptos" w:hAnsi="Aptos"/>
                <w:sz w:val="17"/>
              </w:rPr>
              <w:t>Real report evidence</w:t>
            </w:r>
          </w:p>
        </w:tc>
        <w:tc>
          <w:tcPr>
            <w:tcW w:type="dxa" w:w="2448"/>
            <w:vAlign w:val="center"/>
            <w:tcMar>
              <w:top w:w="90" w:type="dxa"/>
              <w:start w:w="110" w:type="dxa"/>
              <w:bottom w:w="90" w:type="dxa"/>
              <w:end w:w="110" w:type="dxa"/>
            </w:tcMar>
          </w:tcPr>
          <w:p>
            <w:pPr>
              <w:spacing w:after="0" w:before="0"/>
            </w:pPr>
            <w:r>
              <w:rPr>
                <w:rFonts w:ascii="Aptos" w:hAnsi="Aptos"/>
                <w:sz w:val="17"/>
              </w:rPr>
              <w:t>SEC-REPORT-01</w:t>
            </w:r>
          </w:p>
        </w:tc>
        <w:tc>
          <w:tcPr>
            <w:tcW w:type="dxa" w:w="4752"/>
            <w:vAlign w:val="center"/>
            <w:tcMar>
              <w:top w:w="90" w:type="dxa"/>
              <w:start w:w="110" w:type="dxa"/>
              <w:bottom w:w="90" w:type="dxa"/>
              <w:end w:w="110" w:type="dxa"/>
            </w:tcMar>
          </w:tcPr>
          <w:p>
            <w:pPr>
              <w:spacing w:after="0" w:before="0"/>
            </w:pPr>
            <w:r>
              <w:rPr>
                <w:rFonts w:ascii="Aptos" w:hAnsi="Aptos"/>
                <w:sz w:val="17"/>
              </w:rPr>
              <w:t>Strong reuse. Canonical report semantics; student framing should emphasize interpretation before submission.</w:t>
            </w:r>
          </w:p>
        </w:tc>
      </w:tr>
      <w:tr>
        <w:tc>
          <w:tcPr>
            <w:tcW w:type="dxa" w:w="3168"/>
            <w:vAlign w:val="center"/>
            <w:tcMar>
              <w:top w:w="90" w:type="dxa"/>
              <w:start w:w="110" w:type="dxa"/>
              <w:bottom w:w="90" w:type="dxa"/>
              <w:end w:w="110" w:type="dxa"/>
            </w:tcMar>
          </w:tcPr>
          <w:p>
            <w:pPr>
              <w:spacing w:after="0" w:before="0"/>
            </w:pPr>
            <w:r>
              <w:rPr>
                <w:rFonts w:ascii="Aptos" w:hAnsi="Aptos"/>
                <w:sz w:val="17"/>
              </w:rPr>
              <w:t>Match-review workflow</w:t>
            </w:r>
          </w:p>
        </w:tc>
        <w:tc>
          <w:tcPr>
            <w:tcW w:type="dxa" w:w="2448"/>
            <w:vAlign w:val="center"/>
            <w:tcMar>
              <w:top w:w="90" w:type="dxa"/>
              <w:start w:w="110" w:type="dxa"/>
              <w:bottom w:w="90" w:type="dxa"/>
              <w:end w:w="110" w:type="dxa"/>
            </w:tcMar>
          </w:tcPr>
          <w:p>
            <w:pPr>
              <w:spacing w:after="0" w:before="0"/>
            </w:pPr>
            <w:r>
              <w:rPr>
                <w:rFonts w:ascii="Aptos" w:hAnsi="Aptos"/>
                <w:sz w:val="17"/>
              </w:rPr>
              <w:t>SEC-WORKFLOW-01</w:t>
            </w:r>
          </w:p>
        </w:tc>
        <w:tc>
          <w:tcPr>
            <w:tcW w:type="dxa" w:w="4752"/>
            <w:vAlign w:val="center"/>
            <w:tcMar>
              <w:top w:w="90" w:type="dxa"/>
              <w:start w:w="110" w:type="dxa"/>
              <w:bottom w:w="90" w:type="dxa"/>
              <w:end w:w="110" w:type="dxa"/>
            </w:tcMar>
          </w:tcPr>
          <w:p>
            <w:pPr>
              <w:spacing w:after="0" w:before="0"/>
            </w:pPr>
            <w:r>
              <w:rPr>
                <w:rFonts w:ascii="Aptos" w:hAnsi="Aptos"/>
                <w:sz w:val="17"/>
              </w:rPr>
              <w:t>Adapt to the student process: open match -&gt; review source/context -&gt; revise if needed -&gt; review updated draft.</w:t>
            </w:r>
          </w:p>
        </w:tc>
      </w:tr>
      <w:tr>
        <w:tc>
          <w:tcPr>
            <w:tcW w:type="dxa" w:w="3168"/>
            <w:vAlign w:val="center"/>
            <w:tcMar>
              <w:top w:w="90" w:type="dxa"/>
              <w:start w:w="110" w:type="dxa"/>
              <w:bottom w:w="90" w:type="dxa"/>
              <w:end w:w="110" w:type="dxa"/>
            </w:tcMar>
          </w:tcPr>
          <w:p>
            <w:pPr>
              <w:spacing w:after="0" w:before="0"/>
            </w:pPr>
            <w:r>
              <w:rPr>
                <w:rFonts w:ascii="Aptos" w:hAnsi="Aptos"/>
                <w:sz w:val="17"/>
              </w:rPr>
              <w:t>Sources and exclusions</w:t>
            </w:r>
          </w:p>
        </w:tc>
        <w:tc>
          <w:tcPr>
            <w:tcW w:type="dxa" w:w="2448"/>
            <w:vAlign w:val="center"/>
            <w:tcMar>
              <w:top w:w="90" w:type="dxa"/>
              <w:start w:w="110" w:type="dxa"/>
              <w:bottom w:w="90" w:type="dxa"/>
              <w:end w:w="110" w:type="dxa"/>
            </w:tcMar>
          </w:tcPr>
          <w:p>
            <w:pPr>
              <w:spacing w:after="0" w:before="0"/>
            </w:pPr>
            <w:r>
              <w:rPr>
                <w:rFonts w:ascii="Aptos" w:hAnsi="Aptos"/>
                <w:sz w:val="17"/>
              </w:rPr>
              <w:t>SEC-CONTROL-01</w:t>
            </w:r>
          </w:p>
        </w:tc>
        <w:tc>
          <w:tcPr>
            <w:tcW w:type="dxa" w:w="4752"/>
            <w:vAlign w:val="center"/>
            <w:tcMar>
              <w:top w:w="90" w:type="dxa"/>
              <w:start w:w="110" w:type="dxa"/>
              <w:bottom w:w="90" w:type="dxa"/>
              <w:end w:w="110" w:type="dxa"/>
            </w:tcMar>
          </w:tcPr>
          <w:p>
            <w:pPr>
              <w:spacing w:after="0" w:before="0"/>
            </w:pPr>
            <w:r>
              <w:rPr>
                <w:rFonts w:ascii="Aptos" w:hAnsi="Aptos"/>
                <w:sz w:val="17"/>
              </w:rPr>
              <w:t>Strong reuse with academic-first priority: web, academic databases, references, in-text citations.</w:t>
            </w:r>
          </w:p>
        </w:tc>
      </w:tr>
      <w:tr>
        <w:tc>
          <w:tcPr>
            <w:tcW w:type="dxa" w:w="3168"/>
            <w:vAlign w:val="center"/>
            <w:tcMar>
              <w:top w:w="90" w:type="dxa"/>
              <w:start w:w="110" w:type="dxa"/>
              <w:bottom w:w="90" w:type="dxa"/>
              <w:end w:w="110" w:type="dxa"/>
            </w:tcMar>
          </w:tcPr>
          <w:p>
            <w:pPr>
              <w:spacing w:after="0" w:before="0"/>
            </w:pPr>
            <w:r>
              <w:rPr>
                <w:rFonts w:ascii="Aptos" w:hAnsi="Aptos"/>
                <w:sz w:val="17"/>
              </w:rPr>
              <w:t>Document/report lifecycle</w:t>
            </w:r>
          </w:p>
        </w:tc>
        <w:tc>
          <w:tcPr>
            <w:tcW w:type="dxa" w:w="2448"/>
            <w:vAlign w:val="center"/>
            <w:tcMar>
              <w:top w:w="90" w:type="dxa"/>
              <w:start w:w="110" w:type="dxa"/>
              <w:bottom w:w="90" w:type="dxa"/>
              <w:end w:w="110" w:type="dxa"/>
            </w:tcMar>
          </w:tcPr>
          <w:p>
            <w:pPr>
              <w:spacing w:after="0" w:before="0"/>
            </w:pPr>
            <w:r>
              <w:rPr>
                <w:rFonts w:ascii="Aptos" w:hAnsi="Aptos"/>
                <w:sz w:val="17"/>
              </w:rPr>
              <w:t>SEC-TRUST-01</w:t>
            </w:r>
          </w:p>
        </w:tc>
        <w:tc>
          <w:tcPr>
            <w:tcW w:type="dxa" w:w="4752"/>
            <w:vAlign w:val="center"/>
            <w:tcMar>
              <w:top w:w="90" w:type="dxa"/>
              <w:start w:w="110" w:type="dxa"/>
              <w:bottom w:w="90" w:type="dxa"/>
              <w:end w:w="110" w:type="dxa"/>
            </w:tcMar>
          </w:tcPr>
          <w:p>
            <w:pPr>
              <w:spacing w:after="0" w:before="0"/>
            </w:pPr>
            <w:r>
              <w:rPr>
                <w:rFonts w:ascii="Aptos" w:hAnsi="Aptos"/>
                <w:sz w:val="17"/>
              </w:rPr>
              <w:t>Strong reuse. Keep file, report and optional storage semantics consistent with approved homepage truth.</w:t>
            </w:r>
          </w:p>
        </w:tc>
      </w:tr>
      <w:tr>
        <w:tc>
          <w:tcPr>
            <w:tcW w:type="dxa" w:w="3168"/>
            <w:vAlign w:val="center"/>
            <w:tcMar>
              <w:top w:w="90" w:type="dxa"/>
              <w:start w:w="110" w:type="dxa"/>
              <w:bottom w:w="90" w:type="dxa"/>
              <w:end w:w="110" w:type="dxa"/>
            </w:tcMar>
          </w:tcPr>
          <w:p>
            <w:pPr>
              <w:spacing w:after="0" w:before="0"/>
            </w:pPr>
            <w:r>
              <w:rPr>
                <w:rFonts w:ascii="Aptos" w:hAnsi="Aptos"/>
                <w:sz w:val="17"/>
              </w:rPr>
              <w:t>FAQ</w:t>
            </w:r>
          </w:p>
        </w:tc>
        <w:tc>
          <w:tcPr>
            <w:tcW w:type="dxa" w:w="2448"/>
            <w:vAlign w:val="center"/>
            <w:tcMar>
              <w:top w:w="90" w:type="dxa"/>
              <w:start w:w="110" w:type="dxa"/>
              <w:bottom w:w="90" w:type="dxa"/>
              <w:end w:w="110" w:type="dxa"/>
            </w:tcMar>
          </w:tcPr>
          <w:p>
            <w:pPr>
              <w:spacing w:after="0" w:before="0"/>
            </w:pPr>
            <w:r>
              <w:rPr>
                <w:rFonts w:ascii="Aptos" w:hAnsi="Aptos"/>
                <w:sz w:val="17"/>
              </w:rPr>
              <w:t>SEC-FAQ-01</w:t>
            </w:r>
          </w:p>
        </w:tc>
        <w:tc>
          <w:tcPr>
            <w:tcW w:type="dxa" w:w="4752"/>
            <w:vAlign w:val="center"/>
            <w:tcMar>
              <w:top w:w="90" w:type="dxa"/>
              <w:start w:w="110" w:type="dxa"/>
              <w:bottom w:w="90" w:type="dxa"/>
              <w:end w:w="110" w:type="dxa"/>
            </w:tcMar>
          </w:tcPr>
          <w:p>
            <w:pPr>
              <w:spacing w:after="0" w:before="0"/>
            </w:pPr>
            <w:r>
              <w:rPr>
                <w:rFonts w:ascii="Aptos" w:hAnsi="Aptos"/>
                <w:sz w:val="17"/>
              </w:rPr>
              <w:t>Use accessible rendered accordion or equivalent.</w:t>
            </w:r>
          </w:p>
        </w:tc>
      </w:tr>
      <w:tr>
        <w:tc>
          <w:tcPr>
            <w:tcW w:type="dxa" w:w="3168"/>
            <w:vAlign w:val="center"/>
            <w:tcMar>
              <w:top w:w="90" w:type="dxa"/>
              <w:start w:w="110" w:type="dxa"/>
              <w:bottom w:w="90" w:type="dxa"/>
              <w:end w:w="110" w:type="dxa"/>
            </w:tcMar>
          </w:tcPr>
          <w:p>
            <w:pPr>
              <w:spacing w:after="0" w:before="0"/>
            </w:pPr>
            <w:r>
              <w:rPr>
                <w:rFonts w:ascii="Aptos" w:hAnsi="Aptos"/>
                <w:sz w:val="17"/>
              </w:rPr>
              <w:t>Final conversion</w:t>
            </w:r>
          </w:p>
        </w:tc>
        <w:tc>
          <w:tcPr>
            <w:tcW w:type="dxa" w:w="2448"/>
            <w:vAlign w:val="center"/>
            <w:tcMar>
              <w:top w:w="90" w:type="dxa"/>
              <w:start w:w="110" w:type="dxa"/>
              <w:bottom w:w="90" w:type="dxa"/>
              <w:end w:w="110" w:type="dxa"/>
            </w:tcMar>
          </w:tcPr>
          <w:p>
            <w:pPr>
              <w:spacing w:after="0" w:before="0"/>
            </w:pPr>
            <w:r>
              <w:rPr>
                <w:rFonts w:ascii="Aptos" w:hAnsi="Aptos"/>
                <w:sz w:val="17"/>
              </w:rPr>
              <w:t>SEC-CTA-01</w:t>
            </w:r>
          </w:p>
        </w:tc>
        <w:tc>
          <w:tcPr>
            <w:tcW w:type="dxa" w:w="4752"/>
            <w:vAlign w:val="center"/>
            <w:tcMar>
              <w:top w:w="90" w:type="dxa"/>
              <w:start w:w="110" w:type="dxa"/>
              <w:bottom w:w="90" w:type="dxa"/>
              <w:end w:w="110" w:type="dxa"/>
            </w:tcMar>
          </w:tcPr>
          <w:p>
            <w:pPr>
              <w:spacing w:after="0" w:before="0"/>
            </w:pPr>
            <w:r>
              <w:rPr>
                <w:rFonts w:ascii="Aptos" w:hAnsi="Aptos"/>
                <w:sz w:val="17"/>
              </w:rPr>
              <w:t>Return/focus the real checker; do not render a second checker widget.</w:t>
            </w:r>
          </w:p>
        </w:tc>
      </w:tr>
      <w:tr>
        <w:tc>
          <w:tcPr>
            <w:tcW w:type="dxa" w:w="3168"/>
            <w:vAlign w:val="center"/>
            <w:tcMar>
              <w:top w:w="90" w:type="dxa"/>
              <w:start w:w="110" w:type="dxa"/>
              <w:bottom w:w="90" w:type="dxa"/>
              <w:end w:w="110" w:type="dxa"/>
            </w:tcMar>
          </w:tcPr>
          <w:p>
            <w:pPr>
              <w:spacing w:after="0" w:before="0"/>
            </w:pPr>
            <w:r>
              <w:rPr>
                <w:rFonts w:ascii="Aptos" w:hAnsi="Aptos"/>
                <w:sz w:val="17"/>
              </w:rPr>
              <w:t>Pricing widget</w:t>
            </w:r>
          </w:p>
        </w:tc>
        <w:tc>
          <w:tcPr>
            <w:tcW w:type="dxa" w:w="2448"/>
            <w:vAlign w:val="center"/>
            <w:tcMar>
              <w:top w:w="90" w:type="dxa"/>
              <w:start w:w="110" w:type="dxa"/>
              <w:bottom w:w="90" w:type="dxa"/>
              <w:end w:w="110" w:type="dxa"/>
            </w:tcMar>
          </w:tcPr>
          <w:p>
            <w:pPr>
              <w:spacing w:after="0" w:before="0"/>
            </w:pPr>
            <w:r>
              <w:rPr>
                <w:rFonts w:ascii="Aptos" w:hAnsi="Aptos"/>
                <w:sz w:val="17"/>
              </w:rPr>
              <w:t>SEC-PRICING-01</w:t>
            </w:r>
          </w:p>
        </w:tc>
        <w:tc>
          <w:tcPr>
            <w:tcW w:type="dxa" w:w="4752"/>
            <w:vAlign w:val="center"/>
            <w:tcMar>
              <w:top w:w="90" w:type="dxa"/>
              <w:start w:w="110" w:type="dxa"/>
              <w:bottom w:w="90" w:type="dxa"/>
              <w:end w:w="110" w:type="dxa"/>
            </w:tcMar>
          </w:tcPr>
          <w:p>
            <w:pPr>
              <w:spacing w:after="0" w:before="0"/>
            </w:pPr>
            <w:r>
              <w:rPr>
                <w:rFonts w:ascii="Aptos" w:hAnsi="Aptos"/>
                <w:sz w:val="17"/>
              </w:rPr>
              <w:t>Do NOT use by default. /prices owns full plan comparison; use compact free/pricing handoff instead.</w:t>
            </w:r>
          </w:p>
        </w:tc>
      </w:tr>
      <w:tr>
        <w:tc>
          <w:tcPr>
            <w:tcW w:type="dxa" w:w="3168"/>
            <w:vAlign w:val="center"/>
            <w:tcMar>
              <w:top w:w="90" w:type="dxa"/>
              <w:start w:w="110" w:type="dxa"/>
              <w:bottom w:w="90" w:type="dxa"/>
              <w:end w:w="110" w:type="dxa"/>
            </w:tcMar>
          </w:tcPr>
          <w:p>
            <w:pPr>
              <w:spacing w:after="0" w:before="0"/>
            </w:pPr>
            <w:r>
              <w:rPr>
                <w:rFonts w:ascii="Aptos" w:hAnsi="Aptos"/>
                <w:sz w:val="17"/>
              </w:rPr>
              <w:t>Reviews</w:t>
            </w:r>
          </w:p>
        </w:tc>
        <w:tc>
          <w:tcPr>
            <w:tcW w:type="dxa" w:w="2448"/>
            <w:vAlign w:val="center"/>
            <w:tcMar>
              <w:top w:w="90" w:type="dxa"/>
              <w:start w:w="110" w:type="dxa"/>
              <w:bottom w:w="90" w:type="dxa"/>
              <w:end w:w="110" w:type="dxa"/>
            </w:tcMar>
          </w:tcPr>
          <w:p>
            <w:pPr>
              <w:spacing w:after="0" w:before="0"/>
            </w:pPr>
            <w:r>
              <w:rPr>
                <w:rFonts w:ascii="Aptos" w:hAnsi="Aptos"/>
                <w:sz w:val="17"/>
              </w:rPr>
              <w:t>SEC-REVIEWS-01</w:t>
            </w:r>
          </w:p>
        </w:tc>
        <w:tc>
          <w:tcPr>
            <w:tcW w:type="dxa" w:w="4752"/>
            <w:vAlign w:val="center"/>
            <w:tcMar>
              <w:top w:w="90" w:type="dxa"/>
              <w:start w:w="110" w:type="dxa"/>
              <w:bottom w:w="90" w:type="dxa"/>
              <w:end w:w="110" w:type="dxa"/>
            </w:tcMar>
          </w:tcPr>
          <w:p>
            <w:pPr>
              <w:spacing w:after="0" w:before="0"/>
            </w:pPr>
            <w:r>
              <w:rPr>
                <w:rFonts w:ascii="Aptos" w:hAnsi="Aptos"/>
                <w:sz w:val="17"/>
              </w:rPr>
              <w:t>Optional only if exact verified student-relevant evidence is supplied. Not required for completion.</w:t>
            </w:r>
          </w:p>
        </w:tc>
      </w:tr>
    </w:tbl>
    <w:p>
      <w:pPr>
        <w:spacing w:after="120" w:line="252" w:lineRule="auto"/>
      </w:pPr>
    </w:p>
    <w:tbl>
      <w:tblPr>
        <w:tblStyle w:val="TableGrid"/>
        <w:tblW w:type="auto" w:w="0"/>
        <w:tblLook w:firstColumn="1" w:firstRow="1" w:lastColumn="0" w:lastRow="0" w:noHBand="0" w:noVBand="1" w:val="04A0"/>
      </w:tblPr>
      <w:tblGrid>
        <w:gridCol w:w="10166"/>
      </w:tblGrid>
      <w:tr>
        <w:tc>
          <w:tcPr>
            <w:tcW w:type="dxa" w:w="10166"/>
            <w:shd w:fill="EAF2F8"/>
            <w:tcMar>
              <w:top w:w="150" w:type="dxa"/>
              <w:start w:w="170" w:type="dxa"/>
              <w:bottom w:w="150" w:type="dxa"/>
              <w:end w:w="170" w:type="dxa"/>
            </w:tcMar>
          </w:tcPr>
          <w:p>
            <w:r>
              <w:rPr>
                <w:rFonts w:ascii="Aptos" w:hAnsi="Aptos"/>
                <w:b/>
                <w:color w:val="1F374E"/>
                <w:sz w:val="19"/>
              </w:rPr>
              <w:t>LIBRARY GOVERNANCE</w:t>
            </w:r>
          </w:p>
          <w:p>
            <w:pPr>
              <w:spacing w:after="40"/>
            </w:pPr>
            <w:r>
              <w:rPr>
                <w:rFonts w:ascii="Aptos" w:hAnsi="Aptos"/>
                <w:sz w:val="18"/>
              </w:rPr>
              <w:t>Do not create or register a new SEC-* library item during implementation.</w:t>
            </w:r>
          </w:p>
          <w:p>
            <w:pPr>
              <w:spacing w:after="40"/>
            </w:pPr>
            <w:r>
              <w:rPr>
                <w:rFonts w:ascii="Aptos" w:hAnsi="Aptos"/>
                <w:sz w:val="18"/>
              </w:rPr>
              <w:t>If you create a strong student-specific “review a match” visual variant, keep it page-local for this implementation pass.</w:t>
            </w:r>
          </w:p>
          <w:p>
            <w:pPr>
              <w:spacing w:after="40"/>
            </w:pPr>
            <w:r>
              <w:rPr>
                <w:rFonts w:ascii="Aptos" w:hAnsi="Aptos"/>
                <w:sz w:val="18"/>
              </w:rPr>
              <w:t>After page review/approval, the project will decide whether the accepted pattern becomes a variant of SEC-WORKFLOW-01 or another existing section.</w:t>
            </w:r>
          </w:p>
          <w:p>
            <w:pPr>
              <w:spacing w:after="40"/>
            </w:pPr>
            <w:r>
              <w:rPr>
                <w:rFonts w:ascii="Aptos" w:hAnsi="Aptos"/>
                <w:sz w:val="18"/>
              </w:rPr>
              <w:t>33_Component_Library remains unchanged until that approval.</w:t>
            </w:r>
          </w:p>
        </w:tc>
      </w:tr>
    </w:tbl>
    <w:p>
      <w:pPr>
        <w:spacing w:after="120" w:line="252" w:lineRule="auto"/>
      </w:pPr>
    </w:p>
    <w:p>
      <w:pPr>
        <w:pStyle w:val="Heading1"/>
        <w:keepNext/>
        <w:spacing w:before="200" w:after="100"/>
      </w:pPr>
      <w:r>
        <w:t>9. REQUIRED INFORMATION JOBS</w:t>
      </w:r>
    </w:p>
    <w:p>
      <w:pPr>
        <w:spacing w:after="120" w:line="252" w:lineRule="auto"/>
      </w:pPr>
      <w:r>
        <w:t>These jobs are mandatory. They are not a mandatory physical section count or pixel-level order. You may merge compatible acts if the result remains clear.</w:t>
      </w:r>
    </w:p>
    <w:p>
      <w:pPr>
        <w:spacing w:after="120" w:line="252" w:lineRule="auto"/>
      </w:pPr>
      <w:r>
        <w:t>1. Frame the page unmistakably as a plagiarism checker for students checking their own work before submission.</w:t>
      </w:r>
    </w:p>
    <w:p>
      <w:pPr>
        <w:spacing w:after="120" w:line="252" w:lineRule="auto"/>
      </w:pPr>
      <w:r>
        <w:t>2. Let the user start a real plagiarism check immediately.</w:t>
      </w:r>
    </w:p>
    <w:p>
      <w:pPr>
        <w:spacing w:after="120" w:line="252" w:lineRule="auto"/>
      </w:pPr>
      <w:r>
        <w:t>3. Give compact, verified trust proof without interrupting the task.</w:t>
      </w:r>
    </w:p>
    <w:p>
      <w:pPr>
        <w:spacing w:after="120" w:line="252" w:lineRule="auto"/>
      </w:pPr>
      <w:r>
        <w:t>4. Show the real report and teach the student that similarity is evidence to review, not a plagiarism grade.</w:t>
      </w:r>
    </w:p>
    <w:p>
      <w:pPr>
        <w:spacing w:after="120" w:line="252" w:lineRule="auto"/>
      </w:pPr>
      <w:r>
        <w:t>5. Explain what to do with a match: open it, inspect the source/context, revise when appropriate, and optionally re-check.</w:t>
      </w:r>
    </w:p>
    <w:p>
      <w:pPr>
        <w:spacing w:after="120" w:line="252" w:lineRule="auto"/>
      </w:pPr>
      <w:r>
        <w:t>6. Prioritize student-relevant source/settings controls: web, academic databases, exclude references and exclude in-text citations.</w:t>
      </w:r>
    </w:p>
    <w:p>
      <w:pPr>
        <w:spacing w:after="120" w:line="252" w:lineRule="auto"/>
      </w:pPr>
      <w:r>
        <w:t>7. Explain document/report/storage handling accurately and remove old no-storage absolutes.</w:t>
      </w:r>
    </w:p>
    <w:p>
      <w:pPr>
        <w:spacing w:after="120" w:line="252" w:lineRule="auto"/>
      </w:pPr>
      <w:r>
        <w:t>8. Keep AI secondary and explicitly separate from plagiarism/source matching.</w:t>
      </w:r>
    </w:p>
    <w:p>
      <w:pPr>
        <w:spacing w:after="120" w:line="252" w:lineRule="auto"/>
      </w:pPr>
      <w:r>
        <w:t>9. State the current free entry truthfully and provide a compact path to full pricing.</w:t>
      </w:r>
    </w:p>
    <w:p>
      <w:pPr>
        <w:spacing w:after="120" w:line="252" w:lineRule="auto"/>
      </w:pPr>
      <w:r>
        <w:t>10. Answer pre-submission questions, including the absence of a universal “safe” similarity percentage.</w:t>
      </w:r>
    </w:p>
    <w:p>
      <w:pPr>
        <w:spacing w:after="120" w:line="252" w:lineRule="auto"/>
      </w:pPr>
      <w:r>
        <w:t>11. Close by returning the user to the real checker rather than duplicating it.</w:t>
      </w:r>
    </w:p>
    <w:p>
      <w:pPr>
        <w:pStyle w:val="Heading1"/>
        <w:keepNext/>
        <w:spacing w:before="200" w:after="100"/>
      </w:pPr>
      <w:r>
        <w:t>10. DESIGN OPPORTUNITIES - NOT LAYOUT ORDERS</w:t>
      </w:r>
    </w:p>
    <w:p>
      <w:pPr>
        <w:pStyle w:val="ListBullet"/>
      </w:pPr>
      <w:r>
        <w:t>Make the real checker the dominant functional object above the fold, but surround it with clearly student-specific pre-submission framing rather than copying the homepage hero composition.</w:t>
      </w:r>
    </w:p>
    <w:p>
      <w:pPr>
        <w:pStyle w:val="ListBullet"/>
      </w:pPr>
      <w:r>
        <w:t>Use the canonical report as real product evidence; consider a student-oriented annotation or interpretation cue without inventing report fields, scores or fixes.</w:t>
      </w:r>
    </w:p>
    <w:p>
      <w:pPr>
        <w:pStyle w:val="ListBullet"/>
      </w:pPr>
      <w:r>
        <w:t>Turn “Similarity is not a plagiarism grade” into a memorable visual principle/callout.</w:t>
      </w:r>
    </w:p>
    <w:p>
      <w:pPr>
        <w:pStyle w:val="ListBullet"/>
      </w:pPr>
      <w:r>
        <w:t>The student workflow should feel like decision support, not a generic 3-step SaaS process.</w:t>
      </w:r>
    </w:p>
    <w:p>
      <w:pPr>
        <w:pStyle w:val="ListBullet"/>
      </w:pPr>
      <w:r>
        <w:t>Academic sources/settings can be shown as real controls or truthful control-style evidence; prioritize references/citations and academic database context.</w:t>
      </w:r>
    </w:p>
    <w:p>
      <w:pPr>
        <w:pStyle w:val="ListBullet"/>
      </w:pPr>
      <w:r>
        <w:t>Avoid decorative campus/student stock imagery as primary proof. Real checker/report/control evidence should carry the page.</w:t>
      </w:r>
    </w:p>
    <w:p>
      <w:pPr>
        <w:pStyle w:val="ListBullet"/>
      </w:pPr>
      <w:r>
        <w:t>The page can be shorter than the current legacy page. Do not add sections simply to preserve old length.</w:t>
      </w:r>
    </w:p>
    <w:p>
      <w:pPr>
        <w:pStyle w:val="Heading1"/>
        <w:keepNext/>
        <w:spacing w:before="200" w:after="100"/>
      </w:pPr>
      <w:r>
        <w:t>11. APPROVED EXACT CONTENT BASELINE</w:t>
      </w:r>
    </w:p>
    <w:p>
      <w:pPr>
        <w:spacing w:after="120" w:line="252" w:lineRule="auto"/>
      </w:pPr>
      <w:r>
        <w:t>The following copy is the approved baseline. Do not strengthen claims. Optional items are explicitly marked. You may distribute copy across visual elements, merge compatible acts, or adapt hierarchy inside a section, but the product meaning must remain unchanged.</w:t>
      </w:r>
    </w:p>
    <w:p>
      <w:pPr>
        <w:pStyle w:val="Heading2"/>
        <w:keepNext/>
        <w:spacing w:before="200" w:after="100"/>
      </w:pPr>
      <w:r>
        <w:t>A. HERO - REAL STUDENT CHECKER</w:t>
      </w:r>
    </w:p>
    <w:p>
      <w:pPr>
        <w:spacing w:after="120" w:line="252" w:lineRule="auto"/>
      </w:pPr>
      <w:r>
        <w:rPr>
          <w:b/>
          <w:color w:val="2F5F86"/>
        </w:rPr>
        <w:t>H1</w:t>
        <w:br/>
      </w:r>
      <w:r>
        <w:t>Plagiarism Checker for Students</w:t>
      </w:r>
    </w:p>
    <w:p>
      <w:pPr>
        <w:spacing w:after="120" w:line="252" w:lineRule="auto"/>
      </w:pPr>
      <w:r>
        <w:rPr>
          <w:b/>
          <w:color w:val="2F5F86"/>
        </w:rPr>
        <w:t>Supporting copy</w:t>
        <w:br/>
      </w:r>
      <w:r>
        <w:t>Check your essay, paper, assignment, thesis, or other coursework for matching text and sources before you submit. Review each match in context and decide what needs attention before you turn in your work.</w:t>
      </w:r>
    </w:p>
    <w:p>
      <w:pPr>
        <w:spacing w:after="120" w:line="252" w:lineRule="auto"/>
      </w:pPr>
      <w:r>
        <w:rPr>
          <w:b/>
          <w:color w:val="2F5F86"/>
        </w:rPr>
        <w:t>Primary checker CTA</w:t>
        <w:br/>
      </w:r>
      <w:r>
        <w:t>Check for plagiarism</w:t>
      </w:r>
    </w:p>
    <w:p>
      <w:pPr>
        <w:spacing w:after="120" w:line="252" w:lineRule="auto"/>
      </w:pPr>
      <w:r>
        <w:rPr>
          <w:b/>
          <w:color w:val="2F5F86"/>
        </w:rPr>
        <w:t>Free microcopy</w:t>
        <w:br/>
      </w:r>
      <w:r>
        <w:t>150 words free - no registration required.</w:t>
      </w:r>
    </w:p>
    <w:tbl>
      <w:tblPr>
        <w:tblStyle w:val="TableGrid"/>
        <w:tblW w:type="auto" w:w="0"/>
        <w:tblLook w:firstColumn="1" w:firstRow="1" w:lastColumn="0" w:lastRow="0" w:noHBand="0" w:noVBand="1" w:val="04A0"/>
      </w:tblPr>
      <w:tblGrid>
        <w:gridCol w:w="10166"/>
      </w:tblGrid>
      <w:tr>
        <w:tc>
          <w:tcPr>
            <w:tcW w:type="dxa" w:w="10166"/>
            <w:shd w:fill="F3F5F7"/>
            <w:tcMar>
              <w:top w:w="150" w:type="dxa"/>
              <w:start w:w="170" w:type="dxa"/>
              <w:bottom w:w="150" w:type="dxa"/>
              <w:end w:w="170" w:type="dxa"/>
            </w:tcMar>
          </w:tcPr>
          <w:p>
            <w:r>
              <w:rPr>
                <w:rFonts w:ascii="Aptos" w:hAnsi="Aptos"/>
                <w:b/>
                <w:color w:val="1F374E"/>
                <w:sz w:val="19"/>
              </w:rPr>
              <w:t>Hero rules</w:t>
            </w:r>
          </w:p>
          <w:p>
            <w:pPr>
              <w:spacing w:after="40"/>
            </w:pPr>
            <w:r>
              <w:rPr>
                <w:rFonts w:ascii="Aptos" w:hAnsi="Aptos"/>
                <w:sz w:val="18"/>
              </w:rPr>
              <w:t>Use the real production checker component, not a fake form or screenshot.</w:t>
            </w:r>
          </w:p>
          <w:p>
            <w:pPr>
              <w:spacing w:after="40"/>
            </w:pPr>
            <w:r>
              <w:rPr>
                <w:rFonts w:ascii="Aptos" w:hAnsi="Aptos"/>
                <w:sz w:val="18"/>
              </w:rPr>
              <w:t>Plagiarism remains the primary analysis. AI may remain an optional separate control only if the production checker supports it.</w:t>
            </w:r>
          </w:p>
          <w:p>
            <w:pPr>
              <w:spacing w:after="40"/>
            </w:pPr>
            <w:r>
              <w:rPr>
                <w:rFonts w:ascii="Aptos" w:hAnsi="Aptos"/>
                <w:sz w:val="18"/>
              </w:rPr>
              <w:t>Do not show “100% authentic,” “guaranteed originality,” “avoid getting caught,” “safe for submission,” or huge free-word claims.</w:t>
            </w:r>
          </w:p>
          <w:p>
            <w:pPr>
              <w:spacing w:after="40"/>
            </w:pPr>
            <w:r>
              <w:rPr>
                <w:rFonts w:ascii="Aptos" w:hAnsi="Aptos"/>
                <w:sz w:val="18"/>
              </w:rPr>
              <w:t>Do not turn the hero into a generic homepage clone; the copy and surrounding evidence must preserve the student pre-submission job.</w:t>
            </w:r>
          </w:p>
        </w:tc>
      </w:tr>
    </w:tbl>
    <w:p>
      <w:pPr>
        <w:spacing w:after="120" w:line="252" w:lineRule="auto"/>
      </w:pPr>
    </w:p>
    <w:p>
      <w:pPr>
        <w:pStyle w:val="Heading2"/>
        <w:keepNext/>
        <w:spacing w:before="200" w:after="100"/>
      </w:pPr>
      <w:r>
        <w:t>B. COMPACT TRUST PROOF</w:t>
      </w:r>
    </w:p>
    <w:p>
      <w:pPr>
        <w:spacing w:after="120" w:line="252" w:lineRule="auto"/>
      </w:pPr>
      <w:r>
        <w:rPr>
          <w:b/>
          <w:color w:val="2F5F86"/>
        </w:rPr>
        <w:t>Approved fixed proof items</w:t>
        <w:br/>
      </w:r>
      <w:r>
        <w:t>500,000+ users</w:t>
        <w:br/>
        <w:t>Plagiarism checking in 80+ languages</w:t>
        <w:br/>
        <w:t>BBB Accredited</w:t>
      </w:r>
    </w:p>
    <w:p>
      <w:pPr>
        <w:spacing w:after="120" w:line="252" w:lineRule="auto"/>
      </w:pPr>
      <w:r>
        <w:rPr>
          <w:b/>
          <w:color w:val="2F5F86"/>
        </w:rPr>
        <w:t>Optional dynamic proof item</w:t>
        <w:br/>
      </w:r>
      <w:r>
        <w:t>[INSERT CURRENT VERIFIED REVIEW-PLATFORM RATING/COUNT ONLY IF SUPPLIED FROM AN APPROVED SOURCE]</w:t>
      </w:r>
    </w:p>
    <w:tbl>
      <w:tblPr>
        <w:tblStyle w:val="TableGrid"/>
        <w:tblW w:type="auto" w:w="0"/>
        <w:tblLook w:firstColumn="1" w:firstRow="1" w:lastColumn="0" w:lastRow="0" w:noHBand="0" w:noVBand="1" w:val="04A0"/>
      </w:tblPr>
      <w:tblGrid>
        <w:gridCol w:w="10166"/>
      </w:tblGrid>
      <w:tr>
        <w:tc>
          <w:tcPr>
            <w:tcW w:type="dxa" w:w="10166"/>
            <w:shd w:fill="F3F5F7"/>
            <w:tcMar>
              <w:top w:w="150" w:type="dxa"/>
              <w:start w:w="170" w:type="dxa"/>
              <w:bottom w:w="150" w:type="dxa"/>
              <w:end w:w="170" w:type="dxa"/>
            </w:tcMar>
          </w:tcPr>
          <w:p>
            <w:r>
              <w:rPr>
                <w:rFonts w:ascii="Aptos" w:hAnsi="Aptos"/>
                <w:b/>
                <w:color w:val="1F374E"/>
                <w:sz w:val="19"/>
              </w:rPr>
              <w:t>Proof rules</w:t>
            </w:r>
          </w:p>
          <w:p>
            <w:pPr>
              <w:spacing w:after="40"/>
            </w:pPr>
            <w:r>
              <w:rPr>
                <w:rFonts w:ascii="Aptos" w:hAnsi="Aptos"/>
                <w:sz w:val="18"/>
              </w:rPr>
              <w:t>Keep the rail compact.</w:t>
            </w:r>
          </w:p>
          <w:p>
            <w:pPr>
              <w:spacing w:after="40"/>
            </w:pPr>
            <w:r>
              <w:rPr>
                <w:rFonts w:ascii="Aptos" w:hAnsi="Aptos"/>
                <w:sz w:val="18"/>
              </w:rPr>
              <w:t>Do not say 500,000 clients, customers, or students.</w:t>
            </w:r>
          </w:p>
          <w:p>
            <w:pPr>
              <w:spacing w:after="40"/>
            </w:pPr>
            <w:r>
              <w:rPr>
                <w:rFonts w:ascii="Aptos" w:hAnsi="Aptos"/>
                <w:sz w:val="18"/>
              </w:rPr>
              <w:t>Do not imply 80+ AI-detection languages.</w:t>
            </w:r>
          </w:p>
          <w:p>
            <w:pPr>
              <w:spacing w:after="40"/>
            </w:pPr>
            <w:r>
              <w:rPr>
                <w:rFonts w:ascii="Aptos" w:hAnsi="Aptos"/>
                <w:sz w:val="18"/>
              </w:rPr>
              <w:t>Do not browse for ratings/review counts or hardcode stale values.</w:t>
            </w:r>
          </w:p>
        </w:tc>
      </w:tr>
    </w:tbl>
    <w:p>
      <w:pPr>
        <w:spacing w:after="120" w:line="252" w:lineRule="auto"/>
      </w:pPr>
    </w:p>
    <w:p>
      <w:pPr>
        <w:pStyle w:val="Heading2"/>
        <w:keepNext/>
        <w:spacing w:before="200" w:after="100"/>
      </w:pPr>
      <w:r>
        <w:t>C. SIGNATURE PRODUCT EVIDENCE - REPORT</w:t>
      </w:r>
    </w:p>
    <w:p>
      <w:pPr>
        <w:spacing w:after="120" w:line="252" w:lineRule="auto"/>
      </w:pPr>
      <w:r>
        <w:rPr>
          <w:b/>
          <w:color w:val="2F5F86"/>
        </w:rPr>
        <w:t>Eyebrow</w:t>
        <w:br/>
      </w:r>
      <w:r>
        <w:t>Before You Submit</w:t>
      </w:r>
    </w:p>
    <w:p>
      <w:pPr>
        <w:spacing w:after="120" w:line="252" w:lineRule="auto"/>
      </w:pPr>
      <w:r>
        <w:rPr>
          <w:b/>
          <w:color w:val="2F5F86"/>
        </w:rPr>
        <w:t>H2</w:t>
        <w:br/>
      </w:r>
      <w:r>
        <w:t>Review every match before you submit</w:t>
      </w:r>
    </w:p>
    <w:p>
      <w:pPr>
        <w:spacing w:after="120" w:line="252" w:lineRule="auto"/>
      </w:pPr>
      <w:r>
        <w:rPr>
          <w:b/>
          <w:color w:val="2F5F86"/>
        </w:rPr>
        <w:t>Intro</w:t>
        <w:br/>
      </w:r>
      <w:r>
        <w:t>A similarity score is only a starting point. Open a highlighted passage to see the matching source and its context, then review citations, references, and other report signals before deciding whether anything needs to change.</w:t>
      </w:r>
    </w:p>
    <w:p>
      <w:pPr>
        <w:spacing w:after="120" w:line="252" w:lineRule="auto"/>
      </w:pPr>
      <w:r>
        <w:rPr>
          <w:b/>
          <w:color w:val="2F5F86"/>
        </w:rPr>
        <w:t>Interpretation callout</w:t>
        <w:br/>
      </w:r>
      <w:r>
        <w:t>PlagiarismSearch surfaces matching text and sources for review. It does not decide whether a passage is plagiarism.</w:t>
      </w:r>
    </w:p>
    <w:p>
      <w:pPr>
        <w:spacing w:after="120" w:line="252" w:lineRule="auto"/>
      </w:pPr>
      <w:r>
        <w:rPr>
          <w:b/>
          <w:color w:val="2F5F86"/>
        </w:rPr>
        <w:t>Student principle</w:t>
        <w:br/>
      </w:r>
      <w:r>
        <w:t>Similarity is not a plagiarism grade.</w:t>
      </w:r>
    </w:p>
    <w:p>
      <w:pPr>
        <w:spacing w:after="120" w:line="252" w:lineRule="auto"/>
      </w:pPr>
      <w:r>
        <w:rPr>
          <w:b/>
          <w:color w:val="2F5F86"/>
        </w:rPr>
        <w:t>Supporting copy</w:t>
        <w:br/>
      </w:r>
      <w:r>
        <w:t>A matching passage may be a quotation, a reference, common phrasing, a close paraphrase, or text that needs closer review. Look at the source and context instead of treating one percentage as a pass-or-fail result.</w:t>
      </w:r>
    </w:p>
    <w:tbl>
      <w:tblPr>
        <w:tblStyle w:val="TableGrid"/>
        <w:tblW w:type="auto" w:w="0"/>
        <w:tblLook w:firstColumn="1" w:firstRow="1" w:lastColumn="0" w:lastRow="0" w:noHBand="0" w:noVBand="1" w:val="04A0"/>
      </w:tblPr>
      <w:tblGrid>
        <w:gridCol w:w="10166"/>
      </w:tblGrid>
      <w:tr>
        <w:tc>
          <w:tcPr>
            <w:tcW w:type="dxa" w:w="10166"/>
            <w:shd w:fill="F3F5F7"/>
            <w:tcMar>
              <w:top w:w="150" w:type="dxa"/>
              <w:start w:w="170" w:type="dxa"/>
              <w:bottom w:w="150" w:type="dxa"/>
              <w:end w:w="170" w:type="dxa"/>
            </w:tcMar>
          </w:tcPr>
          <w:p>
            <w:r>
              <w:rPr>
                <w:rFonts w:ascii="Aptos" w:hAnsi="Aptos"/>
                <w:b/>
                <w:color w:val="1F374E"/>
                <w:sz w:val="19"/>
              </w:rPr>
              <w:t>Report implementation rule</w:t>
            </w:r>
          </w:p>
          <w:p>
            <w:pPr>
              <w:spacing w:after="40"/>
            </w:pPr>
            <w:r>
              <w:rPr>
                <w:rFonts w:ascii="Aptos" w:hAnsi="Aptos"/>
                <w:sz w:val="18"/>
              </w:rPr>
              <w:t>Reuse the real approved PlagiarismSearch report language/visual system or one truthful precomputed production-based report.</w:t>
            </w:r>
          </w:p>
          <w:p>
            <w:pPr>
              <w:spacing w:after="40"/>
            </w:pPr>
            <w:r>
              <w:rPr>
                <w:rFonts w:ascii="Aptos" w:hAnsi="Aptos"/>
                <w:sz w:val="18"/>
              </w:rPr>
              <w:t>Selecting/hovering a highlighted passage should reveal the associated source/context when the approved report interaction supports it.</w:t>
            </w:r>
          </w:p>
          <w:p>
            <w:pPr>
              <w:spacing w:after="40"/>
            </w:pPr>
            <w:r>
              <w:rPr>
                <w:rFonts w:ascii="Aptos" w:hAnsi="Aptos"/>
                <w:sz w:val="18"/>
              </w:rPr>
              <w:t>Do not invent a “Plagiarism X%” verdict, authenticity score, safe threshold, automatic citation fix, correction suggestion, or new report field.</w:t>
            </w:r>
          </w:p>
          <w:p>
            <w:pPr>
              <w:spacing w:after="40"/>
            </w:pPr>
            <w:r>
              <w:rPr>
                <w:rFonts w:ascii="Aptos" w:hAnsi="Aptos"/>
                <w:sz w:val="18"/>
              </w:rPr>
              <w:t>AI probability, if present in the canonical report, must remain visibly separate from plagiarism/source similarity.</w:t>
            </w:r>
          </w:p>
        </w:tc>
      </w:tr>
    </w:tbl>
    <w:p>
      <w:pPr>
        <w:spacing w:after="120" w:line="252" w:lineRule="auto"/>
      </w:pPr>
    </w:p>
    <w:p>
      <w:pPr>
        <w:pStyle w:val="Heading2"/>
        <w:keepNext/>
        <w:spacing w:before="200" w:after="100"/>
      </w:pPr>
      <w:r>
        <w:t>D. STUDENT WORKFLOW - WHAT TO DO WITH A MATCH</w:t>
      </w:r>
    </w:p>
    <w:p>
      <w:pPr>
        <w:spacing w:after="120" w:line="252" w:lineRule="auto"/>
      </w:pPr>
      <w:r>
        <w:rPr>
          <w:b/>
          <w:color w:val="2F5F86"/>
        </w:rPr>
        <w:t>Eyebrow</w:t>
        <w:br/>
      </w:r>
      <w:r>
        <w:t>Review Your Draft</w:t>
      </w:r>
    </w:p>
    <w:p>
      <w:pPr>
        <w:spacing w:after="120" w:line="252" w:lineRule="auto"/>
      </w:pPr>
      <w:r>
        <w:rPr>
          <w:b/>
          <w:color w:val="2F5F86"/>
        </w:rPr>
        <w:t>H2</w:t>
        <w:br/>
      </w:r>
      <w:r>
        <w:t>What to do when you find a match</w:t>
      </w:r>
    </w:p>
    <w:p>
      <w:pPr>
        <w:spacing w:after="120" w:line="252" w:lineRule="auto"/>
      </w:pPr>
      <w:r>
        <w:rPr>
          <w:b/>
          <w:color w:val="2F5F86"/>
        </w:rPr>
        <w:t>Step 1 - Open the matched passage</w:t>
      </w:r>
    </w:p>
    <w:p>
      <w:pPr>
        <w:spacing w:after="120" w:line="252" w:lineRule="auto"/>
      </w:pPr>
      <w:r>
        <w:t>Find the highlighted text in your report and open the source connected to that match.</w:t>
      </w:r>
    </w:p>
    <w:p>
      <w:pPr>
        <w:spacing w:after="120" w:line="252" w:lineRule="auto"/>
      </w:pPr>
      <w:r>
        <w:rPr>
          <w:b/>
          <w:color w:val="2F5F86"/>
        </w:rPr>
        <w:t>Step 2 - Review the source and context</w:t>
      </w:r>
    </w:p>
    <w:p>
      <w:pPr>
        <w:spacing w:after="120" w:line="252" w:lineRule="auto"/>
      </w:pPr>
      <w:r>
        <w:t>Check whether the match comes from a quotation, reference, common phrasing, a close paraphrase, or another passage that needs closer attention.</w:t>
      </w:r>
    </w:p>
    <w:p>
      <w:pPr>
        <w:spacing w:after="120" w:line="252" w:lineRule="auto"/>
      </w:pPr>
      <w:r>
        <w:rPr>
          <w:b/>
          <w:color w:val="2F5F86"/>
        </w:rPr>
        <w:t>Step 3 - Revise where necessary</w:t>
      </w:r>
    </w:p>
    <w:p>
      <w:pPr>
        <w:spacing w:after="120" w:line="252" w:lineRule="auto"/>
      </w:pPr>
      <w:r>
        <w:t>If the wording or attribution needs work, revise the passage appropriately - for example, correct the citation, use quotation marks where required, or rewrite the idea in your own words.</w:t>
      </w:r>
    </w:p>
    <w:p>
      <w:pPr>
        <w:spacing w:after="120" w:line="252" w:lineRule="auto"/>
      </w:pPr>
      <w:r>
        <w:rPr>
          <w:b/>
          <w:color w:val="2F5F86"/>
        </w:rPr>
        <w:t>Step 4 - Review the updated draft</w:t>
      </w:r>
    </w:p>
    <w:p>
      <w:pPr>
        <w:spacing w:after="120" w:line="252" w:lineRule="auto"/>
      </w:pPr>
      <w:r>
        <w:t>If you make changes, you can check the revised paper again and review the updated matches before submission.</w:t>
      </w:r>
    </w:p>
    <w:tbl>
      <w:tblPr>
        <w:tblStyle w:val="TableGrid"/>
        <w:tblW w:type="auto" w:w="0"/>
        <w:tblLook w:firstColumn="1" w:firstRow="1" w:lastColumn="0" w:lastRow="0" w:noHBand="0" w:noVBand="1" w:val="04A0"/>
      </w:tblPr>
      <w:tblGrid>
        <w:gridCol w:w="10166"/>
      </w:tblGrid>
      <w:tr>
        <w:tc>
          <w:tcPr>
            <w:tcW w:type="dxa" w:w="10166"/>
            <w:shd w:fill="F3F5F7"/>
            <w:tcMar>
              <w:top w:w="150" w:type="dxa"/>
              <w:start w:w="170" w:type="dxa"/>
              <w:bottom w:w="150" w:type="dxa"/>
              <w:end w:w="170" w:type="dxa"/>
            </w:tcMar>
          </w:tcPr>
          <w:p>
            <w:r>
              <w:rPr>
                <w:rFonts w:ascii="Aptos" w:hAnsi="Aptos"/>
                <w:b/>
                <w:color w:val="1F374E"/>
                <w:sz w:val="19"/>
              </w:rPr>
              <w:t>Workflow guardrail</w:t>
            </w:r>
          </w:p>
          <w:p>
            <w:pPr>
              <w:spacing w:after="40"/>
            </w:pPr>
            <w:r>
              <w:rPr>
                <w:rFonts w:ascii="Aptos" w:hAnsi="Aptos"/>
                <w:sz w:val="18"/>
              </w:rPr>
              <w:t>This is a student use workflow built on existing checker/report capabilities, not a promise that PlagiarismSearch automatically corrects citations or rewrites papers.</w:t>
            </w:r>
          </w:p>
          <w:p>
            <w:pPr>
              <w:spacing w:after="40"/>
            </w:pPr>
            <w:r>
              <w:rPr>
                <w:rFonts w:ascii="Aptos" w:hAnsi="Aptos"/>
                <w:sz w:val="18"/>
              </w:rPr>
              <w:t>Do not add automatic citation repair, paraphrasing, rewriting, “make original,” or essay-improvement capabilities unless separately confirmed.</w:t>
            </w:r>
          </w:p>
        </w:tc>
      </w:tr>
    </w:tbl>
    <w:p>
      <w:pPr>
        <w:spacing w:after="120" w:line="252" w:lineRule="auto"/>
      </w:pPr>
    </w:p>
    <w:p>
      <w:pPr>
        <w:pStyle w:val="Heading2"/>
        <w:keepNext/>
        <w:spacing w:before="200" w:after="100"/>
      </w:pPr>
      <w:r>
        <w:t>E. SOURCES &amp; ACADEMIC CONTROLS</w:t>
      </w:r>
    </w:p>
    <w:p>
      <w:pPr>
        <w:spacing w:after="120" w:line="252" w:lineRule="auto"/>
      </w:pPr>
      <w:r>
        <w:rPr>
          <w:b/>
          <w:color w:val="2F5F86"/>
        </w:rPr>
        <w:t>Eyebrow</w:t>
        <w:br/>
      </w:r>
      <w:r>
        <w:t>Sources &amp; Settings</w:t>
      </w:r>
    </w:p>
    <w:p>
      <w:pPr>
        <w:spacing w:after="120" w:line="252" w:lineRule="auto"/>
      </w:pPr>
      <w:r>
        <w:rPr>
          <w:b/>
          <w:color w:val="2F5F86"/>
        </w:rPr>
        <w:t>H2</w:t>
        <w:br/>
      </w:r>
      <w:r>
        <w:t>Control what your paper is checked against</w:t>
      </w:r>
    </w:p>
    <w:p>
      <w:pPr>
        <w:spacing w:after="120" w:line="252" w:lineRule="auto"/>
      </w:pPr>
      <w:r>
        <w:rPr>
          <w:b/>
          <w:color w:val="2F5F86"/>
        </w:rPr>
        <w:t>Intro</w:t>
        <w:br/>
      </w:r>
      <w:r>
        <w:t>Choose the source collections and exclusions that fit your paper before you interpret the result. Search the web and academic databases, and exclude references or in-text citations when appropriate.</w:t>
      </w:r>
    </w:p>
    <w:p>
      <w:pPr>
        <w:spacing w:after="120" w:line="252" w:lineRule="auto"/>
      </w:pPr>
      <w:r>
        <w:rPr>
          <w:b/>
          <w:color w:val="2F5F86"/>
        </w:rPr>
        <w:t>Web</w:t>
      </w:r>
    </w:p>
    <w:p>
      <w:pPr>
        <w:spacing w:after="120" w:line="252" w:lineRule="auto"/>
      </w:pPr>
      <w:r>
        <w:t>Search available web sources for matching or similar text.</w:t>
      </w:r>
    </w:p>
    <w:p>
      <w:pPr>
        <w:spacing w:after="120" w:line="252" w:lineRule="auto"/>
      </w:pPr>
      <w:r>
        <w:rPr>
          <w:b/>
          <w:color w:val="2F5F86"/>
        </w:rPr>
        <w:t>Academic databases</w:t>
      </w:r>
    </w:p>
    <w:p>
      <w:pPr>
        <w:spacing w:after="120" w:line="252" w:lineRule="auto"/>
      </w:pPr>
      <w:r>
        <w:t>Include academic database search when you want the paper compared with indexed academic material.</w:t>
      </w:r>
    </w:p>
    <w:p>
      <w:pPr>
        <w:spacing w:after="120" w:line="252" w:lineRule="auto"/>
      </w:pPr>
      <w:r>
        <w:rPr>
          <w:b/>
          <w:color w:val="2F5F86"/>
        </w:rPr>
        <w:t>Coverage proof</w:t>
      </w:r>
    </w:p>
    <w:p>
      <w:pPr>
        <w:spacing w:after="120" w:line="252" w:lineRule="auto"/>
      </w:pPr>
      <w:r>
        <w:t>When academic database search is enabled, PlagiarismSearch can search over 500 million indexed academic texts.</w:t>
      </w:r>
    </w:p>
    <w:p>
      <w:pPr>
        <w:spacing w:after="120" w:line="252" w:lineRule="auto"/>
      </w:pPr>
      <w:r>
        <w:rPr>
          <w:b/>
          <w:color w:val="2F5F86"/>
        </w:rPr>
        <w:t>Exclude references</w:t>
      </w:r>
    </w:p>
    <w:p>
      <w:pPr>
        <w:spacing w:after="120" w:line="252" w:lineRule="auto"/>
      </w:pPr>
      <w:r>
        <w:t>Exclude the reference section when that fits the way you need to review the paper.</w:t>
      </w:r>
    </w:p>
    <w:p>
      <w:pPr>
        <w:spacing w:after="120" w:line="252" w:lineRule="auto"/>
      </w:pPr>
      <w:r>
        <w:rPr>
          <w:b/>
          <w:color w:val="2F5F86"/>
        </w:rPr>
        <w:t>Exclude in-text citations</w:t>
      </w:r>
    </w:p>
    <w:p>
      <w:pPr>
        <w:spacing w:after="120" w:line="252" w:lineRule="auto"/>
      </w:pPr>
      <w:r>
        <w:t>Exclude in-text citations when appropriate for the check.</w:t>
      </w:r>
    </w:p>
    <w:p>
      <w:pPr>
        <w:spacing w:after="120" w:line="252" w:lineRule="auto"/>
      </w:pPr>
      <w:r>
        <w:rPr>
          <w:b/>
          <w:color w:val="2F5F86"/>
        </w:rPr>
        <w:t>Secondary source note</w:t>
        <w:br/>
      </w:r>
      <w:r>
        <w:t>Depending on your account, settings, and access, personal or organization storage may also be available as comparison sources.</w:t>
      </w:r>
    </w:p>
    <w:p>
      <w:pPr>
        <w:spacing w:after="120" w:line="252" w:lineRule="auto"/>
      </w:pPr>
      <w:r>
        <w:rPr>
          <w:b/>
          <w:color w:val="2F5F86"/>
        </w:rPr>
        <w:t>Interpretation line</w:t>
        <w:br/>
      </w:r>
      <w:r>
        <w:t>Changing the source collections or exclusions changes what the report can show, so review your settings before comparing results between checks.</w:t>
      </w:r>
    </w:p>
    <w:tbl>
      <w:tblPr>
        <w:tblStyle w:val="TableGrid"/>
        <w:tblW w:type="auto" w:w="0"/>
        <w:tblLook w:firstColumn="1" w:firstRow="1" w:lastColumn="0" w:lastRow="0" w:noHBand="0" w:noVBand="1" w:val="04A0"/>
      </w:tblPr>
      <w:tblGrid>
        <w:gridCol w:w="10166"/>
      </w:tblGrid>
      <w:tr>
        <w:tc>
          <w:tcPr>
            <w:tcW w:type="dxa" w:w="10166"/>
            <w:shd w:fill="F3F5F7"/>
            <w:tcMar>
              <w:top w:w="150" w:type="dxa"/>
              <w:start w:w="170" w:type="dxa"/>
              <w:bottom w:w="150" w:type="dxa"/>
              <w:end w:w="170" w:type="dxa"/>
            </w:tcMar>
          </w:tcPr>
          <w:p>
            <w:r>
              <w:rPr>
                <w:rFonts w:ascii="Aptos" w:hAnsi="Aptos"/>
                <w:b/>
                <w:color w:val="1F374E"/>
                <w:sz w:val="19"/>
              </w:rPr>
              <w:t>Control rules</w:t>
            </w:r>
          </w:p>
          <w:p>
            <w:pPr>
              <w:spacing w:after="40"/>
            </w:pPr>
            <w:r>
              <w:rPr>
                <w:rFonts w:ascii="Aptos" w:hAnsi="Aptos"/>
                <w:sz w:val="18"/>
              </w:rPr>
              <w:t>Do not imply every optional source is enabled in every check or available on every plan.</w:t>
            </w:r>
          </w:p>
          <w:p>
            <w:pPr>
              <w:spacing w:after="40"/>
            </w:pPr>
            <w:r>
              <w:rPr>
                <w:rFonts w:ascii="Aptos" w:hAnsi="Aptos"/>
                <w:sz w:val="18"/>
              </w:rPr>
              <w:t>Do not say “billions of sources,” “checks every source,” “finds all plagiarism,” or any corpus/completeness guarantee.</w:t>
            </w:r>
          </w:p>
          <w:p>
            <w:pPr>
              <w:spacing w:after="40"/>
            </w:pPr>
            <w:r>
              <w:rPr>
                <w:rFonts w:ascii="Aptos" w:hAnsi="Aptos"/>
                <w:sz w:val="18"/>
              </w:rPr>
              <w:t>Personal/organization Storage is secondary on this page; do not turn it into the student story.</w:t>
            </w:r>
          </w:p>
        </w:tc>
      </w:tr>
    </w:tbl>
    <w:p>
      <w:pPr>
        <w:spacing w:after="120" w:line="252" w:lineRule="auto"/>
      </w:pPr>
    </w:p>
    <w:p>
      <w:pPr>
        <w:pStyle w:val="Heading2"/>
        <w:keepNext/>
        <w:spacing w:before="200" w:after="100"/>
      </w:pPr>
      <w:r>
        <w:t>F. PAPER / REPORT DATA HANDLING</w:t>
      </w:r>
    </w:p>
    <w:p>
      <w:pPr>
        <w:spacing w:after="120" w:line="252" w:lineRule="auto"/>
      </w:pPr>
      <w:r>
        <w:rPr>
          <w:b/>
          <w:color w:val="2F5F86"/>
        </w:rPr>
        <w:t>Eyebrow</w:t>
        <w:br/>
      </w:r>
      <w:r>
        <w:t>Your Paper &amp; Report</w:t>
      </w:r>
    </w:p>
    <w:p>
      <w:pPr>
        <w:spacing w:after="120" w:line="252" w:lineRule="auto"/>
      </w:pPr>
      <w:r>
        <w:rPr>
          <w:b/>
          <w:color w:val="2F5F86"/>
        </w:rPr>
        <w:t>H2</w:t>
        <w:br/>
      </w:r>
      <w:r>
        <w:t>Know what happens to your paper</w:t>
      </w:r>
    </w:p>
    <w:p>
      <w:pPr>
        <w:spacing w:after="120" w:line="252" w:lineRule="auto"/>
      </w:pPr>
      <w:r>
        <w:rPr>
          <w:b/>
          <w:color w:val="2F5F86"/>
        </w:rPr>
        <w:t>Intro</w:t>
        <w:br/>
      </w:r>
      <w:r>
        <w:t>Your document is processed to perform the checks you select. The file you upload is not retained as a stored source document, while a generated report may remain in your account for convenient access.</w:t>
      </w:r>
    </w:p>
    <w:p>
      <w:pPr>
        <w:spacing w:after="120" w:line="252" w:lineRule="auto"/>
      </w:pPr>
      <w:r>
        <w:rPr>
          <w:b/>
          <w:color w:val="2F5F86"/>
        </w:rPr>
        <w:t>Upload &amp; process</w:t>
      </w:r>
    </w:p>
    <w:p>
      <w:pPr>
        <w:spacing w:after="120" w:line="252" w:lineRule="auto"/>
      </w:pPr>
      <w:r>
        <w:t>Your document is processed for the checks you select.</w:t>
      </w:r>
    </w:p>
    <w:p>
      <w:pPr>
        <w:spacing w:after="120" w:line="252" w:lineRule="auto"/>
      </w:pPr>
      <w:r>
        <w:rPr>
          <w:b/>
          <w:color w:val="2F5F86"/>
        </w:rPr>
        <w:t>Source document</w:t>
      </w:r>
    </w:p>
    <w:p>
      <w:pPr>
        <w:spacing w:after="120" w:line="252" w:lineRule="auto"/>
      </w:pPr>
      <w:r>
        <w:t>The uploaded file is not retained as a stored source document.</w:t>
      </w:r>
    </w:p>
    <w:p>
      <w:pPr>
        <w:spacing w:after="120" w:line="252" w:lineRule="auto"/>
      </w:pPr>
      <w:r>
        <w:rPr>
          <w:b/>
          <w:color w:val="2F5F86"/>
        </w:rPr>
        <w:t>Report</w:t>
      </w:r>
    </w:p>
    <w:p>
      <w:pPr>
        <w:spacing w:after="120" w:line="252" w:lineRule="auto"/>
      </w:pPr>
      <w:r>
        <w:t>Your generated report may remain in your account for convenient access.</w:t>
      </w:r>
    </w:p>
    <w:p>
      <w:pPr>
        <w:spacing w:after="120" w:line="252" w:lineRule="auto"/>
      </w:pPr>
      <w:r>
        <w:rPr>
          <w:b/>
          <w:color w:val="2F5F86"/>
        </w:rPr>
        <w:t>Delete</w:t>
      </w:r>
    </w:p>
    <w:p>
      <w:pPr>
        <w:spacing w:after="120" w:line="252" w:lineRule="auto"/>
      </w:pPr>
      <w:r>
        <w:t>You can permanently delete reports from your account.</w:t>
      </w:r>
    </w:p>
    <w:p>
      <w:pPr>
        <w:spacing w:after="120" w:line="252" w:lineRule="auto"/>
      </w:pPr>
      <w:r>
        <w:rPr>
          <w:b/>
          <w:color w:val="2F5F86"/>
        </w:rPr>
        <w:t>Storage note</w:t>
      </w:r>
    </w:p>
    <w:p>
      <w:pPr>
        <w:spacing w:after="120" w:line="252" w:lineRule="auto"/>
      </w:pPr>
      <w:r>
        <w:t>If you choose Add to storage, that is a separate action you control.</w:t>
      </w:r>
    </w:p>
    <w:p>
      <w:pPr>
        <w:spacing w:after="120" w:line="252" w:lineRule="auto"/>
      </w:pPr>
      <w:r>
        <w:rPr>
          <w:b/>
          <w:color w:val="2F5F86"/>
        </w:rPr>
        <w:t>Student clarification</w:t>
        <w:br/>
      </w:r>
      <w:r>
        <w:t>Running a plagiarism check does not automatically add your paper to storage.</w:t>
      </w:r>
    </w:p>
    <w:p>
      <w:pPr>
        <w:spacing w:after="120" w:line="252" w:lineRule="auto"/>
      </w:pPr>
      <w:r>
        <w:rPr>
          <w:b/>
          <w:color w:val="2F5F86"/>
        </w:rPr>
        <w:t>CTA</w:t>
        <w:br/>
      </w:r>
      <w:r>
        <w:t>Read our Privacy Policy</w:t>
      </w:r>
    </w:p>
    <w:p>
      <w:pPr>
        <w:spacing w:after="120" w:line="252" w:lineRule="auto"/>
      </w:pPr>
      <w:r>
        <w:rPr>
          <w:b/>
          <w:color w:val="2F5F86"/>
        </w:rPr>
        <w:t>Target</w:t>
        <w:br/>
      </w:r>
      <w:r>
        <w:t>/policy</w:t>
      </w:r>
    </w:p>
    <w:tbl>
      <w:tblPr>
        <w:tblStyle w:val="TableGrid"/>
        <w:tblW w:type="auto" w:w="0"/>
        <w:tblLook w:firstColumn="1" w:firstRow="1" w:lastColumn="0" w:lastRow="0" w:noHBand="0" w:noVBand="1" w:val="04A0"/>
      </w:tblPr>
      <w:tblGrid>
        <w:gridCol w:w="10166"/>
      </w:tblGrid>
      <w:tr>
        <w:tc>
          <w:tcPr>
            <w:tcW w:type="dxa" w:w="10166"/>
            <w:shd w:fill="F3F5F7"/>
            <w:tcMar>
              <w:top w:w="150" w:type="dxa"/>
              <w:start w:w="170" w:type="dxa"/>
              <w:bottom w:w="150" w:type="dxa"/>
              <w:end w:w="170" w:type="dxa"/>
            </w:tcMar>
          </w:tcPr>
          <w:p>
            <w:r>
              <w:rPr>
                <w:rFonts w:ascii="Aptos" w:hAnsi="Aptos"/>
                <w:b/>
                <w:color w:val="1F374E"/>
                <w:sz w:val="19"/>
              </w:rPr>
              <w:t>Data-handling restrictions</w:t>
            </w:r>
          </w:p>
          <w:p>
            <w:pPr>
              <w:spacing w:after="40"/>
            </w:pPr>
            <w:r>
              <w:rPr>
                <w:rFonts w:ascii="Aptos" w:hAnsi="Aptos"/>
                <w:sz w:val="18"/>
              </w:rPr>
              <w:t>Do not say “never stored anywhere,” “immediately deleted,” “without storing or sharing your data,” “privacy guaranteed,” “100% confidential,” or any unverified deletion timing.</w:t>
            </w:r>
          </w:p>
          <w:p>
            <w:pPr>
              <w:spacing w:after="40"/>
            </w:pPr>
            <w:r>
              <w:rPr>
                <w:rFonts w:ascii="Aptos" w:hAnsi="Aptos"/>
                <w:sz w:val="18"/>
              </w:rPr>
              <w:t>Keep checked source document, generated report and optional intentional storage as distinct concepts.</w:t>
            </w:r>
          </w:p>
        </w:tc>
      </w:tr>
    </w:tbl>
    <w:p>
      <w:pPr>
        <w:spacing w:after="120" w:line="252" w:lineRule="auto"/>
      </w:pPr>
    </w:p>
    <w:p>
      <w:pPr>
        <w:pStyle w:val="Heading2"/>
        <w:keepNext/>
        <w:spacing w:before="200" w:after="100"/>
      </w:pPr>
      <w:r>
        <w:t>G. COMPACT PLAGIARISM VS AI CLARIFICATION</w:t>
      </w:r>
    </w:p>
    <w:p>
      <w:pPr>
        <w:spacing w:after="120" w:line="252" w:lineRule="auto"/>
      </w:pPr>
      <w:r>
        <w:rPr>
          <w:b/>
          <w:color w:val="2F5F86"/>
        </w:rPr>
        <w:t>H2</w:t>
        <w:br/>
      </w:r>
      <w:r>
        <w:t>Plagiarism and AI writing are different checks</w:t>
      </w:r>
    </w:p>
    <w:p>
      <w:pPr>
        <w:spacing w:after="120" w:line="252" w:lineRule="auto"/>
      </w:pPr>
      <w:r>
        <w:rPr>
          <w:b/>
          <w:color w:val="2F5F86"/>
        </w:rPr>
        <w:t>Plagiarism check</w:t>
        <w:br/>
      </w:r>
      <w:r>
        <w:t>Plagiarism checking finds text that matches available sources and shows where those matches come from.</w:t>
      </w:r>
    </w:p>
    <w:p>
      <w:pPr>
        <w:spacing w:after="120" w:line="252" w:lineRule="auto"/>
      </w:pPr>
      <w:r>
        <w:rPr>
          <w:b/>
          <w:color w:val="2F5F86"/>
        </w:rPr>
        <w:t>AI writing check</w:t>
        <w:br/>
      </w:r>
      <w:r>
        <w:t>AI writing analysis provides a separate indicator for the text you choose to analyze. It does not replace source matching and does not prove authorship.</w:t>
      </w:r>
    </w:p>
    <w:p>
      <w:pPr>
        <w:spacing w:after="120" w:line="252" w:lineRule="auto"/>
      </w:pPr>
      <w:r>
        <w:rPr>
          <w:b/>
          <w:color w:val="2F5F86"/>
        </w:rPr>
        <w:t>Critical line</w:t>
        <w:br/>
      </w:r>
      <w:r>
        <w:t>AI-generated text is not automatically plagiarism, and a low similarity result does not prove that a text was written by a human.</w:t>
      </w:r>
    </w:p>
    <w:p>
      <w:pPr>
        <w:spacing w:after="120" w:line="252" w:lineRule="auto"/>
      </w:pPr>
      <w:r>
        <w:rPr>
          <w:b/>
          <w:color w:val="2F5F86"/>
        </w:rPr>
        <w:t>Optional CTA</w:t>
        <w:br/>
      </w:r>
      <w:r>
        <w:t>Explore AI Detector</w:t>
      </w:r>
    </w:p>
    <w:p>
      <w:pPr>
        <w:spacing w:after="120" w:line="252" w:lineRule="auto"/>
      </w:pPr>
      <w:r>
        <w:rPr>
          <w:b/>
          <w:color w:val="2F5F86"/>
        </w:rPr>
        <w:t>Target</w:t>
        <w:br/>
      </w:r>
      <w:r>
        <w:t>/ai-content-detector</w:t>
      </w:r>
    </w:p>
    <w:tbl>
      <w:tblPr>
        <w:tblStyle w:val="TableGrid"/>
        <w:tblW w:type="auto" w:w="0"/>
        <w:tblLook w:firstColumn="1" w:firstRow="1" w:lastColumn="0" w:lastRow="0" w:noHBand="0" w:noVBand="1" w:val="04A0"/>
      </w:tblPr>
      <w:tblGrid>
        <w:gridCol w:w="10166"/>
      </w:tblGrid>
      <w:tr>
        <w:tc>
          <w:tcPr>
            <w:tcW w:type="dxa" w:w="10166"/>
            <w:shd w:fill="F3F5F7"/>
            <w:tcMar>
              <w:top w:w="150" w:type="dxa"/>
              <w:start w:w="170" w:type="dxa"/>
              <w:bottom w:w="150" w:type="dxa"/>
              <w:end w:w="170" w:type="dxa"/>
            </w:tcMar>
          </w:tcPr>
          <w:p>
            <w:r>
              <w:rPr>
                <w:rFonts w:ascii="Aptos" w:hAnsi="Aptos"/>
                <w:b/>
                <w:color w:val="1F374E"/>
                <w:sz w:val="19"/>
              </w:rPr>
              <w:t>AI rules</w:t>
            </w:r>
          </w:p>
          <w:p>
            <w:pPr>
              <w:spacing w:after="40"/>
            </w:pPr>
            <w:r>
              <w:rPr>
                <w:rFonts w:ascii="Aptos" w:hAnsi="Aptos"/>
                <w:sz w:val="18"/>
              </w:rPr>
              <w:t>Keep this compact; it does not need to become a separate large visual section if another composition is clearer.</w:t>
            </w:r>
          </w:p>
          <w:p>
            <w:pPr>
              <w:spacing w:after="40"/>
            </w:pPr>
            <w:r>
              <w:rPr>
                <w:rFonts w:ascii="Aptos" w:hAnsi="Aptos"/>
                <w:sz w:val="18"/>
              </w:rPr>
              <w:t>Do not position AI checking as a way to “beat,” “pass,” or predict an instructor/detector.</w:t>
            </w:r>
          </w:p>
          <w:p>
            <w:pPr>
              <w:spacing w:after="40"/>
            </w:pPr>
            <w:r>
              <w:rPr>
                <w:rFonts w:ascii="Aptos" w:hAnsi="Aptos"/>
                <w:sz w:val="18"/>
              </w:rPr>
              <w:t>Do not publish AI accuracy percentages, false-positive promises, model coverage or authorship proof unless separately approved.</w:t>
            </w:r>
          </w:p>
        </w:tc>
      </w:tr>
    </w:tbl>
    <w:p>
      <w:pPr>
        <w:spacing w:after="120" w:line="252" w:lineRule="auto"/>
      </w:pPr>
    </w:p>
    <w:p>
      <w:pPr>
        <w:pStyle w:val="Heading2"/>
        <w:keepNext/>
        <w:spacing w:before="200" w:after="100"/>
      </w:pPr>
      <w:r>
        <w:t>H. FREE ENTRY &amp; PRICING PATH</w:t>
      </w:r>
    </w:p>
    <w:p>
      <w:pPr>
        <w:spacing w:after="120" w:line="252" w:lineRule="auto"/>
      </w:pPr>
      <w:r>
        <w:rPr>
          <w:b/>
          <w:color w:val="2F5F86"/>
        </w:rPr>
        <w:t>Eyebrow</w:t>
        <w:br/>
      </w:r>
      <w:r>
        <w:t>Start Free</w:t>
      </w:r>
    </w:p>
    <w:p>
      <w:pPr>
        <w:spacing w:after="120" w:line="252" w:lineRule="auto"/>
      </w:pPr>
      <w:r>
        <w:rPr>
          <w:b/>
          <w:color w:val="2F5F86"/>
        </w:rPr>
        <w:t>H2</w:t>
        <w:br/>
      </w:r>
      <w:r>
        <w:t>Check a short passage before you choose a plan</w:t>
      </w:r>
    </w:p>
    <w:p>
      <w:pPr>
        <w:spacing w:after="120" w:line="252" w:lineRule="auto"/>
      </w:pPr>
      <w:r>
        <w:rPr>
          <w:b/>
          <w:color w:val="2F5F86"/>
        </w:rPr>
        <w:t>Copy</w:t>
        <w:br/>
      </w:r>
      <w:r>
        <w:t>You can check up to 150 words for plagiarism without registering. Registered users receive 300 plagiarism words per day.</w:t>
        <w:br/>
        <w:br/>
        <w:t>If you need to check more, compare the current PlagiarismSearch plans and choose the option that fits your work.</w:t>
      </w:r>
    </w:p>
    <w:p>
      <w:pPr>
        <w:spacing w:after="120" w:line="252" w:lineRule="auto"/>
      </w:pPr>
      <w:r>
        <w:rPr>
          <w:b/>
          <w:color w:val="2F5F86"/>
        </w:rPr>
        <w:t>Primary CTA</w:t>
        <w:br/>
      </w:r>
      <w:r>
        <w:t>Check for plagiarism</w:t>
      </w:r>
    </w:p>
    <w:p>
      <w:pPr>
        <w:spacing w:after="120" w:line="252" w:lineRule="auto"/>
      </w:pPr>
      <w:r>
        <w:rPr>
          <w:b/>
          <w:color w:val="2F5F86"/>
        </w:rPr>
        <w:t>Primary action</w:t>
        <w:br/>
      </w:r>
      <w:r>
        <w:t>Return/focus the real checker in the hero.</w:t>
      </w:r>
    </w:p>
    <w:p>
      <w:pPr>
        <w:spacing w:after="120" w:line="252" w:lineRule="auto"/>
      </w:pPr>
      <w:r>
        <w:rPr>
          <w:b/>
          <w:color w:val="2F5F86"/>
        </w:rPr>
        <w:t>Secondary CTA</w:t>
        <w:br/>
      </w:r>
      <w:r>
        <w:t>See all pricing options</w:t>
      </w:r>
    </w:p>
    <w:p>
      <w:pPr>
        <w:spacing w:after="120" w:line="252" w:lineRule="auto"/>
      </w:pPr>
      <w:r>
        <w:rPr>
          <w:b/>
          <w:color w:val="2F5F86"/>
        </w:rPr>
        <w:t>Secondary target</w:t>
        <w:br/>
      </w:r>
      <w:r>
        <w:t>/prices</w:t>
      </w:r>
    </w:p>
    <w:tbl>
      <w:tblPr>
        <w:tblStyle w:val="TableGrid"/>
        <w:tblW w:type="auto" w:w="0"/>
        <w:tblLook w:firstColumn="1" w:firstRow="1" w:lastColumn="0" w:lastRow="0" w:noHBand="0" w:noVBand="1" w:val="04A0"/>
      </w:tblPr>
      <w:tblGrid>
        <w:gridCol w:w="10166"/>
      </w:tblGrid>
      <w:tr>
        <w:tc>
          <w:tcPr>
            <w:tcW w:type="dxa" w:w="10166"/>
            <w:shd w:fill="F3F5F7"/>
            <w:tcMar>
              <w:top w:w="150" w:type="dxa"/>
              <w:start w:w="170" w:type="dxa"/>
              <w:bottom w:w="150" w:type="dxa"/>
              <w:end w:w="170" w:type="dxa"/>
            </w:tcMar>
          </w:tcPr>
          <w:p>
            <w:r>
              <w:rPr>
                <w:rFonts w:ascii="Aptos" w:hAnsi="Aptos"/>
                <w:b/>
                <w:color w:val="1F374E"/>
                <w:sz w:val="19"/>
              </w:rPr>
              <w:t>Pricing rules</w:t>
            </w:r>
          </w:p>
          <w:p>
            <w:pPr>
              <w:spacing w:after="40"/>
            </w:pPr>
            <w:r>
              <w:rPr>
                <w:rFonts w:ascii="Aptos" w:hAnsi="Aptos"/>
                <w:sz w:val="18"/>
              </w:rPr>
              <w:t>Do not reproduce the legacy full One-time / Monthly / 3-Months / Yearly pricing matrix on this page.</w:t>
            </w:r>
          </w:p>
          <w:p>
            <w:pPr>
              <w:spacing w:after="40"/>
            </w:pPr>
            <w:r>
              <w:rPr>
                <w:rFonts w:ascii="Aptos" w:hAnsi="Aptos"/>
                <w:sz w:val="18"/>
              </w:rPr>
              <w:t>Do not hardcode prices, quotas, plan entitlements, API access, Storage access or recurrence details here.</w:t>
            </w:r>
          </w:p>
          <w:p>
            <w:pPr>
              <w:spacing w:after="40"/>
            </w:pPr>
            <w:r>
              <w:rPr>
                <w:rFonts w:ascii="Aptos" w:hAnsi="Aptos"/>
                <w:sz w:val="18"/>
              </w:rPr>
              <w:t>Do not claim unlimited checking, no hidden fees, “best value,” or old 15,000/20,000-word free offers.</w:t>
            </w:r>
          </w:p>
          <w:p>
            <w:pPr>
              <w:spacing w:after="40"/>
            </w:pPr>
            <w:r>
              <w:rPr>
                <w:rFonts w:ascii="Aptos" w:hAnsi="Aptos"/>
                <w:sz w:val="18"/>
              </w:rPr>
              <w:t>If production free limits change before launch, the approved production source wins and the visible copy must be re-approved/QAd.</w:t>
            </w:r>
          </w:p>
        </w:tc>
      </w:tr>
    </w:tbl>
    <w:p>
      <w:pPr>
        <w:spacing w:after="120" w:line="252" w:lineRule="auto"/>
      </w:pPr>
    </w:p>
    <w:p>
      <w:pPr>
        <w:pStyle w:val="Heading2"/>
        <w:keepNext/>
        <w:spacing w:before="200" w:after="100"/>
      </w:pPr>
      <w:r>
        <w:t>I. PLAGIARISM CHECKER FOR STUDENTS FAQ</w:t>
      </w:r>
    </w:p>
    <w:p>
      <w:pPr>
        <w:spacing w:after="120" w:line="252" w:lineRule="auto"/>
      </w:pPr>
      <w:r>
        <w:rPr>
          <w:b/>
          <w:color w:val="1F374E"/>
        </w:rPr>
        <w:t>1. Can I check my essay or paper before submitting it?</w:t>
      </w:r>
    </w:p>
    <w:p>
      <w:pPr>
        <w:spacing w:after="120" w:line="252" w:lineRule="auto"/>
      </w:pPr>
      <w:r>
        <w:t>Yes. You can paste text or upload a supported document and run a plagiarism check before submission. The report shows matching or similar passages and their sources so you can review the result in context.</w:t>
      </w:r>
    </w:p>
    <w:p>
      <w:pPr>
        <w:spacing w:after="120" w:line="252" w:lineRule="auto"/>
      </w:pPr>
      <w:r>
        <w:rPr>
          <w:b/>
          <w:color w:val="1F374E"/>
        </w:rPr>
        <w:t>2. Does a similarity percentage mean I plagiarized?</w:t>
      </w:r>
    </w:p>
    <w:p>
      <w:pPr>
        <w:spacing w:after="120" w:line="252" w:lineRule="auto"/>
      </w:pPr>
      <w:r>
        <w:t>No. Similarity means that some text matches or closely resembles text found in the sources included in your check. A match may come from a quotation, reference, common phrasing, a close paraphrase, or material that needs closer review.</w:t>
      </w:r>
    </w:p>
    <w:p>
      <w:pPr>
        <w:spacing w:after="120" w:line="252" w:lineRule="auto"/>
      </w:pPr>
      <w:r>
        <w:rPr>
          <w:b/>
          <w:color w:val="1F374E"/>
        </w:rPr>
        <w:t>3. What is a safe similarity percentage for a student paper?</w:t>
      </w:r>
    </w:p>
    <w:p>
      <w:pPr>
        <w:spacing w:after="120" w:line="252" w:lineRule="auto"/>
      </w:pPr>
      <w:r>
        <w:t>There is no universal similarity percentage that proves a paper is plagiarism-free or automatically means that plagiarism occurred. Review the individual matches, their sources, and citation context, and follow any requirements set by your course or institution.</w:t>
      </w:r>
    </w:p>
    <w:p>
      <w:pPr>
        <w:spacing w:after="120" w:line="252" w:lineRule="auto"/>
      </w:pPr>
      <w:r>
        <w:rPr>
          <w:b/>
          <w:color w:val="1F374E"/>
        </w:rPr>
        <w:t>4. Can I exclude references and in-text citations?</w:t>
      </w:r>
    </w:p>
    <w:p>
      <w:pPr>
        <w:spacing w:after="120" w:line="252" w:lineRule="auto"/>
      </w:pPr>
      <w:r>
        <w:t>Yes. PlagiarismSearch includes settings to exclude references and in-text citations when appropriate. Because exclusions affect what is checked and reported, review your settings before interpreting the result.</w:t>
      </w:r>
    </w:p>
    <w:p>
      <w:pPr>
        <w:spacing w:after="120" w:line="252" w:lineRule="auto"/>
      </w:pPr>
      <w:r>
        <w:rPr>
          <w:b/>
          <w:color w:val="1F374E"/>
        </w:rPr>
        <w:t>5. What sources can my paper be checked against?</w:t>
      </w:r>
    </w:p>
    <w:p>
      <w:pPr>
        <w:spacing w:after="120" w:line="252" w:lineRule="auto"/>
      </w:pPr>
      <w:r>
        <w:t>Depending on your settings and access, a plagiarism check can include web sources, academic databases, personal storage, or organization storage. When academic database search is enabled, PlagiarismSearch can search over 500 million indexed academic texts.</w:t>
      </w:r>
    </w:p>
    <w:p>
      <w:pPr>
        <w:spacing w:after="120" w:line="252" w:lineRule="auto"/>
      </w:pPr>
      <w:r>
        <w:rPr>
          <w:b/>
          <w:color w:val="1F374E"/>
        </w:rPr>
        <w:t>6. Is my uploaded paper stored?</w:t>
      </w:r>
    </w:p>
    <w:p>
      <w:pPr>
        <w:spacing w:after="120" w:line="252" w:lineRule="auto"/>
      </w:pPr>
      <w:r>
        <w:t>The uploaded file is not retained as a stored source document after processing. A generated report may remain available in your account for convenience, and you can permanently delete it. Adding content to storage is a separate action you control.</w:t>
      </w:r>
    </w:p>
    <w:p>
      <w:pPr>
        <w:spacing w:after="120" w:line="252" w:lineRule="auto"/>
      </w:pPr>
      <w:r>
        <w:rPr>
          <w:b/>
          <w:color w:val="1F374E"/>
        </w:rPr>
        <w:t>7. Can I check for AI-written text too?</w:t>
      </w:r>
    </w:p>
    <w:p>
      <w:pPr>
        <w:spacing w:after="120" w:line="252" w:lineRule="auto"/>
      </w:pPr>
      <w:r>
        <w:t>Yes. AI writing analysis can be added as a separate check when the capability and AI-word balance are available. Plagiarism checking and AI detection answer different questions: an AI result does not by itself mean plagiarism or prove authorship.</w:t>
      </w:r>
    </w:p>
    <w:p>
      <w:pPr>
        <w:spacing w:after="120" w:line="252" w:lineRule="auto"/>
      </w:pPr>
      <w:r>
        <w:rPr>
          <w:b/>
          <w:color w:val="1F374E"/>
        </w:rPr>
        <w:t>8. How much can I check for free?</w:t>
      </w:r>
    </w:p>
    <w:p>
      <w:pPr>
        <w:spacing w:after="120" w:line="252" w:lineRule="auto"/>
      </w:pPr>
      <w:r>
        <w:t>You can check up to 150 words for plagiarism without registering. Registered users receive 300 plagiarism words per day.</w:t>
      </w:r>
    </w:p>
    <w:p>
      <w:pPr>
        <w:spacing w:after="120" w:line="252" w:lineRule="auto"/>
      </w:pPr>
      <w:r>
        <w:rPr>
          <w:b/>
          <w:color w:val="1F374E"/>
        </w:rPr>
        <w:t>9. Which file types can I upload?</w:t>
      </w:r>
    </w:p>
    <w:p>
      <w:pPr>
        <w:spacing w:after="120" w:line="252" w:lineRule="auto"/>
      </w:pPr>
      <w:r>
        <w:t>The checker accepts common document formats such as DOC/DOCX, PDF, TXT, PPT/PPTX, and XLS/XLSX, along with other supported formats. The current uploader shows the formats available at the time of your check.</w:t>
      </w:r>
    </w:p>
    <w:tbl>
      <w:tblPr>
        <w:tblStyle w:val="TableGrid"/>
        <w:tblW w:type="auto" w:w="0"/>
        <w:tblLook w:firstColumn="1" w:firstRow="1" w:lastColumn="0" w:lastRow="0" w:noHBand="0" w:noVBand="1" w:val="04A0"/>
      </w:tblPr>
      <w:tblGrid>
        <w:gridCol w:w="10166"/>
      </w:tblGrid>
      <w:tr>
        <w:tc>
          <w:tcPr>
            <w:tcW w:type="dxa" w:w="10166"/>
            <w:shd w:fill="F3F5F7"/>
            <w:tcMar>
              <w:top w:w="150" w:type="dxa"/>
              <w:start w:w="170" w:type="dxa"/>
              <w:bottom w:w="150" w:type="dxa"/>
              <w:end w:w="170" w:type="dxa"/>
            </w:tcMar>
          </w:tcPr>
          <w:p>
            <w:r>
              <w:rPr>
                <w:rFonts w:ascii="Aptos" w:hAnsi="Aptos"/>
                <w:b/>
                <w:color w:val="1F374E"/>
                <w:sz w:val="19"/>
              </w:rPr>
              <w:t>FAQ implementation rule</w:t>
            </w:r>
          </w:p>
          <w:p>
            <w:pPr>
              <w:spacing w:after="40"/>
            </w:pPr>
            <w:r>
              <w:rPr>
                <w:rFonts w:ascii="Aptos" w:hAnsi="Aptos"/>
                <w:sz w:val="18"/>
              </w:rPr>
              <w:t>Keep answers present in rendered HTML and accessible when collapsed.</w:t>
            </w:r>
          </w:p>
          <w:p>
            <w:pPr>
              <w:spacing w:after="40"/>
            </w:pPr>
            <w:r>
              <w:rPr>
                <w:rFonts w:ascii="Aptos" w:hAnsi="Aptos"/>
                <w:sz w:val="18"/>
              </w:rPr>
              <w:t>Do not add generic “what is plagiarism” filler or unsupported accuracy questions/answers.</w:t>
            </w:r>
          </w:p>
          <w:p>
            <w:pPr>
              <w:spacing w:after="40"/>
            </w:pPr>
            <w:r>
              <w:rPr>
                <w:rFonts w:ascii="Aptos" w:hAnsi="Aptos"/>
                <w:sz w:val="18"/>
              </w:rPr>
              <w:t>If FAQ structured data is implemented, it must exactly match this visible text.</w:t>
            </w:r>
          </w:p>
        </w:tc>
      </w:tr>
    </w:tbl>
    <w:p>
      <w:pPr>
        <w:spacing w:after="120" w:line="252" w:lineRule="auto"/>
      </w:pPr>
    </w:p>
    <w:p>
      <w:pPr>
        <w:pStyle w:val="Heading2"/>
        <w:keepNext/>
        <w:spacing w:before="200" w:after="100"/>
      </w:pPr>
      <w:r>
        <w:t>J. FINAL CTA</w:t>
      </w:r>
    </w:p>
    <w:p>
      <w:pPr>
        <w:spacing w:after="120" w:line="252" w:lineRule="auto"/>
      </w:pPr>
      <w:r>
        <w:rPr>
          <w:b/>
          <w:color w:val="2F5F86"/>
        </w:rPr>
        <w:t>H2</w:t>
        <w:br/>
      </w:r>
      <w:r>
        <w:t>Check your paper before you submit</w:t>
      </w:r>
    </w:p>
    <w:p>
      <w:pPr>
        <w:spacing w:after="120" w:line="252" w:lineRule="auto"/>
      </w:pPr>
      <w:r>
        <w:rPr>
          <w:b/>
          <w:color w:val="2F5F86"/>
        </w:rPr>
        <w:t>Supporting copy</w:t>
        <w:br/>
      </w:r>
      <w:r>
        <w:t>Paste your text or upload a document to review matching passages and sources in a clear report.</w:t>
      </w:r>
    </w:p>
    <w:p>
      <w:pPr>
        <w:spacing w:after="120" w:line="252" w:lineRule="auto"/>
      </w:pPr>
      <w:r>
        <w:rPr>
          <w:b/>
          <w:color w:val="2F5F86"/>
        </w:rPr>
        <w:t>Primary CTA</w:t>
        <w:br/>
      </w:r>
      <w:r>
        <w:t>Check for plagiarism</w:t>
      </w:r>
    </w:p>
    <w:p>
      <w:pPr>
        <w:spacing w:after="120" w:line="252" w:lineRule="auto"/>
      </w:pPr>
      <w:r>
        <w:rPr>
          <w:b/>
          <w:color w:val="2F5F86"/>
        </w:rPr>
        <w:t>Action</w:t>
        <w:br/>
      </w:r>
      <w:r>
        <w:t>Scroll/focus the real checker in the hero. Do not render a second checker widget.</w:t>
      </w:r>
    </w:p>
    <w:p>
      <w:pPr>
        <w:spacing w:after="120" w:line="252" w:lineRule="auto"/>
      </w:pPr>
      <w:r>
        <w:rPr>
          <w:b/>
          <w:color w:val="2F5F86"/>
        </w:rPr>
        <w:t>Microcopy</w:t>
        <w:br/>
      </w:r>
      <w:r>
        <w:t>150 words free - no registration required.</w:t>
      </w:r>
    </w:p>
    <w:p>
      <w:pPr>
        <w:pStyle w:val="Heading1"/>
        <w:keepNext/>
        <w:spacing w:before="200" w:after="100"/>
      </w:pPr>
      <w:r>
        <w:t>12. INTERNAL LINK MAP</w:t>
      </w:r>
    </w:p>
    <w:tbl>
      <w:tblPr>
        <w:tblStyle w:val="TableGrid"/>
        <w:tblW w:type="auto" w:w="0"/>
        <w:tblLayout w:type="autofit"/>
        <w:tblLook w:firstColumn="1" w:firstRow="1" w:lastColumn="0" w:lastRow="0" w:noHBand="0" w:noVBand="1" w:val="04A0"/>
      </w:tblPr>
      <w:tblGrid>
        <w:gridCol w:w="3389"/>
        <w:gridCol w:w="3389"/>
        <w:gridCol w:w="3389"/>
      </w:tblGrid>
      <w:tr>
        <w:tc>
          <w:tcPr>
            <w:tcW w:type="dxa" w:w="3168"/>
            <w:vAlign w:val="center"/>
            <w:tcMar>
              <w:top w:w="90" w:type="dxa"/>
              <w:start w:w="110" w:type="dxa"/>
              <w:bottom w:w="90" w:type="dxa"/>
              <w:end w:w="110" w:type="dxa"/>
            </w:tcMar>
            <w:shd w:fill="1F374E"/>
          </w:tcPr>
          <w:p>
            <w:pPr>
              <w:spacing w:after="0" w:before="0"/>
            </w:pPr>
            <w:r>
              <w:rPr>
                <w:rFonts w:ascii="Aptos" w:hAnsi="Aptos"/>
                <w:b/>
                <w:color w:val="FFFFFF"/>
                <w:sz w:val="17"/>
              </w:rPr>
              <w:t>Context / anchor</w:t>
            </w:r>
          </w:p>
        </w:tc>
        <w:tc>
          <w:tcPr>
            <w:tcW w:type="dxa" w:w="3168"/>
            <w:vAlign w:val="center"/>
            <w:tcMar>
              <w:top w:w="90" w:type="dxa"/>
              <w:start w:w="110" w:type="dxa"/>
              <w:bottom w:w="90" w:type="dxa"/>
              <w:end w:w="110" w:type="dxa"/>
            </w:tcMar>
            <w:shd w:fill="1F374E"/>
          </w:tcPr>
          <w:p>
            <w:pPr>
              <w:spacing w:after="0" w:before="0"/>
            </w:pPr>
            <w:r>
              <w:rPr>
                <w:rFonts w:ascii="Aptos" w:hAnsi="Aptos"/>
                <w:b/>
                <w:color w:val="FFFFFF"/>
                <w:sz w:val="17"/>
              </w:rPr>
              <w:t>Destination</w:t>
            </w:r>
          </w:p>
        </w:tc>
        <w:tc>
          <w:tcPr>
            <w:tcW w:type="dxa" w:w="4032"/>
            <w:vAlign w:val="center"/>
            <w:tcMar>
              <w:top w:w="90" w:type="dxa"/>
              <w:start w:w="110" w:type="dxa"/>
              <w:bottom w:w="90" w:type="dxa"/>
              <w:end w:w="110" w:type="dxa"/>
            </w:tcMar>
            <w:shd w:fill="1F374E"/>
          </w:tcPr>
          <w:p>
            <w:pPr>
              <w:spacing w:after="0" w:before="0"/>
            </w:pPr>
            <w:r>
              <w:rPr>
                <w:rFonts w:ascii="Aptos" w:hAnsi="Aptos"/>
                <w:b/>
                <w:color w:val="FFFFFF"/>
                <w:sz w:val="17"/>
              </w:rPr>
              <w:t>Rule</w:t>
            </w:r>
          </w:p>
        </w:tc>
      </w:tr>
      <w:tr>
        <w:tc>
          <w:tcPr>
            <w:tcW w:type="dxa" w:w="3168"/>
            <w:vAlign w:val="center"/>
            <w:tcMar>
              <w:top w:w="90" w:type="dxa"/>
              <w:start w:w="110" w:type="dxa"/>
              <w:bottom w:w="90" w:type="dxa"/>
              <w:end w:w="110" w:type="dxa"/>
            </w:tcMar>
          </w:tcPr>
          <w:p>
            <w:pPr>
              <w:spacing w:after="0" w:before="0"/>
            </w:pPr>
            <w:r>
              <w:rPr>
                <w:rFonts w:ascii="Aptos" w:hAnsi="Aptos"/>
                <w:sz w:val="17"/>
              </w:rPr>
              <w:t>Explore AI Detector</w:t>
            </w:r>
          </w:p>
        </w:tc>
        <w:tc>
          <w:tcPr>
            <w:tcW w:type="dxa" w:w="3168"/>
            <w:vAlign w:val="center"/>
            <w:tcMar>
              <w:top w:w="90" w:type="dxa"/>
              <w:start w:w="110" w:type="dxa"/>
              <w:bottom w:w="90" w:type="dxa"/>
              <w:end w:w="110" w:type="dxa"/>
            </w:tcMar>
          </w:tcPr>
          <w:p>
            <w:pPr>
              <w:spacing w:after="0" w:before="0"/>
            </w:pPr>
            <w:r>
              <w:rPr>
                <w:rFonts w:ascii="Aptos" w:hAnsi="Aptos"/>
                <w:sz w:val="17"/>
              </w:rPr>
              <w:t>/ai-content-detector</w:t>
            </w:r>
          </w:p>
        </w:tc>
        <w:tc>
          <w:tcPr>
            <w:tcW w:type="dxa" w:w="4032"/>
            <w:vAlign w:val="center"/>
            <w:tcMar>
              <w:top w:w="90" w:type="dxa"/>
              <w:start w:w="110" w:type="dxa"/>
              <w:bottom w:w="90" w:type="dxa"/>
              <w:end w:w="110" w:type="dxa"/>
            </w:tcMar>
          </w:tcPr>
          <w:p>
            <w:pPr>
              <w:spacing w:after="0" w:before="0"/>
            </w:pPr>
            <w:r>
              <w:rPr>
                <w:rFonts w:ascii="Aptos" w:hAnsi="Aptos"/>
                <w:sz w:val="17"/>
              </w:rPr>
              <w:t>Optional; maximum one meaningful body link to the AI product unless a later approved change requires more.</w:t>
            </w:r>
          </w:p>
        </w:tc>
      </w:tr>
      <w:tr>
        <w:tc>
          <w:tcPr>
            <w:tcW w:type="dxa" w:w="3168"/>
            <w:vAlign w:val="center"/>
            <w:tcMar>
              <w:top w:w="90" w:type="dxa"/>
              <w:start w:w="110" w:type="dxa"/>
              <w:bottom w:w="90" w:type="dxa"/>
              <w:end w:w="110" w:type="dxa"/>
            </w:tcMar>
          </w:tcPr>
          <w:p>
            <w:pPr>
              <w:spacing w:after="0" w:before="0"/>
            </w:pPr>
            <w:r>
              <w:rPr>
                <w:rFonts w:ascii="Aptos" w:hAnsi="Aptos"/>
                <w:sz w:val="17"/>
              </w:rPr>
              <w:t>See all pricing options</w:t>
            </w:r>
          </w:p>
        </w:tc>
        <w:tc>
          <w:tcPr>
            <w:tcW w:type="dxa" w:w="3168"/>
            <w:vAlign w:val="center"/>
            <w:tcMar>
              <w:top w:w="90" w:type="dxa"/>
              <w:start w:w="110" w:type="dxa"/>
              <w:bottom w:w="90" w:type="dxa"/>
              <w:end w:w="110" w:type="dxa"/>
            </w:tcMar>
          </w:tcPr>
          <w:p>
            <w:pPr>
              <w:spacing w:after="0" w:before="0"/>
            </w:pPr>
            <w:r>
              <w:rPr>
                <w:rFonts w:ascii="Aptos" w:hAnsi="Aptos"/>
                <w:sz w:val="17"/>
              </w:rPr>
              <w:t>/prices</w:t>
            </w:r>
          </w:p>
        </w:tc>
        <w:tc>
          <w:tcPr>
            <w:tcW w:type="dxa" w:w="4032"/>
            <w:vAlign w:val="center"/>
            <w:tcMar>
              <w:top w:w="90" w:type="dxa"/>
              <w:start w:w="110" w:type="dxa"/>
              <w:bottom w:w="90" w:type="dxa"/>
              <w:end w:w="110" w:type="dxa"/>
            </w:tcMar>
          </w:tcPr>
          <w:p>
            <w:pPr>
              <w:spacing w:after="0" w:before="0"/>
            </w:pPr>
            <w:r>
              <w:rPr>
                <w:rFonts w:ascii="Aptos" w:hAnsi="Aptos"/>
                <w:sz w:val="17"/>
              </w:rPr>
              <w:t>Approved pricing owner.</w:t>
            </w:r>
          </w:p>
        </w:tc>
      </w:tr>
      <w:tr>
        <w:tc>
          <w:tcPr>
            <w:tcW w:type="dxa" w:w="3168"/>
            <w:vAlign w:val="center"/>
            <w:tcMar>
              <w:top w:w="90" w:type="dxa"/>
              <w:start w:w="110" w:type="dxa"/>
              <w:bottom w:w="90" w:type="dxa"/>
              <w:end w:w="110" w:type="dxa"/>
            </w:tcMar>
          </w:tcPr>
          <w:p>
            <w:pPr>
              <w:spacing w:after="0" w:before="0"/>
            </w:pPr>
            <w:r>
              <w:rPr>
                <w:rFonts w:ascii="Aptos" w:hAnsi="Aptos"/>
                <w:sz w:val="17"/>
              </w:rPr>
              <w:t>Read our Privacy Policy</w:t>
            </w:r>
          </w:p>
        </w:tc>
        <w:tc>
          <w:tcPr>
            <w:tcW w:type="dxa" w:w="3168"/>
            <w:vAlign w:val="center"/>
            <w:tcMar>
              <w:top w:w="90" w:type="dxa"/>
              <w:start w:w="110" w:type="dxa"/>
              <w:bottom w:w="90" w:type="dxa"/>
              <w:end w:w="110" w:type="dxa"/>
            </w:tcMar>
          </w:tcPr>
          <w:p>
            <w:pPr>
              <w:spacing w:after="0" w:before="0"/>
            </w:pPr>
            <w:r>
              <w:rPr>
                <w:rFonts w:ascii="Aptos" w:hAnsi="Aptos"/>
                <w:sz w:val="17"/>
              </w:rPr>
              <w:t>/policy</w:t>
            </w:r>
          </w:p>
        </w:tc>
        <w:tc>
          <w:tcPr>
            <w:tcW w:type="dxa" w:w="4032"/>
            <w:vAlign w:val="center"/>
            <w:tcMar>
              <w:top w:w="90" w:type="dxa"/>
              <w:start w:w="110" w:type="dxa"/>
              <w:bottom w:w="90" w:type="dxa"/>
              <w:end w:w="110" w:type="dxa"/>
            </w:tcMar>
          </w:tcPr>
          <w:p>
            <w:pPr>
              <w:spacing w:after="0" w:before="0"/>
            </w:pPr>
            <w:r>
              <w:rPr>
                <w:rFonts w:ascii="Aptos" w:hAnsi="Aptos"/>
                <w:sz w:val="17"/>
              </w:rPr>
              <w:t>Approved legal/data-handling destination.</w:t>
            </w:r>
          </w:p>
        </w:tc>
      </w:tr>
      <w:tr>
        <w:tc>
          <w:tcPr>
            <w:tcW w:type="dxa" w:w="3168"/>
            <w:vAlign w:val="center"/>
            <w:tcMar>
              <w:top w:w="90" w:type="dxa"/>
              <w:start w:w="110" w:type="dxa"/>
              <w:bottom w:w="90" w:type="dxa"/>
              <w:end w:w="110" w:type="dxa"/>
            </w:tcMar>
          </w:tcPr>
          <w:p>
            <w:pPr>
              <w:spacing w:after="0" w:before="0"/>
            </w:pPr>
            <w:r>
              <w:rPr>
                <w:rFonts w:ascii="Aptos" w:hAnsi="Aptos"/>
                <w:sz w:val="17"/>
              </w:rPr>
              <w:t>For universities and institutions</w:t>
            </w:r>
          </w:p>
        </w:tc>
        <w:tc>
          <w:tcPr>
            <w:tcW w:type="dxa" w:w="3168"/>
            <w:vAlign w:val="center"/>
            <w:tcMar>
              <w:top w:w="90" w:type="dxa"/>
              <w:start w:w="110" w:type="dxa"/>
              <w:bottom w:w="90" w:type="dxa"/>
              <w:end w:w="110" w:type="dxa"/>
            </w:tcMar>
          </w:tcPr>
          <w:p>
            <w:pPr>
              <w:spacing w:after="0" w:before="0"/>
            </w:pPr>
            <w:r>
              <w:rPr>
                <w:rFonts w:ascii="Aptos" w:hAnsi="Aptos"/>
                <w:sz w:val="17"/>
              </w:rPr>
              <w:t>/university-plagiarism-checker</w:t>
            </w:r>
          </w:p>
        </w:tc>
        <w:tc>
          <w:tcPr>
            <w:tcW w:type="dxa" w:w="4032"/>
            <w:vAlign w:val="center"/>
            <w:tcMar>
              <w:top w:w="90" w:type="dxa"/>
              <w:start w:w="110" w:type="dxa"/>
              <w:bottom w:w="90" w:type="dxa"/>
              <w:end w:w="110" w:type="dxa"/>
            </w:tcMar>
          </w:tcPr>
          <w:p>
            <w:pPr>
              <w:spacing w:after="0" w:before="0"/>
            </w:pPr>
            <w:r>
              <w:rPr>
                <w:rFonts w:ascii="Aptos" w:hAnsi="Aptos"/>
                <w:sz w:val="17"/>
              </w:rPr>
              <w:t>Optional secondary handoff only if the composition naturally needs it; not mandatory.</w:t>
            </w:r>
          </w:p>
        </w:tc>
      </w:tr>
    </w:tbl>
    <w:p>
      <w:pPr>
        <w:spacing w:after="120" w:line="252" w:lineRule="auto"/>
      </w:pPr>
    </w:p>
    <w:tbl>
      <w:tblPr>
        <w:tblStyle w:val="TableGrid"/>
        <w:tblW w:type="auto" w:w="0"/>
        <w:tblLook w:firstColumn="1" w:firstRow="1" w:lastColumn="0" w:lastRow="0" w:noHBand="0" w:noVBand="1" w:val="04A0"/>
      </w:tblPr>
      <w:tblGrid>
        <w:gridCol w:w="10166"/>
      </w:tblGrid>
      <w:tr>
        <w:tc>
          <w:tcPr>
            <w:tcW w:type="dxa" w:w="10166"/>
            <w:shd w:fill="F3F5F7"/>
            <w:tcMar>
              <w:top w:w="150" w:type="dxa"/>
              <w:start w:w="170" w:type="dxa"/>
              <w:bottom w:w="150" w:type="dxa"/>
              <w:end w:w="170" w:type="dxa"/>
            </w:tcMar>
          </w:tcPr>
          <w:p>
            <w:r>
              <w:rPr>
                <w:rFonts w:ascii="Aptos" w:hAnsi="Aptos"/>
                <w:b/>
                <w:color w:val="1F374E"/>
                <w:sz w:val="19"/>
              </w:rPr>
              <w:t>Do not add body links to</w:t>
            </w:r>
          </w:p>
          <w:p>
            <w:pPr>
              <w:spacing w:after="40"/>
            </w:pPr>
            <w:r>
              <w:rPr>
                <w:rFonts w:ascii="Aptos" w:hAnsi="Aptos"/>
                <w:sz w:val="18"/>
              </w:rPr>
              <w:t>Turnitin Alternative, PDF Checker, PowerPoint Checker or other specialist checker pages merely for SEO.</w:t>
            </w:r>
          </w:p>
          <w:p>
            <w:pPr>
              <w:spacing w:after="40"/>
            </w:pPr>
            <w:r>
              <w:rPr>
                <w:rFonts w:ascii="Aptos" w:hAnsi="Aptos"/>
                <w:sz w:val="18"/>
              </w:rPr>
              <w:t>Removed Publishers/Journals/Manuscript/Writers landing routes.</w:t>
            </w:r>
          </w:p>
          <w:p>
            <w:pPr>
              <w:spacing w:after="40"/>
            </w:pPr>
            <w:r>
              <w:rPr>
                <w:rFonts w:ascii="Aptos" w:hAnsi="Aptos"/>
                <w:sz w:val="18"/>
              </w:rPr>
              <w:t>Teacher page by default; student page should not become an audience directory.</w:t>
            </w:r>
          </w:p>
          <w:p>
            <w:pPr>
              <w:spacing w:after="40"/>
            </w:pPr>
            <w:r>
              <w:rPr>
                <w:rFonts w:ascii="Aptos" w:hAnsi="Aptos"/>
                <w:sz w:val="18"/>
              </w:rPr>
              <w:t>Any invented resource or “student tools” URL.</w:t>
            </w:r>
          </w:p>
        </w:tc>
      </w:tr>
    </w:tbl>
    <w:p>
      <w:pPr>
        <w:spacing w:after="120" w:line="252" w:lineRule="auto"/>
      </w:pPr>
    </w:p>
    <w:p>
      <w:pPr>
        <w:pStyle w:val="Heading1"/>
        <w:keepNext/>
        <w:spacing w:before="200" w:after="100"/>
      </w:pPr>
      <w:r>
        <w:t>13. INTERACTION / PRODUCT REQUIREMENTS</w:t>
      </w:r>
    </w:p>
    <w:p>
      <w:pPr>
        <w:pStyle w:val="ListBullet"/>
      </w:pPr>
      <w:r>
        <w:t>The hero checker must be the real production checker or the same production component/binding used by the approved homepage, not a visual mock.</w:t>
      </w:r>
    </w:p>
    <w:p>
      <w:pPr>
        <w:pStyle w:val="ListBullet"/>
      </w:pPr>
      <w:r>
        <w:t>Do not hardcode fake scan status, fake source counts, fake similarity results, fake scores or invented report fields into the live checker.</w:t>
      </w:r>
    </w:p>
    <w:p>
      <w:pPr>
        <w:pStyle w:val="ListBullet"/>
      </w:pPr>
      <w:r>
        <w:t>The report demonstration may use one truthful precomputed state. Its interaction should map highlighted passage -&gt; associated source/context when supported by the approved report behavior.</w:t>
      </w:r>
    </w:p>
    <w:p>
      <w:pPr>
        <w:pStyle w:val="ListBullet"/>
      </w:pPr>
      <w:r>
        <w:t>Hero final CTA and final page CTA should focus/scroll the single real checker instance; do not create a second form lower on the page.</w:t>
      </w:r>
    </w:p>
    <w:p>
      <w:pPr>
        <w:pStyle w:val="ListBullet"/>
      </w:pPr>
      <w:r>
        <w:t>FAQ accordion must be keyboard accessible and retain answer text in rendered HTML.</w:t>
      </w:r>
    </w:p>
    <w:p>
      <w:pPr>
        <w:pStyle w:val="ListBullet"/>
      </w:pPr>
      <w:r>
        <w:t>External/secondary links must not interrupt checker state unnecessarily; production may decide same-tab/new-tab behavior according to site standards.</w:t>
      </w:r>
    </w:p>
    <w:p>
      <w:pPr>
        <w:pStyle w:val="Heading1"/>
        <w:keepNext/>
        <w:spacing w:before="200" w:after="100"/>
      </w:pPr>
      <w:r>
        <w:t>14. CLAIM / FEATURE GUARDRAIL</w:t>
      </w:r>
    </w:p>
    <w:tbl>
      <w:tblPr>
        <w:tblStyle w:val="TableGrid"/>
        <w:tblW w:type="auto" w:w="0"/>
        <w:tblLayout w:type="autofit"/>
        <w:tblLook w:firstColumn="1" w:firstRow="1" w:lastColumn="0" w:lastRow="0" w:noHBand="0" w:noVBand="1" w:val="04A0"/>
      </w:tblPr>
      <w:tblGrid>
        <w:gridCol w:w="5083"/>
        <w:gridCol w:w="5083"/>
      </w:tblGrid>
      <w:tr>
        <w:tc>
          <w:tcPr>
            <w:tcW w:type="dxa" w:w="6912"/>
            <w:vAlign w:val="center"/>
            <w:tcMar>
              <w:top w:w="90" w:type="dxa"/>
              <w:start w:w="110" w:type="dxa"/>
              <w:bottom w:w="90" w:type="dxa"/>
              <w:end w:w="110" w:type="dxa"/>
            </w:tcMar>
            <w:shd w:fill="1F374E"/>
          </w:tcPr>
          <w:p>
            <w:pPr>
              <w:spacing w:after="0" w:before="0"/>
            </w:pPr>
            <w:r>
              <w:rPr>
                <w:rFonts w:ascii="Aptos" w:hAnsi="Aptos"/>
                <w:b/>
                <w:color w:val="FFFFFF"/>
                <w:sz w:val="16"/>
              </w:rPr>
              <w:t>Claim / feature</w:t>
            </w:r>
          </w:p>
        </w:tc>
        <w:tc>
          <w:tcPr>
            <w:tcW w:type="dxa" w:w="3168"/>
            <w:vAlign w:val="center"/>
            <w:tcMar>
              <w:top w:w="90" w:type="dxa"/>
              <w:start w:w="110" w:type="dxa"/>
              <w:bottom w:w="90" w:type="dxa"/>
              <w:end w:w="110" w:type="dxa"/>
            </w:tcMar>
            <w:shd w:fill="1F374E"/>
          </w:tcPr>
          <w:p>
            <w:pPr>
              <w:spacing w:after="0" w:before="0"/>
            </w:pPr>
            <w:r>
              <w:rPr>
                <w:rFonts w:ascii="Aptos" w:hAnsi="Aptos"/>
                <w:b/>
                <w:color w:val="FFFFFF"/>
                <w:sz w:val="16"/>
              </w:rPr>
              <w:t>Status</w:t>
            </w:r>
          </w:p>
        </w:tc>
      </w:tr>
      <w:tr>
        <w:tc>
          <w:tcPr>
            <w:tcW w:type="dxa" w:w="6912"/>
            <w:vAlign w:val="center"/>
            <w:tcMar>
              <w:top w:w="90" w:type="dxa"/>
              <w:start w:w="110" w:type="dxa"/>
              <w:bottom w:w="90" w:type="dxa"/>
              <w:end w:w="110" w:type="dxa"/>
            </w:tcMar>
          </w:tcPr>
          <w:p>
            <w:pPr>
              <w:spacing w:after="0" w:before="0"/>
            </w:pPr>
            <w:r>
              <w:rPr>
                <w:rFonts w:ascii="Aptos" w:hAnsi="Aptos"/>
                <w:sz w:val="16"/>
              </w:rPr>
              <w:t>100% authentic / guarantee originality / plagiarism-free guarantee</w:t>
            </w:r>
          </w:p>
        </w:tc>
        <w:tc>
          <w:tcPr>
            <w:tcW w:type="dxa" w:w="3168"/>
            <w:vAlign w:val="center"/>
            <w:tcMar>
              <w:top w:w="90" w:type="dxa"/>
              <w:start w:w="110" w:type="dxa"/>
              <w:bottom w:w="90" w:type="dxa"/>
              <w:end w:w="110" w:type="dxa"/>
            </w:tcMar>
          </w:tcPr>
          <w:p>
            <w:pPr>
              <w:spacing w:after="0" w:before="0"/>
            </w:pPr>
            <w:r>
              <w:rPr>
                <w:rFonts w:ascii="Aptos" w:hAnsi="Aptos"/>
                <w:sz w:val="16"/>
              </w:rPr>
              <w:t>FORBIDDEN</w:t>
            </w:r>
          </w:p>
        </w:tc>
      </w:tr>
      <w:tr>
        <w:tc>
          <w:tcPr>
            <w:tcW w:type="dxa" w:w="6912"/>
            <w:vAlign w:val="center"/>
            <w:tcMar>
              <w:top w:w="90" w:type="dxa"/>
              <w:start w:w="110" w:type="dxa"/>
              <w:bottom w:w="90" w:type="dxa"/>
              <w:end w:w="110" w:type="dxa"/>
            </w:tcMar>
          </w:tcPr>
          <w:p>
            <w:pPr>
              <w:spacing w:after="0" w:before="0"/>
            </w:pPr>
            <w:r>
              <w:rPr>
                <w:rFonts w:ascii="Aptos" w:hAnsi="Aptos"/>
                <w:sz w:val="16"/>
              </w:rPr>
              <w:t>“Safe” similarity percentage or universal pass/fail threshold</w:t>
            </w:r>
          </w:p>
        </w:tc>
        <w:tc>
          <w:tcPr>
            <w:tcW w:type="dxa" w:w="3168"/>
            <w:vAlign w:val="center"/>
            <w:tcMar>
              <w:top w:w="90" w:type="dxa"/>
              <w:start w:w="110" w:type="dxa"/>
              <w:bottom w:w="90" w:type="dxa"/>
              <w:end w:w="110" w:type="dxa"/>
            </w:tcMar>
          </w:tcPr>
          <w:p>
            <w:pPr>
              <w:spacing w:after="0" w:before="0"/>
            </w:pPr>
            <w:r>
              <w:rPr>
                <w:rFonts w:ascii="Aptos" w:hAnsi="Aptos"/>
                <w:sz w:val="16"/>
              </w:rPr>
              <w:t>FORBIDDEN</w:t>
            </w:r>
          </w:p>
        </w:tc>
      </w:tr>
      <w:tr>
        <w:tc>
          <w:tcPr>
            <w:tcW w:type="dxa" w:w="6912"/>
            <w:vAlign w:val="center"/>
            <w:tcMar>
              <w:top w:w="90" w:type="dxa"/>
              <w:start w:w="110" w:type="dxa"/>
              <w:bottom w:w="90" w:type="dxa"/>
              <w:end w:w="110" w:type="dxa"/>
            </w:tcMar>
          </w:tcPr>
          <w:p>
            <w:pPr>
              <w:spacing w:after="0" w:before="0"/>
            </w:pPr>
            <w:r>
              <w:rPr>
                <w:rFonts w:ascii="Aptos" w:hAnsi="Aptos"/>
                <w:sz w:val="16"/>
              </w:rPr>
              <w:t>Plagiarism score equals plagiarism verdict</w:t>
            </w:r>
          </w:p>
        </w:tc>
        <w:tc>
          <w:tcPr>
            <w:tcW w:type="dxa" w:w="3168"/>
            <w:vAlign w:val="center"/>
            <w:tcMar>
              <w:top w:w="90" w:type="dxa"/>
              <w:start w:w="110" w:type="dxa"/>
              <w:bottom w:w="90" w:type="dxa"/>
              <w:end w:w="110" w:type="dxa"/>
            </w:tcMar>
          </w:tcPr>
          <w:p>
            <w:pPr>
              <w:spacing w:after="0" w:before="0"/>
            </w:pPr>
            <w:r>
              <w:rPr>
                <w:rFonts w:ascii="Aptos" w:hAnsi="Aptos"/>
                <w:sz w:val="16"/>
              </w:rPr>
              <w:t>FALSE</w:t>
            </w:r>
          </w:p>
        </w:tc>
      </w:tr>
      <w:tr>
        <w:tc>
          <w:tcPr>
            <w:tcW w:type="dxa" w:w="6912"/>
            <w:vAlign w:val="center"/>
            <w:tcMar>
              <w:top w:w="90" w:type="dxa"/>
              <w:start w:w="110" w:type="dxa"/>
              <w:bottom w:w="90" w:type="dxa"/>
              <w:end w:w="110" w:type="dxa"/>
            </w:tcMar>
          </w:tcPr>
          <w:p>
            <w:pPr>
              <w:spacing w:after="0" w:before="0"/>
            </w:pPr>
            <w:r>
              <w:rPr>
                <w:rFonts w:ascii="Aptos" w:hAnsi="Aptos"/>
                <w:sz w:val="16"/>
              </w:rPr>
              <w:t>Similarity proves misconduct</w:t>
            </w:r>
          </w:p>
        </w:tc>
        <w:tc>
          <w:tcPr>
            <w:tcW w:type="dxa" w:w="3168"/>
            <w:vAlign w:val="center"/>
            <w:tcMar>
              <w:top w:w="90" w:type="dxa"/>
              <w:start w:w="110" w:type="dxa"/>
              <w:bottom w:w="90" w:type="dxa"/>
              <w:end w:w="110" w:type="dxa"/>
            </w:tcMar>
          </w:tcPr>
          <w:p>
            <w:pPr>
              <w:spacing w:after="0" w:before="0"/>
            </w:pPr>
            <w:r>
              <w:rPr>
                <w:rFonts w:ascii="Aptos" w:hAnsi="Aptos"/>
                <w:sz w:val="16"/>
              </w:rPr>
              <w:t>FALSE</w:t>
            </w:r>
          </w:p>
        </w:tc>
      </w:tr>
      <w:tr>
        <w:tc>
          <w:tcPr>
            <w:tcW w:type="dxa" w:w="6912"/>
            <w:vAlign w:val="center"/>
            <w:tcMar>
              <w:top w:w="90" w:type="dxa"/>
              <w:start w:w="110" w:type="dxa"/>
              <w:bottom w:w="90" w:type="dxa"/>
              <w:end w:w="110" w:type="dxa"/>
            </w:tcMar>
          </w:tcPr>
          <w:p>
            <w:pPr>
              <w:spacing w:after="0" w:before="0"/>
            </w:pPr>
            <w:r>
              <w:rPr>
                <w:rFonts w:ascii="Aptos" w:hAnsi="Aptos"/>
                <w:sz w:val="16"/>
              </w:rPr>
              <w:t>Automatic citation fixes / suggested citation corrections</w:t>
            </w:r>
          </w:p>
        </w:tc>
        <w:tc>
          <w:tcPr>
            <w:tcW w:type="dxa" w:w="3168"/>
            <w:vAlign w:val="center"/>
            <w:tcMar>
              <w:top w:w="90" w:type="dxa"/>
              <w:start w:w="110" w:type="dxa"/>
              <w:bottom w:w="90" w:type="dxa"/>
              <w:end w:w="110" w:type="dxa"/>
            </w:tcMar>
          </w:tcPr>
          <w:p>
            <w:pPr>
              <w:spacing w:after="0" w:before="0"/>
            </w:pPr>
            <w:r>
              <w:rPr>
                <w:rFonts w:ascii="Aptos" w:hAnsi="Aptos"/>
                <w:sz w:val="16"/>
              </w:rPr>
              <w:t>FORBIDDEN - not confirmed product behavior</w:t>
            </w:r>
          </w:p>
        </w:tc>
      </w:tr>
      <w:tr>
        <w:tc>
          <w:tcPr>
            <w:tcW w:type="dxa" w:w="6912"/>
            <w:vAlign w:val="center"/>
            <w:tcMar>
              <w:top w:w="90" w:type="dxa"/>
              <w:start w:w="110" w:type="dxa"/>
              <w:bottom w:w="90" w:type="dxa"/>
              <w:end w:w="110" w:type="dxa"/>
            </w:tcMar>
          </w:tcPr>
          <w:p>
            <w:pPr>
              <w:spacing w:after="0" w:before="0"/>
            </w:pPr>
            <w:r>
              <w:rPr>
                <w:rFonts w:ascii="Aptos" w:hAnsi="Aptos"/>
                <w:sz w:val="16"/>
              </w:rPr>
              <w:t>Automatic rewriting / paraphrasing / “make original”</w:t>
            </w:r>
          </w:p>
        </w:tc>
        <w:tc>
          <w:tcPr>
            <w:tcW w:type="dxa" w:w="3168"/>
            <w:vAlign w:val="center"/>
            <w:tcMar>
              <w:top w:w="90" w:type="dxa"/>
              <w:start w:w="110" w:type="dxa"/>
              <w:bottom w:w="90" w:type="dxa"/>
              <w:end w:w="110" w:type="dxa"/>
            </w:tcMar>
          </w:tcPr>
          <w:p>
            <w:pPr>
              <w:spacing w:after="0" w:before="0"/>
            </w:pPr>
            <w:r>
              <w:rPr>
                <w:rFonts w:ascii="Aptos" w:hAnsi="Aptos"/>
                <w:sz w:val="16"/>
              </w:rPr>
              <w:t>FORBIDDEN unless separately confirmed</w:t>
            </w:r>
          </w:p>
        </w:tc>
      </w:tr>
      <w:tr>
        <w:tc>
          <w:tcPr>
            <w:tcW w:type="dxa" w:w="6912"/>
            <w:vAlign w:val="center"/>
            <w:tcMar>
              <w:top w:w="90" w:type="dxa"/>
              <w:start w:w="110" w:type="dxa"/>
              <w:bottom w:w="90" w:type="dxa"/>
              <w:end w:w="110" w:type="dxa"/>
            </w:tcMar>
          </w:tcPr>
          <w:p>
            <w:pPr>
              <w:spacing w:after="0" w:before="0"/>
            </w:pPr>
            <w:r>
              <w:rPr>
                <w:rFonts w:ascii="Aptos" w:hAnsi="Aptos"/>
                <w:sz w:val="16"/>
              </w:rPr>
              <w:t>Billions of sources / checks every source / finds all plagiarism</w:t>
            </w:r>
          </w:p>
        </w:tc>
        <w:tc>
          <w:tcPr>
            <w:tcW w:type="dxa" w:w="3168"/>
            <w:vAlign w:val="center"/>
            <w:tcMar>
              <w:top w:w="90" w:type="dxa"/>
              <w:start w:w="110" w:type="dxa"/>
              <w:bottom w:w="90" w:type="dxa"/>
              <w:end w:w="110" w:type="dxa"/>
            </w:tcMar>
          </w:tcPr>
          <w:p>
            <w:pPr>
              <w:spacing w:after="0" w:before="0"/>
            </w:pPr>
            <w:r>
              <w:rPr>
                <w:rFonts w:ascii="Aptos" w:hAnsi="Aptos"/>
                <w:sz w:val="16"/>
              </w:rPr>
              <w:t>FORBIDDEN</w:t>
            </w:r>
          </w:p>
        </w:tc>
      </w:tr>
      <w:tr>
        <w:tc>
          <w:tcPr>
            <w:tcW w:type="dxa" w:w="6912"/>
            <w:vAlign w:val="center"/>
            <w:tcMar>
              <w:top w:w="90" w:type="dxa"/>
              <w:start w:w="110" w:type="dxa"/>
              <w:bottom w:w="90" w:type="dxa"/>
              <w:end w:w="110" w:type="dxa"/>
            </w:tcMar>
          </w:tcPr>
          <w:p>
            <w:pPr>
              <w:spacing w:after="0" w:before="0"/>
            </w:pPr>
            <w:r>
              <w:rPr>
                <w:rFonts w:ascii="Aptos" w:hAnsi="Aptos"/>
                <w:sz w:val="16"/>
              </w:rPr>
              <w:t>Most accurate / best / top / perfectly reliable</w:t>
            </w:r>
          </w:p>
        </w:tc>
        <w:tc>
          <w:tcPr>
            <w:tcW w:type="dxa" w:w="3168"/>
            <w:vAlign w:val="center"/>
            <w:tcMar>
              <w:top w:w="90" w:type="dxa"/>
              <w:start w:w="110" w:type="dxa"/>
              <w:bottom w:w="90" w:type="dxa"/>
              <w:end w:w="110" w:type="dxa"/>
            </w:tcMar>
          </w:tcPr>
          <w:p>
            <w:pPr>
              <w:spacing w:after="0" w:before="0"/>
            </w:pPr>
            <w:r>
              <w:rPr>
                <w:rFonts w:ascii="Aptos" w:hAnsi="Aptos"/>
                <w:sz w:val="16"/>
              </w:rPr>
              <w:t>FORBIDDEN unsupported superiority</w:t>
            </w:r>
          </w:p>
        </w:tc>
      </w:tr>
      <w:tr>
        <w:tc>
          <w:tcPr>
            <w:tcW w:type="dxa" w:w="6912"/>
            <w:vAlign w:val="center"/>
            <w:tcMar>
              <w:top w:w="90" w:type="dxa"/>
              <w:start w:w="110" w:type="dxa"/>
              <w:bottom w:w="90" w:type="dxa"/>
              <w:end w:w="110" w:type="dxa"/>
            </w:tcMar>
          </w:tcPr>
          <w:p>
            <w:pPr>
              <w:spacing w:after="0" w:before="0"/>
            </w:pPr>
            <w:r>
              <w:rPr>
                <w:rFonts w:ascii="Aptos" w:hAnsi="Aptos"/>
                <w:sz w:val="16"/>
              </w:rPr>
              <w:t>Instant / real-time results / report in X minutes</w:t>
            </w:r>
          </w:p>
        </w:tc>
        <w:tc>
          <w:tcPr>
            <w:tcW w:type="dxa" w:w="3168"/>
            <w:vAlign w:val="center"/>
            <w:tcMar>
              <w:top w:w="90" w:type="dxa"/>
              <w:start w:w="110" w:type="dxa"/>
              <w:bottom w:w="90" w:type="dxa"/>
              <w:end w:w="110" w:type="dxa"/>
            </w:tcMar>
          </w:tcPr>
          <w:p>
            <w:pPr>
              <w:spacing w:after="0" w:before="0"/>
            </w:pPr>
            <w:r>
              <w:rPr>
                <w:rFonts w:ascii="Aptos" w:hAnsi="Aptos"/>
                <w:sz w:val="16"/>
              </w:rPr>
              <w:t>DO NOT CLAIM without approved SLA</w:t>
            </w:r>
          </w:p>
        </w:tc>
      </w:tr>
      <w:tr>
        <w:tc>
          <w:tcPr>
            <w:tcW w:type="dxa" w:w="6912"/>
            <w:vAlign w:val="center"/>
            <w:tcMar>
              <w:top w:w="90" w:type="dxa"/>
              <w:start w:w="110" w:type="dxa"/>
              <w:bottom w:w="90" w:type="dxa"/>
              <w:end w:w="110" w:type="dxa"/>
            </w:tcMar>
          </w:tcPr>
          <w:p>
            <w:pPr>
              <w:spacing w:after="0" w:before="0"/>
            </w:pPr>
            <w:r>
              <w:rPr>
                <w:rFonts w:ascii="Aptos" w:hAnsi="Aptos"/>
                <w:sz w:val="16"/>
              </w:rPr>
              <w:t>Uploaded paper is never stored anywhere / no data storage</w:t>
            </w:r>
          </w:p>
        </w:tc>
        <w:tc>
          <w:tcPr>
            <w:tcW w:type="dxa" w:w="3168"/>
            <w:vAlign w:val="center"/>
            <w:tcMar>
              <w:top w:w="90" w:type="dxa"/>
              <w:start w:w="110" w:type="dxa"/>
              <w:bottom w:w="90" w:type="dxa"/>
              <w:end w:w="110" w:type="dxa"/>
            </w:tcMar>
          </w:tcPr>
          <w:p>
            <w:pPr>
              <w:spacing w:after="0" w:before="0"/>
            </w:pPr>
            <w:r>
              <w:rPr>
                <w:rFonts w:ascii="Aptos" w:hAnsi="Aptos"/>
                <w:sz w:val="16"/>
              </w:rPr>
              <w:t>FORBIDDEN - incorrect lifecycle simplification</w:t>
            </w:r>
          </w:p>
        </w:tc>
      </w:tr>
      <w:tr>
        <w:tc>
          <w:tcPr>
            <w:tcW w:type="dxa" w:w="6912"/>
            <w:vAlign w:val="center"/>
            <w:tcMar>
              <w:top w:w="90" w:type="dxa"/>
              <w:start w:w="110" w:type="dxa"/>
              <w:bottom w:w="90" w:type="dxa"/>
              <w:end w:w="110" w:type="dxa"/>
            </w:tcMar>
          </w:tcPr>
          <w:p>
            <w:pPr>
              <w:spacing w:after="0" w:before="0"/>
            </w:pPr>
            <w:r>
              <w:rPr>
                <w:rFonts w:ascii="Aptos" w:hAnsi="Aptos"/>
                <w:sz w:val="16"/>
              </w:rPr>
              <w:t>Privacy/security guaranteed / 100% confidential</w:t>
            </w:r>
          </w:p>
        </w:tc>
        <w:tc>
          <w:tcPr>
            <w:tcW w:type="dxa" w:w="3168"/>
            <w:vAlign w:val="center"/>
            <w:tcMar>
              <w:top w:w="90" w:type="dxa"/>
              <w:start w:w="110" w:type="dxa"/>
              <w:bottom w:w="90" w:type="dxa"/>
              <w:end w:w="110" w:type="dxa"/>
            </w:tcMar>
          </w:tcPr>
          <w:p>
            <w:pPr>
              <w:spacing w:after="0" w:before="0"/>
            </w:pPr>
            <w:r>
              <w:rPr>
                <w:rFonts w:ascii="Aptos" w:hAnsi="Aptos"/>
                <w:sz w:val="16"/>
              </w:rPr>
              <w:t>FORBIDDEN absolutes</w:t>
            </w:r>
          </w:p>
        </w:tc>
      </w:tr>
      <w:tr>
        <w:tc>
          <w:tcPr>
            <w:tcW w:type="dxa" w:w="6912"/>
            <w:vAlign w:val="center"/>
            <w:tcMar>
              <w:top w:w="90" w:type="dxa"/>
              <w:start w:w="110" w:type="dxa"/>
              <w:bottom w:w="90" w:type="dxa"/>
              <w:end w:w="110" w:type="dxa"/>
            </w:tcMar>
          </w:tcPr>
          <w:p>
            <w:pPr>
              <w:spacing w:after="0" w:before="0"/>
            </w:pPr>
            <w:r>
              <w:rPr>
                <w:rFonts w:ascii="Aptos" w:hAnsi="Aptos"/>
                <w:sz w:val="16"/>
              </w:rPr>
              <w:t>500,000 clients / customers / students</w:t>
            </w:r>
          </w:p>
        </w:tc>
        <w:tc>
          <w:tcPr>
            <w:tcW w:type="dxa" w:w="3168"/>
            <w:vAlign w:val="center"/>
            <w:tcMar>
              <w:top w:w="90" w:type="dxa"/>
              <w:start w:w="110" w:type="dxa"/>
              <w:bottom w:w="90" w:type="dxa"/>
              <w:end w:w="110" w:type="dxa"/>
            </w:tcMar>
          </w:tcPr>
          <w:p>
            <w:pPr>
              <w:spacing w:after="0" w:before="0"/>
            </w:pPr>
            <w:r>
              <w:rPr>
                <w:rFonts w:ascii="Aptos" w:hAnsi="Aptos"/>
                <w:sz w:val="16"/>
              </w:rPr>
              <w:t>FORBIDDEN; approved fact is 500,000+ users</w:t>
            </w:r>
          </w:p>
        </w:tc>
      </w:tr>
      <w:tr>
        <w:tc>
          <w:tcPr>
            <w:tcW w:type="dxa" w:w="6912"/>
            <w:vAlign w:val="center"/>
            <w:tcMar>
              <w:top w:w="90" w:type="dxa"/>
              <w:start w:w="110" w:type="dxa"/>
              <w:bottom w:w="90" w:type="dxa"/>
              <w:end w:w="110" w:type="dxa"/>
            </w:tcMar>
          </w:tcPr>
          <w:p>
            <w:pPr>
              <w:spacing w:after="0" w:before="0"/>
            </w:pPr>
            <w:r>
              <w:rPr>
                <w:rFonts w:ascii="Aptos" w:hAnsi="Aptos"/>
                <w:sz w:val="16"/>
              </w:rPr>
              <w:t>15,000 / 20,000 words free / unlimited free checking</w:t>
            </w:r>
          </w:p>
        </w:tc>
        <w:tc>
          <w:tcPr>
            <w:tcW w:type="dxa" w:w="3168"/>
            <w:vAlign w:val="center"/>
            <w:tcMar>
              <w:top w:w="90" w:type="dxa"/>
              <w:start w:w="110" w:type="dxa"/>
              <w:bottom w:w="90" w:type="dxa"/>
              <w:end w:w="110" w:type="dxa"/>
            </w:tcMar>
          </w:tcPr>
          <w:p>
            <w:pPr>
              <w:spacing w:after="0" w:before="0"/>
            </w:pPr>
            <w:r>
              <w:rPr>
                <w:rFonts w:ascii="Aptos" w:hAnsi="Aptos"/>
                <w:sz w:val="16"/>
              </w:rPr>
              <w:t>FORBIDDEN - legacy query mismatch</w:t>
            </w:r>
          </w:p>
        </w:tc>
      </w:tr>
      <w:tr>
        <w:tc>
          <w:tcPr>
            <w:tcW w:type="dxa" w:w="6912"/>
            <w:vAlign w:val="center"/>
            <w:tcMar>
              <w:top w:w="90" w:type="dxa"/>
              <w:start w:w="110" w:type="dxa"/>
              <w:bottom w:w="90" w:type="dxa"/>
              <w:end w:w="110" w:type="dxa"/>
            </w:tcMar>
          </w:tcPr>
          <w:p>
            <w:pPr>
              <w:spacing w:after="0" w:before="0"/>
            </w:pPr>
            <w:r>
              <w:rPr>
                <w:rFonts w:ascii="Aptos" w:hAnsi="Aptos"/>
                <w:sz w:val="16"/>
              </w:rPr>
              <w:t>AI-written text automatically equals plagiarism</w:t>
            </w:r>
          </w:p>
        </w:tc>
        <w:tc>
          <w:tcPr>
            <w:tcW w:type="dxa" w:w="3168"/>
            <w:vAlign w:val="center"/>
            <w:tcMar>
              <w:top w:w="90" w:type="dxa"/>
              <w:start w:w="110" w:type="dxa"/>
              <w:bottom w:w="90" w:type="dxa"/>
              <w:end w:w="110" w:type="dxa"/>
            </w:tcMar>
          </w:tcPr>
          <w:p>
            <w:pPr>
              <w:spacing w:after="0" w:before="0"/>
            </w:pPr>
            <w:r>
              <w:rPr>
                <w:rFonts w:ascii="Aptos" w:hAnsi="Aptos"/>
                <w:sz w:val="16"/>
              </w:rPr>
              <w:t>FALSE</w:t>
            </w:r>
          </w:p>
        </w:tc>
      </w:tr>
      <w:tr>
        <w:tc>
          <w:tcPr>
            <w:tcW w:type="dxa" w:w="6912"/>
            <w:vAlign w:val="center"/>
            <w:tcMar>
              <w:top w:w="90" w:type="dxa"/>
              <w:start w:w="110" w:type="dxa"/>
              <w:bottom w:w="90" w:type="dxa"/>
              <w:end w:w="110" w:type="dxa"/>
            </w:tcMar>
          </w:tcPr>
          <w:p>
            <w:pPr>
              <w:spacing w:after="0" w:before="0"/>
            </w:pPr>
            <w:r>
              <w:rPr>
                <w:rFonts w:ascii="Aptos" w:hAnsi="Aptos"/>
                <w:sz w:val="16"/>
              </w:rPr>
              <w:t>Low similarity proves human authorship</w:t>
            </w:r>
          </w:p>
        </w:tc>
        <w:tc>
          <w:tcPr>
            <w:tcW w:type="dxa" w:w="3168"/>
            <w:vAlign w:val="center"/>
            <w:tcMar>
              <w:top w:w="90" w:type="dxa"/>
              <w:start w:w="110" w:type="dxa"/>
              <w:bottom w:w="90" w:type="dxa"/>
              <w:end w:w="110" w:type="dxa"/>
            </w:tcMar>
          </w:tcPr>
          <w:p>
            <w:pPr>
              <w:spacing w:after="0" w:before="0"/>
            </w:pPr>
            <w:r>
              <w:rPr>
                <w:rFonts w:ascii="Aptos" w:hAnsi="Aptos"/>
                <w:sz w:val="16"/>
              </w:rPr>
              <w:t>FALSE</w:t>
            </w:r>
          </w:p>
        </w:tc>
      </w:tr>
      <w:tr>
        <w:tc>
          <w:tcPr>
            <w:tcW w:type="dxa" w:w="6912"/>
            <w:vAlign w:val="center"/>
            <w:tcMar>
              <w:top w:w="90" w:type="dxa"/>
              <w:start w:w="110" w:type="dxa"/>
              <w:bottom w:w="90" w:type="dxa"/>
              <w:end w:w="110" w:type="dxa"/>
            </w:tcMar>
          </w:tcPr>
          <w:p>
            <w:pPr>
              <w:spacing w:after="0" w:before="0"/>
            </w:pPr>
            <w:r>
              <w:rPr>
                <w:rFonts w:ascii="Aptos" w:hAnsi="Aptos"/>
                <w:sz w:val="16"/>
              </w:rPr>
              <w:t>AI result proves authorship</w:t>
            </w:r>
          </w:p>
        </w:tc>
        <w:tc>
          <w:tcPr>
            <w:tcW w:type="dxa" w:w="3168"/>
            <w:vAlign w:val="center"/>
            <w:tcMar>
              <w:top w:w="90" w:type="dxa"/>
              <w:start w:w="110" w:type="dxa"/>
              <w:bottom w:w="90" w:type="dxa"/>
              <w:end w:w="110" w:type="dxa"/>
            </w:tcMar>
          </w:tcPr>
          <w:p>
            <w:pPr>
              <w:spacing w:after="0" w:before="0"/>
            </w:pPr>
            <w:r>
              <w:rPr>
                <w:rFonts w:ascii="Aptos" w:hAnsi="Aptos"/>
                <w:sz w:val="16"/>
              </w:rPr>
              <w:t>FALSE</w:t>
            </w:r>
          </w:p>
        </w:tc>
      </w:tr>
      <w:tr>
        <w:tc>
          <w:tcPr>
            <w:tcW w:type="dxa" w:w="6912"/>
            <w:vAlign w:val="center"/>
            <w:tcMar>
              <w:top w:w="90" w:type="dxa"/>
              <w:start w:w="110" w:type="dxa"/>
              <w:bottom w:w="90" w:type="dxa"/>
              <w:end w:w="110" w:type="dxa"/>
            </w:tcMar>
          </w:tcPr>
          <w:p>
            <w:pPr>
              <w:spacing w:after="0" w:before="0"/>
            </w:pPr>
            <w:r>
              <w:rPr>
                <w:rFonts w:ascii="Aptos" w:hAnsi="Aptos"/>
                <w:sz w:val="16"/>
              </w:rPr>
              <w:t>No hidden fees / cheapest / best value</w:t>
            </w:r>
          </w:p>
        </w:tc>
        <w:tc>
          <w:tcPr>
            <w:tcW w:type="dxa" w:w="3168"/>
            <w:vAlign w:val="center"/>
            <w:tcMar>
              <w:top w:w="90" w:type="dxa"/>
              <w:start w:w="110" w:type="dxa"/>
              <w:bottom w:w="90" w:type="dxa"/>
              <w:end w:w="110" w:type="dxa"/>
            </w:tcMar>
          </w:tcPr>
          <w:p>
            <w:pPr>
              <w:spacing w:after="0" w:before="0"/>
            </w:pPr>
            <w:r>
              <w:rPr>
                <w:rFonts w:ascii="Aptos" w:hAnsi="Aptos"/>
                <w:sz w:val="16"/>
              </w:rPr>
              <w:t>DO NOT CLAIM without separate approval</w:t>
            </w:r>
          </w:p>
        </w:tc>
      </w:tr>
      <w:tr>
        <w:tc>
          <w:tcPr>
            <w:tcW w:type="dxa" w:w="6912"/>
            <w:vAlign w:val="center"/>
            <w:tcMar>
              <w:top w:w="90" w:type="dxa"/>
              <w:start w:w="110" w:type="dxa"/>
              <w:bottom w:w="90" w:type="dxa"/>
              <w:end w:w="110" w:type="dxa"/>
            </w:tcMar>
          </w:tcPr>
          <w:p>
            <w:pPr>
              <w:spacing w:after="0" w:before="0"/>
            </w:pPr>
            <w:r>
              <w:rPr>
                <w:rFonts w:ascii="Aptos" w:hAnsi="Aptos"/>
                <w:sz w:val="16"/>
              </w:rPr>
              <w:t>Teacher classes/assignments/admin dashboard on this page</w:t>
            </w:r>
          </w:p>
        </w:tc>
        <w:tc>
          <w:tcPr>
            <w:tcW w:type="dxa" w:w="3168"/>
            <w:vAlign w:val="center"/>
            <w:tcMar>
              <w:top w:w="90" w:type="dxa"/>
              <w:start w:w="110" w:type="dxa"/>
              <w:bottom w:w="90" w:type="dxa"/>
              <w:end w:w="110" w:type="dxa"/>
            </w:tcMar>
          </w:tcPr>
          <w:p>
            <w:pPr>
              <w:spacing w:after="0" w:before="0"/>
            </w:pPr>
            <w:r>
              <w:rPr>
                <w:rFonts w:ascii="Aptos" w:hAnsi="Aptos"/>
                <w:sz w:val="16"/>
              </w:rPr>
              <w:t>DO NOT ADD - wrong audience/product scope</w:t>
            </w:r>
          </w:p>
        </w:tc>
      </w:tr>
    </w:tbl>
    <w:p>
      <w:pPr>
        <w:spacing w:after="120" w:line="252" w:lineRule="auto"/>
      </w:pPr>
    </w:p>
    <w:p>
      <w:pPr>
        <w:pStyle w:val="Heading1"/>
        <w:keepNext/>
        <w:spacing w:before="200" w:after="100"/>
      </w:pPr>
      <w:r>
        <w:t>15. DO NOT CLONE HOMEPAGE / UNIVERSITY / TEACHERS</w:t>
      </w:r>
    </w:p>
    <w:tbl>
      <w:tblPr>
        <w:tblStyle w:val="TableGrid"/>
        <w:tblW w:type="auto" w:w="0"/>
        <w:tblLayout w:type="autofit"/>
        <w:tblLook w:firstColumn="1" w:firstRow="1" w:lastColumn="0" w:lastRow="0" w:noHBand="0" w:noVBand="1" w:val="04A0"/>
      </w:tblPr>
      <w:tblGrid>
        <w:gridCol w:w="3389"/>
        <w:gridCol w:w="3389"/>
        <w:gridCol w:w="3389"/>
      </w:tblGrid>
      <w:tr>
        <w:tc>
          <w:tcPr>
            <w:tcW w:type="dxa" w:w="2016"/>
            <w:vAlign w:val="center"/>
            <w:tcMar>
              <w:top w:w="90" w:type="dxa"/>
              <w:start w:w="110" w:type="dxa"/>
              <w:bottom w:w="90" w:type="dxa"/>
              <w:end w:w="110" w:type="dxa"/>
            </w:tcMar>
            <w:shd w:fill="1F374E"/>
          </w:tcPr>
          <w:p>
            <w:pPr>
              <w:spacing w:after="0" w:before="0"/>
            </w:pPr>
            <w:r>
              <w:rPr>
                <w:rFonts w:ascii="Aptos" w:hAnsi="Aptos"/>
                <w:b/>
                <w:color w:val="FFFFFF"/>
                <w:sz w:val="17"/>
              </w:rPr>
              <w:t>Adjacent owner</w:t>
            </w:r>
          </w:p>
        </w:tc>
        <w:tc>
          <w:tcPr>
            <w:tcW w:type="dxa" w:w="4032"/>
            <w:vAlign w:val="center"/>
            <w:tcMar>
              <w:top w:w="90" w:type="dxa"/>
              <w:start w:w="110" w:type="dxa"/>
              <w:bottom w:w="90" w:type="dxa"/>
              <w:end w:w="110" w:type="dxa"/>
            </w:tcMar>
            <w:shd w:fill="1F374E"/>
          </w:tcPr>
          <w:p>
            <w:pPr>
              <w:spacing w:after="0" w:before="0"/>
            </w:pPr>
            <w:r>
              <w:rPr>
                <w:rFonts w:ascii="Aptos" w:hAnsi="Aptos"/>
                <w:b/>
                <w:color w:val="FFFFFF"/>
                <w:sz w:val="17"/>
              </w:rPr>
              <w:t>That page emphasizes</w:t>
            </w:r>
          </w:p>
        </w:tc>
        <w:tc>
          <w:tcPr>
            <w:tcW w:type="dxa" w:w="4320"/>
            <w:vAlign w:val="center"/>
            <w:tcMar>
              <w:top w:w="90" w:type="dxa"/>
              <w:start w:w="110" w:type="dxa"/>
              <w:bottom w:w="90" w:type="dxa"/>
              <w:end w:w="110" w:type="dxa"/>
            </w:tcMar>
            <w:shd w:fill="1F374E"/>
          </w:tcPr>
          <w:p>
            <w:pPr>
              <w:spacing w:after="0" w:before="0"/>
            </w:pPr>
            <w:r>
              <w:rPr>
                <w:rFonts w:ascii="Aptos" w:hAnsi="Aptos"/>
                <w:b/>
                <w:color w:val="FFFFFF"/>
                <w:sz w:val="17"/>
              </w:rPr>
              <w:t>Students page must emphasize</w:t>
            </w:r>
          </w:p>
        </w:tc>
      </w:tr>
      <w:tr>
        <w:tc>
          <w:tcPr>
            <w:tcW w:type="dxa" w:w="2016"/>
            <w:vAlign w:val="center"/>
            <w:tcMar>
              <w:top w:w="90" w:type="dxa"/>
              <w:start w:w="110" w:type="dxa"/>
              <w:bottom w:w="90" w:type="dxa"/>
              <w:end w:w="110" w:type="dxa"/>
            </w:tcMar>
          </w:tcPr>
          <w:p>
            <w:pPr>
              <w:spacing w:after="0" w:before="0"/>
            </w:pPr>
            <w:r>
              <w:rPr>
                <w:rFonts w:ascii="Aptos" w:hAnsi="Aptos"/>
                <w:sz w:val="17"/>
              </w:rPr>
              <w:t>Homepage</w:t>
            </w:r>
          </w:p>
        </w:tc>
        <w:tc>
          <w:tcPr>
            <w:tcW w:type="dxa" w:w="4032"/>
            <w:vAlign w:val="center"/>
            <w:tcMar>
              <w:top w:w="90" w:type="dxa"/>
              <w:start w:w="110" w:type="dxa"/>
              <w:bottom w:w="90" w:type="dxa"/>
              <w:end w:w="110" w:type="dxa"/>
            </w:tcMar>
          </w:tcPr>
          <w:p>
            <w:pPr>
              <w:spacing w:after="0" w:before="0"/>
            </w:pPr>
            <w:r>
              <w:rPr>
                <w:rFonts w:ascii="Aptos" w:hAnsi="Aptos"/>
                <w:sz w:val="17"/>
              </w:rPr>
              <w:t>Generic checker category, broad product controls/evidence</w:t>
            </w:r>
          </w:p>
        </w:tc>
        <w:tc>
          <w:tcPr>
            <w:tcW w:type="dxa" w:w="4320"/>
            <w:vAlign w:val="center"/>
            <w:tcMar>
              <w:top w:w="90" w:type="dxa"/>
              <w:start w:w="110" w:type="dxa"/>
              <w:bottom w:w="90" w:type="dxa"/>
              <w:end w:w="110" w:type="dxa"/>
            </w:tcMar>
          </w:tcPr>
          <w:p>
            <w:pPr>
              <w:spacing w:after="0" w:before="0"/>
            </w:pPr>
            <w:r>
              <w:rPr>
                <w:rFonts w:ascii="Aptos" w:hAnsi="Aptos"/>
                <w:sz w:val="17"/>
              </w:rPr>
              <w:t>Checking your own academic work before submission and interpreting matches.</w:t>
            </w:r>
          </w:p>
        </w:tc>
      </w:tr>
      <w:tr>
        <w:tc>
          <w:tcPr>
            <w:tcW w:type="dxa" w:w="2016"/>
            <w:vAlign w:val="center"/>
            <w:tcMar>
              <w:top w:w="90" w:type="dxa"/>
              <w:start w:w="110" w:type="dxa"/>
              <w:bottom w:w="90" w:type="dxa"/>
              <w:end w:w="110" w:type="dxa"/>
            </w:tcMar>
          </w:tcPr>
          <w:p>
            <w:pPr>
              <w:spacing w:after="0" w:before="0"/>
            </w:pPr>
            <w:r>
              <w:rPr>
                <w:rFonts w:ascii="Aptos" w:hAnsi="Aptos"/>
                <w:sz w:val="17"/>
              </w:rPr>
              <w:t>University</w:t>
            </w:r>
          </w:p>
        </w:tc>
        <w:tc>
          <w:tcPr>
            <w:tcW w:type="dxa" w:w="4032"/>
            <w:vAlign w:val="center"/>
            <w:tcMar>
              <w:top w:w="90" w:type="dxa"/>
              <w:start w:w="110" w:type="dxa"/>
              <w:bottom w:w="90" w:type="dxa"/>
              <w:end w:w="110" w:type="dxa"/>
            </w:tcMar>
          </w:tcPr>
          <w:p>
            <w:pPr>
              <w:spacing w:after="0" w:before="0"/>
            </w:pPr>
            <w:r>
              <w:rPr>
                <w:rFonts w:ascii="Aptos" w:hAnsi="Aptos"/>
                <w:sz w:val="17"/>
              </w:rPr>
              <w:t>Institutional deployment, LMS, organization management, procurement</w:t>
            </w:r>
          </w:p>
        </w:tc>
        <w:tc>
          <w:tcPr>
            <w:tcW w:type="dxa" w:w="4320"/>
            <w:vAlign w:val="center"/>
            <w:tcMar>
              <w:top w:w="90" w:type="dxa"/>
              <w:start w:w="110" w:type="dxa"/>
              <w:bottom w:w="90" w:type="dxa"/>
              <w:end w:w="110" w:type="dxa"/>
            </w:tcMar>
          </w:tcPr>
          <w:p>
            <w:pPr>
              <w:spacing w:after="0" w:before="0"/>
            </w:pPr>
            <w:r>
              <w:rPr>
                <w:rFonts w:ascii="Aptos" w:hAnsi="Aptos"/>
                <w:sz w:val="17"/>
              </w:rPr>
              <w:t>Individual student self-check; no institutional admin or LMS story.</w:t>
            </w:r>
          </w:p>
        </w:tc>
      </w:tr>
      <w:tr>
        <w:tc>
          <w:tcPr>
            <w:tcW w:type="dxa" w:w="2016"/>
            <w:vAlign w:val="center"/>
            <w:tcMar>
              <w:top w:w="90" w:type="dxa"/>
              <w:start w:w="110" w:type="dxa"/>
              <w:bottom w:w="90" w:type="dxa"/>
              <w:end w:w="110" w:type="dxa"/>
            </w:tcMar>
          </w:tcPr>
          <w:p>
            <w:pPr>
              <w:spacing w:after="0" w:before="0"/>
            </w:pPr>
            <w:r>
              <w:rPr>
                <w:rFonts w:ascii="Aptos" w:hAnsi="Aptos"/>
                <w:sz w:val="17"/>
              </w:rPr>
              <w:t>Teachers</w:t>
            </w:r>
          </w:p>
        </w:tc>
        <w:tc>
          <w:tcPr>
            <w:tcW w:type="dxa" w:w="4032"/>
            <w:vAlign w:val="center"/>
            <w:tcMar>
              <w:top w:w="90" w:type="dxa"/>
              <w:start w:w="110" w:type="dxa"/>
              <w:bottom w:w="90" w:type="dxa"/>
              <w:end w:w="110" w:type="dxa"/>
            </w:tcMar>
          </w:tcPr>
          <w:p>
            <w:pPr>
              <w:spacing w:after="0" w:before="0"/>
            </w:pPr>
            <w:r>
              <w:rPr>
                <w:rFonts w:ascii="Aptos" w:hAnsi="Aptos"/>
                <w:sz w:val="17"/>
              </w:rPr>
              <w:t>Educator reviewing student work</w:t>
            </w:r>
          </w:p>
        </w:tc>
        <w:tc>
          <w:tcPr>
            <w:tcW w:type="dxa" w:w="4320"/>
            <w:vAlign w:val="center"/>
            <w:tcMar>
              <w:top w:w="90" w:type="dxa"/>
              <w:start w:w="110" w:type="dxa"/>
              <w:bottom w:w="90" w:type="dxa"/>
              <w:end w:w="110" w:type="dxa"/>
            </w:tcMar>
          </w:tcPr>
          <w:p>
            <w:pPr>
              <w:spacing w:after="0" w:before="0"/>
            </w:pPr>
            <w:r>
              <w:rPr>
                <w:rFonts w:ascii="Aptos" w:hAnsi="Aptos"/>
                <w:sz w:val="17"/>
              </w:rPr>
              <w:t>Student reviewing their own draft; no teacher dashboard/class workflow.</w:t>
            </w:r>
          </w:p>
        </w:tc>
      </w:tr>
    </w:tbl>
    <w:p>
      <w:pPr>
        <w:spacing w:after="120" w:line="252" w:lineRule="auto"/>
      </w:pPr>
    </w:p>
    <w:tbl>
      <w:tblPr>
        <w:tblStyle w:val="TableGrid"/>
        <w:tblW w:type="auto" w:w="0"/>
        <w:tblLook w:firstColumn="1" w:firstRow="1" w:lastColumn="0" w:lastRow="0" w:noHBand="0" w:noVBand="1" w:val="04A0"/>
      </w:tblPr>
      <w:tblGrid>
        <w:gridCol w:w="10166"/>
      </w:tblGrid>
      <w:tr>
        <w:tc>
          <w:tcPr>
            <w:tcW w:type="dxa" w:w="10166"/>
            <w:shd w:fill="EAF7F7"/>
            <w:tcMar>
              <w:top w:w="150" w:type="dxa"/>
              <w:start w:w="170" w:type="dxa"/>
              <w:bottom w:w="150" w:type="dxa"/>
              <w:end w:w="170" w:type="dxa"/>
            </w:tcMar>
          </w:tcPr>
          <w:p>
            <w:r>
              <w:rPr>
                <w:rFonts w:ascii="Aptos" w:hAnsi="Aptos"/>
                <w:b/>
                <w:color w:val="1F374E"/>
                <w:sz w:val="19"/>
              </w:rPr>
              <w:t>Student-specific story to preserve</w:t>
            </w:r>
          </w:p>
          <w:p>
            <w:pPr>
              <w:spacing w:after="40"/>
            </w:pPr>
            <w:r>
              <w:rPr>
                <w:rFonts w:ascii="Aptos" w:hAnsi="Aptos"/>
                <w:sz w:val="18"/>
              </w:rPr>
              <w:t>Draft -&gt; check -&gt; inspect match -&gt; inspect source/context -&gt; decide what needs citation/rewrite attention -&gt; revise deliberately -&gt; optionally re-check -&gt; submit when satisfied with your own review.</w:t>
            </w:r>
          </w:p>
          <w:p>
            <w:pPr>
              <w:spacing w:after="40"/>
            </w:pPr>
            <w:r>
              <w:rPr>
                <w:rFonts w:ascii="Aptos" w:hAnsi="Aptos"/>
                <w:sz w:val="18"/>
              </w:rPr>
              <w:t>This is the semantic differentiation even when checker/report/control components are shared with the homepage.</w:t>
            </w:r>
          </w:p>
        </w:tc>
      </w:tr>
    </w:tbl>
    <w:p>
      <w:pPr>
        <w:spacing w:after="120" w:line="252" w:lineRule="auto"/>
      </w:pPr>
    </w:p>
    <w:p>
      <w:pPr>
        <w:pStyle w:val="Heading1"/>
        <w:keepNext/>
        <w:spacing w:before="200" w:after="100"/>
      </w:pPr>
      <w:r>
        <w:t>16. RESPONSIVE / ACCESSIBILITY REQUIREMENTS</w:t>
      </w:r>
    </w:p>
    <w:p>
      <w:pPr>
        <w:pStyle w:val="ListBullet"/>
      </w:pPr>
      <w:r>
        <w:t>Mobile must preserve the same information hierarchy and student decision flow; do not reduce the page to decorative cards while hiding the real checker/report meaning.</w:t>
      </w:r>
    </w:p>
    <w:p>
      <w:pPr>
        <w:pStyle w:val="ListBullet"/>
      </w:pPr>
      <w:r>
        <w:t>The checker must remain usable on mobile: input, uploads, primary plagiarism control, CTA and key offer microcopy must not be clipped or horizontally inaccessible.</w:t>
      </w:r>
    </w:p>
    <w:p>
      <w:pPr>
        <w:pStyle w:val="ListBullet"/>
      </w:pPr>
      <w:r>
        <w:t>Interactive report evidence must remain understandable on narrow screens. If the desktop layout cannot fit, stack/crop/zoom the evidence without hiding the connection between matched passage and source/context.</w:t>
      </w:r>
    </w:p>
    <w:p>
      <w:pPr>
        <w:pStyle w:val="ListBullet"/>
      </w:pPr>
      <w:r>
        <w:t>Use semantic heading order. Exactly one H1; subsequent headings should reflect information hierarchy rather than visual size alone.</w:t>
      </w:r>
    </w:p>
    <w:p>
      <w:pPr>
        <w:pStyle w:val="ListBullet"/>
      </w:pPr>
      <w:r>
        <w:t>Buttons/links need accessible names and visible focus states. Do not use icon-only critical actions without labels/aria labels.</w:t>
      </w:r>
    </w:p>
    <w:p>
      <w:pPr>
        <w:pStyle w:val="ListBullet"/>
      </w:pPr>
      <w:r>
        <w:t>Accordions must be keyboard operable. Collapsed FAQ content must remain in the DOM/rendered HTML.</w:t>
      </w:r>
    </w:p>
    <w:p>
      <w:pPr>
        <w:pStyle w:val="ListBullet"/>
      </w:pPr>
      <w:r>
        <w:t>Do not communicate essential report meaning using color alone.</w:t>
      </w:r>
    </w:p>
    <w:p>
      <w:pPr>
        <w:pStyle w:val="Heading1"/>
        <w:keepNext/>
        <w:spacing w:before="200" w:after="100"/>
      </w:pPr>
      <w:r>
        <w:t>17. PRODUCTION BINDING / DYNAMIC DATA</w:t>
      </w:r>
    </w:p>
    <w:p>
      <w:pPr>
        <w:spacing w:after="120" w:line="252" w:lineRule="auto"/>
      </w:pPr>
      <w:r>
        <w:t>Do not browse, guess or hardcode dynamic values that have an approved production owner. Before production launch, QA the live values/bindings against the current source of truth.</w:t>
      </w:r>
    </w:p>
    <w:tbl>
      <w:tblPr>
        <w:tblStyle w:val="TableGrid"/>
        <w:tblW w:type="auto" w:w="0"/>
        <w:tblLayout w:type="autofit"/>
        <w:tblLook w:firstColumn="1" w:firstRow="1" w:lastColumn="0" w:lastRow="0" w:noHBand="0" w:noVBand="1" w:val="04A0"/>
      </w:tblPr>
      <w:tblGrid>
        <w:gridCol w:w="5083"/>
        <w:gridCol w:w="5083"/>
      </w:tblGrid>
      <w:tr>
        <w:tc>
          <w:tcPr>
            <w:tcW w:type="dxa" w:w="3024"/>
            <w:vAlign w:val="center"/>
            <w:tcMar>
              <w:top w:w="90" w:type="dxa"/>
              <w:start w:w="110" w:type="dxa"/>
              <w:bottom w:w="90" w:type="dxa"/>
              <w:end w:w="110" w:type="dxa"/>
            </w:tcMar>
            <w:shd w:fill="1F374E"/>
          </w:tcPr>
          <w:p>
            <w:pPr>
              <w:spacing w:after="0" w:before="0"/>
            </w:pPr>
            <w:r>
              <w:rPr>
                <w:rFonts w:ascii="Aptos" w:hAnsi="Aptos"/>
                <w:b/>
                <w:color w:val="FFFFFF"/>
                <w:sz w:val="17"/>
              </w:rPr>
              <w:t>Item</w:t>
            </w:r>
          </w:p>
        </w:tc>
        <w:tc>
          <w:tcPr>
            <w:tcW w:type="dxa" w:w="7056"/>
            <w:vAlign w:val="center"/>
            <w:tcMar>
              <w:top w:w="90" w:type="dxa"/>
              <w:start w:w="110" w:type="dxa"/>
              <w:bottom w:w="90" w:type="dxa"/>
              <w:end w:w="110" w:type="dxa"/>
            </w:tcMar>
            <w:shd w:fill="1F374E"/>
          </w:tcPr>
          <w:p>
            <w:pPr>
              <w:spacing w:after="0" w:before="0"/>
            </w:pPr>
            <w:r>
              <w:rPr>
                <w:rFonts w:ascii="Aptos" w:hAnsi="Aptos"/>
                <w:b/>
                <w:color w:val="FFFFFF"/>
                <w:sz w:val="17"/>
              </w:rPr>
              <w:t>Rule</w:t>
            </w:r>
          </w:p>
        </w:tc>
      </w:tr>
      <w:tr>
        <w:tc>
          <w:tcPr>
            <w:tcW w:type="dxa" w:w="3024"/>
            <w:vAlign w:val="center"/>
            <w:tcMar>
              <w:top w:w="90" w:type="dxa"/>
              <w:start w:w="110" w:type="dxa"/>
              <w:bottom w:w="90" w:type="dxa"/>
              <w:end w:w="110" w:type="dxa"/>
            </w:tcMar>
          </w:tcPr>
          <w:p>
            <w:pPr>
              <w:spacing w:after="0" w:before="0"/>
            </w:pPr>
            <w:r>
              <w:rPr>
                <w:rFonts w:ascii="Aptos" w:hAnsi="Aptos"/>
                <w:sz w:val="17"/>
              </w:rPr>
              <w:t>Checker widget</w:t>
            </w:r>
          </w:p>
        </w:tc>
        <w:tc>
          <w:tcPr>
            <w:tcW w:type="dxa" w:w="7056"/>
            <w:vAlign w:val="center"/>
            <w:tcMar>
              <w:top w:w="90" w:type="dxa"/>
              <w:start w:w="110" w:type="dxa"/>
              <w:bottom w:w="90" w:type="dxa"/>
              <w:end w:w="110" w:type="dxa"/>
            </w:tcMar>
          </w:tcPr>
          <w:p>
            <w:pPr>
              <w:spacing w:after="0" w:before="0"/>
            </w:pPr>
            <w:r>
              <w:rPr>
                <w:rFonts w:ascii="Aptos" w:hAnsi="Aptos"/>
                <w:sz w:val="17"/>
              </w:rPr>
              <w:t>Reuse the real production checker behavior/bindings; do not reimplement a separate simplified checker solely for this landing.</w:t>
            </w:r>
          </w:p>
        </w:tc>
      </w:tr>
      <w:tr>
        <w:tc>
          <w:tcPr>
            <w:tcW w:type="dxa" w:w="3024"/>
            <w:vAlign w:val="center"/>
            <w:tcMar>
              <w:top w:w="90" w:type="dxa"/>
              <w:start w:w="110" w:type="dxa"/>
              <w:bottom w:w="90" w:type="dxa"/>
              <w:end w:w="110" w:type="dxa"/>
            </w:tcMar>
          </w:tcPr>
          <w:p>
            <w:pPr>
              <w:spacing w:after="0" w:before="0"/>
            </w:pPr>
            <w:r>
              <w:rPr>
                <w:rFonts w:ascii="Aptos" w:hAnsi="Aptos"/>
                <w:sz w:val="17"/>
              </w:rPr>
              <w:t>Anonymous free limit</w:t>
            </w:r>
          </w:p>
        </w:tc>
        <w:tc>
          <w:tcPr>
            <w:tcW w:type="dxa" w:w="7056"/>
            <w:vAlign w:val="center"/>
            <w:tcMar>
              <w:top w:w="90" w:type="dxa"/>
              <w:start w:w="110" w:type="dxa"/>
              <w:bottom w:w="90" w:type="dxa"/>
              <w:end w:w="110" w:type="dxa"/>
            </w:tcMar>
          </w:tcPr>
          <w:p>
            <w:pPr>
              <w:spacing w:after="0" w:before="0"/>
            </w:pPr>
            <w:r>
              <w:rPr>
                <w:rFonts w:ascii="Aptos" w:hAnsi="Aptos"/>
                <w:sz w:val="17"/>
              </w:rPr>
              <w:t>Current approved fact: 150 plagiarism words without registration. Re-QA against production before launch.</w:t>
            </w:r>
          </w:p>
        </w:tc>
      </w:tr>
      <w:tr>
        <w:tc>
          <w:tcPr>
            <w:tcW w:type="dxa" w:w="3024"/>
            <w:vAlign w:val="center"/>
            <w:tcMar>
              <w:top w:w="90" w:type="dxa"/>
              <w:start w:w="110" w:type="dxa"/>
              <w:bottom w:w="90" w:type="dxa"/>
              <w:end w:w="110" w:type="dxa"/>
            </w:tcMar>
          </w:tcPr>
          <w:p>
            <w:pPr>
              <w:spacing w:after="0" w:before="0"/>
            </w:pPr>
            <w:r>
              <w:rPr>
                <w:rFonts w:ascii="Aptos" w:hAnsi="Aptos"/>
                <w:sz w:val="17"/>
              </w:rPr>
              <w:t>Registered daily free limit</w:t>
            </w:r>
          </w:p>
        </w:tc>
        <w:tc>
          <w:tcPr>
            <w:tcW w:type="dxa" w:w="7056"/>
            <w:vAlign w:val="center"/>
            <w:tcMar>
              <w:top w:w="90" w:type="dxa"/>
              <w:start w:w="110" w:type="dxa"/>
              <w:bottom w:w="90" w:type="dxa"/>
              <w:end w:w="110" w:type="dxa"/>
            </w:tcMar>
          </w:tcPr>
          <w:p>
            <w:pPr>
              <w:spacing w:after="0" w:before="0"/>
            </w:pPr>
            <w:r>
              <w:rPr>
                <w:rFonts w:ascii="Aptos" w:hAnsi="Aptos"/>
                <w:sz w:val="17"/>
              </w:rPr>
              <w:t>Current approved fact: 300 plagiarism words per day. Re-QA against production before launch.</w:t>
            </w:r>
          </w:p>
        </w:tc>
      </w:tr>
      <w:tr>
        <w:tc>
          <w:tcPr>
            <w:tcW w:type="dxa" w:w="3024"/>
            <w:vAlign w:val="center"/>
            <w:tcMar>
              <w:top w:w="90" w:type="dxa"/>
              <w:start w:w="110" w:type="dxa"/>
              <w:bottom w:w="90" w:type="dxa"/>
              <w:end w:w="110" w:type="dxa"/>
            </w:tcMar>
          </w:tcPr>
          <w:p>
            <w:pPr>
              <w:spacing w:after="0" w:before="0"/>
            </w:pPr>
            <w:r>
              <w:rPr>
                <w:rFonts w:ascii="Aptos" w:hAnsi="Aptos"/>
                <w:sz w:val="17"/>
              </w:rPr>
              <w:t>Review rating/count</w:t>
            </w:r>
          </w:p>
        </w:tc>
        <w:tc>
          <w:tcPr>
            <w:tcW w:type="dxa" w:w="7056"/>
            <w:vAlign w:val="center"/>
            <w:tcMar>
              <w:top w:w="90" w:type="dxa"/>
              <w:start w:w="110" w:type="dxa"/>
              <w:bottom w:w="90" w:type="dxa"/>
              <w:end w:w="110" w:type="dxa"/>
            </w:tcMar>
          </w:tcPr>
          <w:p>
            <w:pPr>
              <w:spacing w:after="0" w:before="0"/>
            </w:pPr>
            <w:r>
              <w:rPr>
                <w:rFonts w:ascii="Aptos" w:hAnsi="Aptos"/>
                <w:sz w:val="17"/>
              </w:rPr>
              <w:t>Optional and dynamic. Use only a current verified approved source; otherwise omit.</w:t>
            </w:r>
          </w:p>
        </w:tc>
      </w:tr>
      <w:tr>
        <w:tc>
          <w:tcPr>
            <w:tcW w:type="dxa" w:w="3024"/>
            <w:vAlign w:val="center"/>
            <w:tcMar>
              <w:top w:w="90" w:type="dxa"/>
              <w:start w:w="110" w:type="dxa"/>
              <w:bottom w:w="90" w:type="dxa"/>
              <w:end w:w="110" w:type="dxa"/>
            </w:tcMar>
          </w:tcPr>
          <w:p>
            <w:pPr>
              <w:spacing w:after="0" w:before="0"/>
            </w:pPr>
            <w:r>
              <w:rPr>
                <w:rFonts w:ascii="Aptos" w:hAnsi="Aptos"/>
                <w:sz w:val="17"/>
              </w:rPr>
              <w:t>Academic corpus proof</w:t>
            </w:r>
          </w:p>
        </w:tc>
        <w:tc>
          <w:tcPr>
            <w:tcW w:type="dxa" w:w="7056"/>
            <w:vAlign w:val="center"/>
            <w:tcMar>
              <w:top w:w="90" w:type="dxa"/>
              <w:start w:w="110" w:type="dxa"/>
              <w:bottom w:w="90" w:type="dxa"/>
              <w:end w:w="110" w:type="dxa"/>
            </w:tcMar>
          </w:tcPr>
          <w:p>
            <w:pPr>
              <w:spacing w:after="0" w:before="0"/>
            </w:pPr>
            <w:r>
              <w:rPr>
                <w:rFonts w:ascii="Aptos" w:hAnsi="Aptos"/>
                <w:sz w:val="17"/>
              </w:rPr>
              <w:t>Approved fact: over 500 million indexed academic texts when academic database search is enabled.</w:t>
            </w:r>
          </w:p>
        </w:tc>
      </w:tr>
      <w:tr>
        <w:tc>
          <w:tcPr>
            <w:tcW w:type="dxa" w:w="3024"/>
            <w:vAlign w:val="center"/>
            <w:tcMar>
              <w:top w:w="90" w:type="dxa"/>
              <w:start w:w="110" w:type="dxa"/>
              <w:bottom w:w="90" w:type="dxa"/>
              <w:end w:w="110" w:type="dxa"/>
            </w:tcMar>
          </w:tcPr>
          <w:p>
            <w:pPr>
              <w:spacing w:after="0" w:before="0"/>
            </w:pPr>
            <w:r>
              <w:rPr>
                <w:rFonts w:ascii="Aptos" w:hAnsi="Aptos"/>
                <w:sz w:val="17"/>
              </w:rPr>
              <w:t>File format list</w:t>
            </w:r>
          </w:p>
        </w:tc>
        <w:tc>
          <w:tcPr>
            <w:tcW w:type="dxa" w:w="7056"/>
            <w:vAlign w:val="center"/>
            <w:tcMar>
              <w:top w:w="90" w:type="dxa"/>
              <w:start w:w="110" w:type="dxa"/>
              <w:bottom w:w="90" w:type="dxa"/>
              <w:end w:w="110" w:type="dxa"/>
            </w:tcMar>
          </w:tcPr>
          <w:p>
            <w:pPr>
              <w:spacing w:after="0" w:before="0"/>
            </w:pPr>
            <w:r>
              <w:rPr>
                <w:rFonts w:ascii="Aptos" w:hAnsi="Aptos"/>
                <w:sz w:val="17"/>
              </w:rPr>
              <w:t>Use approved common examples; the live uploader is the final authority for current supported formats.</w:t>
            </w:r>
          </w:p>
        </w:tc>
      </w:tr>
      <w:tr>
        <w:tc>
          <w:tcPr>
            <w:tcW w:type="dxa" w:w="3024"/>
            <w:vAlign w:val="center"/>
            <w:tcMar>
              <w:top w:w="90" w:type="dxa"/>
              <w:start w:w="110" w:type="dxa"/>
              <w:bottom w:w="90" w:type="dxa"/>
              <w:end w:w="110" w:type="dxa"/>
            </w:tcMar>
          </w:tcPr>
          <w:p>
            <w:pPr>
              <w:spacing w:after="0" w:before="0"/>
            </w:pPr>
            <w:r>
              <w:rPr>
                <w:rFonts w:ascii="Aptos" w:hAnsi="Aptos"/>
                <w:sz w:val="17"/>
              </w:rPr>
              <w:t>Plan/pricing data</w:t>
            </w:r>
          </w:p>
        </w:tc>
        <w:tc>
          <w:tcPr>
            <w:tcW w:type="dxa" w:w="7056"/>
            <w:vAlign w:val="center"/>
            <w:tcMar>
              <w:top w:w="90" w:type="dxa"/>
              <w:start w:w="110" w:type="dxa"/>
              <w:bottom w:w="90" w:type="dxa"/>
              <w:end w:w="110" w:type="dxa"/>
            </w:tcMar>
          </w:tcPr>
          <w:p>
            <w:pPr>
              <w:spacing w:after="0" w:before="0"/>
            </w:pPr>
            <w:r>
              <w:rPr>
                <w:rFonts w:ascii="Aptos" w:hAnsi="Aptos"/>
                <w:sz w:val="17"/>
              </w:rPr>
              <w:t>Do not hardcode here; /prices and backend pricing sources own live pricing/quotas/entitlements.</w:t>
            </w:r>
          </w:p>
        </w:tc>
      </w:tr>
      <w:tr>
        <w:tc>
          <w:tcPr>
            <w:tcW w:type="dxa" w:w="3024"/>
            <w:vAlign w:val="center"/>
            <w:tcMar>
              <w:top w:w="90" w:type="dxa"/>
              <w:start w:w="110" w:type="dxa"/>
              <w:bottom w:w="90" w:type="dxa"/>
              <w:end w:w="110" w:type="dxa"/>
            </w:tcMar>
          </w:tcPr>
          <w:p>
            <w:pPr>
              <w:spacing w:after="0" w:before="0"/>
            </w:pPr>
            <w:r>
              <w:rPr>
                <w:rFonts w:ascii="Aptos" w:hAnsi="Aptos"/>
                <w:sz w:val="17"/>
              </w:rPr>
              <w:t>Privacy URL</w:t>
            </w:r>
          </w:p>
        </w:tc>
        <w:tc>
          <w:tcPr>
            <w:tcW w:type="dxa" w:w="7056"/>
            <w:vAlign w:val="center"/>
            <w:tcMar>
              <w:top w:w="90" w:type="dxa"/>
              <w:start w:w="110" w:type="dxa"/>
              <w:bottom w:w="90" w:type="dxa"/>
              <w:end w:w="110" w:type="dxa"/>
            </w:tcMar>
          </w:tcPr>
          <w:p>
            <w:pPr>
              <w:spacing w:after="0" w:before="0"/>
            </w:pPr>
            <w:r>
              <w:rPr>
                <w:rFonts w:ascii="Aptos" w:hAnsi="Aptos"/>
                <w:sz w:val="17"/>
              </w:rPr>
              <w:t>Use the current production Privacy Policy URL (/policy in the current architecture).</w:t>
            </w:r>
          </w:p>
        </w:tc>
      </w:tr>
    </w:tbl>
    <w:p>
      <w:pPr>
        <w:spacing w:after="120" w:line="252" w:lineRule="auto"/>
      </w:pPr>
    </w:p>
    <w:p>
      <w:pPr>
        <w:pStyle w:val="Heading1"/>
        <w:keepNext/>
        <w:spacing w:before="200" w:after="100"/>
      </w:pPr>
      <w:r>
        <w:t>18. SEO / RECOVERY VALIDATION AFTER LAUNCH</w:t>
      </w:r>
    </w:p>
    <w:p>
      <w:pPr>
        <w:spacing w:after="120" w:line="252" w:lineRule="auto"/>
      </w:pPr>
      <w:r>
        <w:t>Do not evaluate this page only on total impressions. The redesign intentionally changes the quality of query ownership.</w:t>
      </w:r>
    </w:p>
    <w:tbl>
      <w:tblPr>
        <w:tblStyle w:val="TableGrid"/>
        <w:tblW w:type="auto" w:w="0"/>
        <w:tblLayout w:type="autofit"/>
        <w:tblLook w:firstColumn="1" w:firstRow="1" w:lastColumn="0" w:lastRow="0" w:noHBand="0" w:noVBand="1" w:val="04A0"/>
      </w:tblPr>
      <w:tblGrid>
        <w:gridCol w:w="5083"/>
        <w:gridCol w:w="5083"/>
      </w:tblGrid>
      <w:tr>
        <w:tc>
          <w:tcPr>
            <w:tcW w:type="dxa" w:w="4032"/>
            <w:vAlign w:val="center"/>
            <w:tcMar>
              <w:top w:w="90" w:type="dxa"/>
              <w:start w:w="110" w:type="dxa"/>
              <w:bottom w:w="90" w:type="dxa"/>
              <w:end w:w="110" w:type="dxa"/>
            </w:tcMar>
            <w:shd w:fill="1F374E"/>
          </w:tcPr>
          <w:p>
            <w:pPr>
              <w:spacing w:after="0" w:before="0"/>
            </w:pPr>
            <w:r>
              <w:rPr>
                <w:rFonts w:ascii="Aptos" w:hAnsi="Aptos"/>
                <w:b/>
                <w:color w:val="FFFFFF"/>
                <w:sz w:val="17"/>
              </w:rPr>
              <w:t>Cohort / metric</w:t>
            </w:r>
          </w:p>
        </w:tc>
        <w:tc>
          <w:tcPr>
            <w:tcW w:type="dxa" w:w="6048"/>
            <w:vAlign w:val="center"/>
            <w:tcMar>
              <w:top w:w="90" w:type="dxa"/>
              <w:start w:w="110" w:type="dxa"/>
              <w:bottom w:w="90" w:type="dxa"/>
              <w:end w:w="110" w:type="dxa"/>
            </w:tcMar>
            <w:shd w:fill="1F374E"/>
          </w:tcPr>
          <w:p>
            <w:pPr>
              <w:spacing w:after="0" w:before="0"/>
            </w:pPr>
            <w:r>
              <w:rPr>
                <w:rFonts w:ascii="Aptos" w:hAnsi="Aptos"/>
                <w:b/>
                <w:color w:val="FFFFFF"/>
                <w:sz w:val="17"/>
              </w:rPr>
              <w:t>Desired direction / interpretation</w:t>
            </w:r>
          </w:p>
        </w:tc>
      </w:tr>
      <w:tr>
        <w:tc>
          <w:tcPr>
            <w:tcW w:type="dxa" w:w="4032"/>
            <w:vAlign w:val="center"/>
            <w:tcMar>
              <w:top w:w="90" w:type="dxa"/>
              <w:start w:w="110" w:type="dxa"/>
              <w:bottom w:w="90" w:type="dxa"/>
              <w:end w:w="110" w:type="dxa"/>
            </w:tcMar>
          </w:tcPr>
          <w:p>
            <w:pPr>
              <w:spacing w:after="0" w:before="0"/>
            </w:pPr>
            <w:r>
              <w:rPr>
                <w:rFonts w:ascii="Aptos" w:hAnsi="Aptos"/>
                <w:sz w:val="17"/>
              </w:rPr>
              <w:t>Student/students plagiarism queries</w:t>
            </w:r>
          </w:p>
        </w:tc>
        <w:tc>
          <w:tcPr>
            <w:tcW w:type="dxa" w:w="6048"/>
            <w:vAlign w:val="center"/>
            <w:tcMar>
              <w:top w:w="90" w:type="dxa"/>
              <w:start w:w="110" w:type="dxa"/>
              <w:bottom w:w="90" w:type="dxa"/>
              <w:end w:w="110" w:type="dxa"/>
            </w:tcMar>
          </w:tcPr>
          <w:p>
            <w:pPr>
              <w:spacing w:after="0" w:before="0"/>
            </w:pPr>
            <w:r>
              <w:rPr>
                <w:rFonts w:ascii="Aptos" w:hAnsi="Aptos"/>
                <w:sz w:val="17"/>
              </w:rPr>
              <w:t>Increase relevant ownership and clicks.</w:t>
            </w:r>
          </w:p>
        </w:tc>
      </w:tr>
      <w:tr>
        <w:tc>
          <w:tcPr>
            <w:tcW w:type="dxa" w:w="4032"/>
            <w:vAlign w:val="center"/>
            <w:tcMar>
              <w:top w:w="90" w:type="dxa"/>
              <w:start w:w="110" w:type="dxa"/>
              <w:bottom w:w="90" w:type="dxa"/>
              <w:end w:w="110" w:type="dxa"/>
            </w:tcMar>
          </w:tcPr>
          <w:p>
            <w:pPr>
              <w:spacing w:after="0" w:before="0"/>
            </w:pPr>
            <w:r>
              <w:rPr>
                <w:rFonts w:ascii="Aptos" w:hAnsi="Aptos"/>
                <w:sz w:val="17"/>
              </w:rPr>
              <w:t>Essay/paper/assignment/thesis pre-submission queries</w:t>
            </w:r>
          </w:p>
        </w:tc>
        <w:tc>
          <w:tcPr>
            <w:tcW w:type="dxa" w:w="6048"/>
            <w:vAlign w:val="center"/>
            <w:tcMar>
              <w:top w:w="90" w:type="dxa"/>
              <w:start w:w="110" w:type="dxa"/>
              <w:bottom w:w="90" w:type="dxa"/>
              <w:end w:w="110" w:type="dxa"/>
            </w:tcMar>
          </w:tcPr>
          <w:p>
            <w:pPr>
              <w:spacing w:after="0" w:before="0"/>
            </w:pPr>
            <w:r>
              <w:rPr>
                <w:rFonts w:ascii="Aptos" w:hAnsi="Aptos"/>
                <w:sz w:val="17"/>
              </w:rPr>
              <w:t>Increase relevance, CTR and useful visits.</w:t>
            </w:r>
          </w:p>
        </w:tc>
      </w:tr>
      <w:tr>
        <w:tc>
          <w:tcPr>
            <w:tcW w:type="dxa" w:w="4032"/>
            <w:vAlign w:val="center"/>
            <w:tcMar>
              <w:top w:w="90" w:type="dxa"/>
              <w:start w:w="110" w:type="dxa"/>
              <w:bottom w:w="90" w:type="dxa"/>
              <w:end w:w="110" w:type="dxa"/>
            </w:tcMar>
          </w:tcPr>
          <w:p>
            <w:pPr>
              <w:spacing w:after="0" w:before="0"/>
            </w:pPr>
            <w:r>
              <w:rPr>
                <w:rFonts w:ascii="Aptos" w:hAnsi="Aptos"/>
                <w:sz w:val="17"/>
              </w:rPr>
              <w:t>Generic “plagiarism checker” queries</w:t>
            </w:r>
          </w:p>
        </w:tc>
        <w:tc>
          <w:tcPr>
            <w:tcW w:type="dxa" w:w="6048"/>
            <w:vAlign w:val="center"/>
            <w:tcMar>
              <w:top w:w="90" w:type="dxa"/>
              <w:start w:w="110" w:type="dxa"/>
              <w:bottom w:w="90" w:type="dxa"/>
              <w:end w:w="110" w:type="dxa"/>
            </w:tcMar>
          </w:tcPr>
          <w:p>
            <w:pPr>
              <w:spacing w:after="0" w:before="0"/>
            </w:pPr>
            <w:r>
              <w:rPr>
                <w:rFonts w:ascii="Aptos" w:hAnsi="Aptos"/>
                <w:sz w:val="17"/>
              </w:rPr>
              <w:t>Homepage should remain the primary generic owner; watch for cannibalization.</w:t>
            </w:r>
          </w:p>
        </w:tc>
      </w:tr>
      <w:tr>
        <w:tc>
          <w:tcPr>
            <w:tcW w:type="dxa" w:w="4032"/>
            <w:vAlign w:val="center"/>
            <w:tcMar>
              <w:top w:w="90" w:type="dxa"/>
              <w:start w:w="110" w:type="dxa"/>
              <w:bottom w:w="90" w:type="dxa"/>
              <w:end w:w="110" w:type="dxa"/>
            </w:tcMar>
          </w:tcPr>
          <w:p>
            <w:pPr>
              <w:spacing w:after="0" w:before="0"/>
            </w:pPr>
            <w:r>
              <w:rPr>
                <w:rFonts w:ascii="Aptos" w:hAnsi="Aptos"/>
                <w:sz w:val="17"/>
              </w:rPr>
              <w:t>15,000/20,000-word free queries</w:t>
            </w:r>
          </w:p>
        </w:tc>
        <w:tc>
          <w:tcPr>
            <w:tcW w:type="dxa" w:w="6048"/>
            <w:vAlign w:val="center"/>
            <w:tcMar>
              <w:top w:w="90" w:type="dxa"/>
              <w:start w:w="110" w:type="dxa"/>
              <w:bottom w:w="90" w:type="dxa"/>
              <w:end w:w="110" w:type="dxa"/>
            </w:tcMar>
          </w:tcPr>
          <w:p>
            <w:pPr>
              <w:spacing w:after="0" w:before="0"/>
            </w:pPr>
            <w:r>
              <w:rPr>
                <w:rFonts w:ascii="Aptos" w:hAnsi="Aptos"/>
                <w:sz w:val="17"/>
              </w:rPr>
              <w:t>Loss is acceptable and should not trigger reintroduction of false/obsolete offers.</w:t>
            </w:r>
          </w:p>
        </w:tc>
      </w:tr>
      <w:tr>
        <w:tc>
          <w:tcPr>
            <w:tcW w:type="dxa" w:w="4032"/>
            <w:vAlign w:val="center"/>
            <w:tcMar>
              <w:top w:w="90" w:type="dxa"/>
              <w:start w:w="110" w:type="dxa"/>
              <w:bottom w:w="90" w:type="dxa"/>
              <w:end w:w="110" w:type="dxa"/>
            </w:tcMar>
          </w:tcPr>
          <w:p>
            <w:pPr>
              <w:spacing w:after="0" w:before="0"/>
            </w:pPr>
            <w:r>
              <w:rPr>
                <w:rFonts w:ascii="Aptos" w:hAnsi="Aptos"/>
                <w:sz w:val="17"/>
              </w:rPr>
              <w:t>Relevant-query CTR</w:t>
            </w:r>
          </w:p>
        </w:tc>
        <w:tc>
          <w:tcPr>
            <w:tcW w:type="dxa" w:w="6048"/>
            <w:vAlign w:val="center"/>
            <w:tcMar>
              <w:top w:w="90" w:type="dxa"/>
              <w:start w:w="110" w:type="dxa"/>
              <w:bottom w:w="90" w:type="dxa"/>
              <w:end w:w="110" w:type="dxa"/>
            </w:tcMar>
          </w:tcPr>
          <w:p>
            <w:pPr>
              <w:spacing w:after="0" w:before="0"/>
            </w:pPr>
            <w:r>
              <w:rPr>
                <w:rFonts w:ascii="Aptos" w:hAnsi="Aptos"/>
                <w:sz w:val="17"/>
              </w:rPr>
              <w:t>Should improve as intent/message fit improves.</w:t>
            </w:r>
          </w:p>
        </w:tc>
      </w:tr>
      <w:tr>
        <w:tc>
          <w:tcPr>
            <w:tcW w:type="dxa" w:w="4032"/>
            <w:vAlign w:val="center"/>
            <w:tcMar>
              <w:top w:w="90" w:type="dxa"/>
              <w:start w:w="110" w:type="dxa"/>
              <w:bottom w:w="90" w:type="dxa"/>
              <w:end w:w="110" w:type="dxa"/>
            </w:tcMar>
          </w:tcPr>
          <w:p>
            <w:pPr>
              <w:spacing w:after="0" w:before="0"/>
            </w:pPr>
            <w:r>
              <w:rPr>
                <w:rFonts w:ascii="Aptos" w:hAnsi="Aptos"/>
                <w:sz w:val="17"/>
              </w:rPr>
              <w:t>Checker starts from Students</w:t>
            </w:r>
          </w:p>
        </w:tc>
        <w:tc>
          <w:tcPr>
            <w:tcW w:type="dxa" w:w="6048"/>
            <w:vAlign w:val="center"/>
            <w:tcMar>
              <w:top w:w="90" w:type="dxa"/>
              <w:start w:w="110" w:type="dxa"/>
              <w:bottom w:w="90" w:type="dxa"/>
              <w:end w:w="110" w:type="dxa"/>
            </w:tcMar>
          </w:tcPr>
          <w:p>
            <w:pPr>
              <w:spacing w:after="0" w:before="0"/>
            </w:pPr>
            <w:r>
              <w:rPr>
                <w:rFonts w:ascii="Aptos" w:hAnsi="Aptos"/>
                <w:sz w:val="17"/>
              </w:rPr>
              <w:t>Monitor as a primary product-action KPI.</w:t>
            </w:r>
          </w:p>
        </w:tc>
      </w:tr>
      <w:tr>
        <w:tc>
          <w:tcPr>
            <w:tcW w:type="dxa" w:w="4032"/>
            <w:vAlign w:val="center"/>
            <w:tcMar>
              <w:top w:w="90" w:type="dxa"/>
              <w:start w:w="110" w:type="dxa"/>
              <w:bottom w:w="90" w:type="dxa"/>
              <w:end w:w="110" w:type="dxa"/>
            </w:tcMar>
          </w:tcPr>
          <w:p>
            <w:pPr>
              <w:spacing w:after="0" w:before="0"/>
            </w:pPr>
            <w:r>
              <w:rPr>
                <w:rFonts w:ascii="Aptos" w:hAnsi="Aptos"/>
                <w:sz w:val="17"/>
              </w:rPr>
              <w:t>Registration / plan purchase from Students</w:t>
            </w:r>
          </w:p>
        </w:tc>
        <w:tc>
          <w:tcPr>
            <w:tcW w:type="dxa" w:w="6048"/>
            <w:vAlign w:val="center"/>
            <w:tcMar>
              <w:top w:w="90" w:type="dxa"/>
              <w:start w:w="110" w:type="dxa"/>
              <w:bottom w:w="90" w:type="dxa"/>
              <w:end w:w="110" w:type="dxa"/>
            </w:tcMar>
          </w:tcPr>
          <w:p>
            <w:pPr>
              <w:spacing w:after="0" w:before="0"/>
            </w:pPr>
            <w:r>
              <w:rPr>
                <w:rFonts w:ascii="Aptos" w:hAnsi="Aptos"/>
                <w:sz w:val="17"/>
              </w:rPr>
              <w:t>Monitor conversion quality; do not infer SEO success solely from paid-acquisition history.</w:t>
            </w:r>
          </w:p>
        </w:tc>
      </w:tr>
      <w:tr>
        <w:tc>
          <w:tcPr>
            <w:tcW w:type="dxa" w:w="4032"/>
            <w:vAlign w:val="center"/>
            <w:tcMar>
              <w:top w:w="90" w:type="dxa"/>
              <w:start w:w="110" w:type="dxa"/>
              <w:bottom w:w="90" w:type="dxa"/>
              <w:end w:w="110" w:type="dxa"/>
            </w:tcMar>
          </w:tcPr>
          <w:p>
            <w:pPr>
              <w:spacing w:after="0" w:before="0"/>
            </w:pPr>
            <w:r>
              <w:rPr>
                <w:rFonts w:ascii="Aptos" w:hAnsi="Aptos"/>
                <w:sz w:val="17"/>
              </w:rPr>
              <w:t>Homepage &lt;-&gt; Students overlap</w:t>
            </w:r>
          </w:p>
        </w:tc>
        <w:tc>
          <w:tcPr>
            <w:tcW w:type="dxa" w:w="6048"/>
            <w:vAlign w:val="center"/>
            <w:tcMar>
              <w:top w:w="90" w:type="dxa"/>
              <w:start w:w="110" w:type="dxa"/>
              <w:bottom w:w="90" w:type="dxa"/>
              <w:end w:w="110" w:type="dxa"/>
            </w:tcMar>
          </w:tcPr>
          <w:p>
            <w:pPr>
              <w:spacing w:after="0" w:before="0"/>
            </w:pPr>
            <w:r>
              <w:rPr>
                <w:rFonts w:ascii="Aptos" w:hAnsi="Aptos"/>
                <w:sz w:val="17"/>
              </w:rPr>
              <w:t>Should become clearer: generic vs student-qualified intent.</w:t>
            </w:r>
          </w:p>
        </w:tc>
      </w:tr>
    </w:tbl>
    <w:p>
      <w:pPr>
        <w:spacing w:after="120" w:line="252" w:lineRule="auto"/>
      </w:pPr>
    </w:p>
    <w:p>
      <w:pPr>
        <w:pStyle w:val="Heading1"/>
        <w:keepNext/>
        <w:spacing w:before="200" w:after="100"/>
      </w:pPr>
      <w:r>
        <w:t>19. DEFINITION OF DONE</w:t>
      </w:r>
    </w:p>
    <w:p>
      <w:pPr>
        <w:spacing w:after="120" w:line="252" w:lineRule="auto"/>
      </w:pPr>
      <w:r>
        <w:t>The page is ready for user review only when all of the following are true:</w:t>
      </w:r>
    </w:p>
    <w:p>
      <w:pPr>
        <w:pStyle w:val="ListBullet"/>
      </w:pPr>
      <w:r>
        <w:t>The existing /plagiarism-checker-for-students URL is preserved.</w:t>
      </w:r>
    </w:p>
    <w:p>
      <w:pPr>
        <w:pStyle w:val="ListBullet"/>
      </w:pPr>
      <w:r>
        <w:t>Exactly one visible H1 reads “Plagiarism Checker for Students.”</w:t>
      </w:r>
    </w:p>
    <w:p>
      <w:pPr>
        <w:pStyle w:val="ListBullet"/>
      </w:pPr>
      <w:r>
        <w:t>The real checker is functional above the fold and plagiarism remains primary.</w:t>
      </w:r>
    </w:p>
    <w:p>
      <w:pPr>
        <w:pStyle w:val="ListBullet"/>
      </w:pPr>
      <w:r>
        <w:t>The page unmistakably serves a student checking their own work before submission.</w:t>
      </w:r>
    </w:p>
    <w:p>
      <w:pPr>
        <w:pStyle w:val="ListBullet"/>
      </w:pPr>
      <w:r>
        <w:t>The canonical report evidence is truthful and makes match -&gt; source -&gt; context understandable.</w:t>
      </w:r>
    </w:p>
    <w:p>
      <w:pPr>
        <w:pStyle w:val="ListBullet"/>
      </w:pPr>
      <w:r>
        <w:t>“Similarity is not a plagiarism grade” is visibly communicated.</w:t>
      </w:r>
    </w:p>
    <w:p>
      <w:pPr>
        <w:pStyle w:val="ListBullet"/>
      </w:pPr>
      <w:r>
        <w:t>The student review workflow is present and does not imply automatic citation repair/rewriting.</w:t>
      </w:r>
    </w:p>
    <w:p>
      <w:pPr>
        <w:pStyle w:val="ListBullet"/>
      </w:pPr>
      <w:r>
        <w:t>Academic source/settings controls are accurate; reference/citation exclusions are understandable.</w:t>
      </w:r>
    </w:p>
    <w:p>
      <w:pPr>
        <w:pStyle w:val="ListBullet"/>
      </w:pPr>
      <w:r>
        <w:t>Data handling matches the approved document/report/storage lifecycle.</w:t>
      </w:r>
    </w:p>
    <w:p>
      <w:pPr>
        <w:pStyle w:val="ListBullet"/>
      </w:pPr>
      <w:r>
        <w:t>AI remains secondary and explicitly separate from plagiarism.</w:t>
      </w:r>
    </w:p>
    <w:p>
      <w:pPr>
        <w:pStyle w:val="ListBullet"/>
      </w:pPr>
      <w:r>
        <w:t>Only current confirmed free limits are used; no 15k/20k/unlimited offer remains.</w:t>
      </w:r>
    </w:p>
    <w:p>
      <w:pPr>
        <w:pStyle w:val="ListBullet"/>
      </w:pPr>
      <w:r>
        <w:t>No unsupported accuracy, originality, authenticity, security, speed, coverage or “safe percentage” claim is introduced.</w:t>
      </w:r>
    </w:p>
    <w:p>
      <w:pPr>
        <w:pStyle w:val="ListBullet"/>
      </w:pPr>
      <w:r>
        <w:t>The legacy full pricing matrix and generic feature-card filler are not reintroduced.</w:t>
      </w:r>
    </w:p>
    <w:p>
      <w:pPr>
        <w:pStyle w:val="ListBullet"/>
      </w:pPr>
      <w:r>
        <w:t>FAQ answers match the approved baseline and exist in rendered HTML.</w:t>
      </w:r>
    </w:p>
    <w:p>
      <w:pPr>
        <w:pStyle w:val="ListBullet"/>
      </w:pPr>
      <w:r>
        <w:t>All approved internal links use real destinations and no new SEO URL is invented.</w:t>
      </w:r>
    </w:p>
    <w:p>
      <w:pPr>
        <w:pStyle w:val="ListBullet"/>
      </w:pPr>
      <w:r>
        <w:t>Desktop/tablet/mobile preserve the same semantic hierarchy and functional checker/report experience.</w:t>
      </w:r>
    </w:p>
    <w:p>
      <w:pPr>
        <w:pStyle w:val="ListBullet"/>
      </w:pPr>
      <w:r>
        <w:t>No new SEC-* item has been registered in 33_Component_Library during implementation.</w:t>
      </w:r>
    </w:p>
    <w:p>
      <w:pPr>
        <w:pStyle w:val="Heading1"/>
        <w:keepNext/>
        <w:spacing w:before="200" w:after="100"/>
      </w:pPr>
      <w:r>
        <w:t>20. POST-IMPLEMENTATION REVIEW / LIBRARY GOVERNANCE</w:t>
      </w:r>
    </w:p>
    <w:p>
      <w:pPr>
        <w:spacing w:after="120" w:line="252" w:lineRule="auto"/>
      </w:pPr>
      <w:r>
        <w:t>After Claude produces the page, review it before treating any new visual pattern as reusable. The review should cover: strategy fidelity, exact-content fidelity, factual/claim QA, checker/report interaction, student-intent differentiation, responsive behavior, crawlable HTML/internal links, pricing/free-limit bindings and accessibility.</w:t>
      </w:r>
    </w:p>
    <w:p>
      <w:pPr>
        <w:spacing w:after="120" w:line="252" w:lineRule="auto"/>
      </w:pPr>
      <w:r>
        <w:t>Only after user approval should the project decide whether a successful student-specific visual treatment becomes a documented variant of SEC-HERO-01, SEC-WORKFLOW-01, SEC-CONTROL-01, another existing section, or a genuinely new reusable section. Do not update 33_Component_Library earlier.</w:t>
      </w:r>
    </w:p>
    <w:tbl>
      <w:tblPr>
        <w:tblStyle w:val="TableGrid"/>
        <w:tblW w:type="auto" w:w="0"/>
        <w:tblLook w:firstColumn="1" w:firstRow="1" w:lastColumn="0" w:lastRow="0" w:noHBand="0" w:noVBand="1" w:val="04A0"/>
      </w:tblPr>
      <w:tblGrid>
        <w:gridCol w:w="10166"/>
      </w:tblGrid>
      <w:tr>
        <w:tc>
          <w:tcPr>
            <w:tcW w:type="dxa" w:w="10166"/>
            <w:shd w:fill="EAF7F7"/>
            <w:tcMar>
              <w:top w:w="150" w:type="dxa"/>
              <w:start w:w="170" w:type="dxa"/>
              <w:bottom w:w="150" w:type="dxa"/>
              <w:end w:w="170" w:type="dxa"/>
            </w:tcMar>
          </w:tcPr>
          <w:p>
            <w:r>
              <w:rPr>
                <w:rFonts w:ascii="Aptos" w:hAnsi="Aptos"/>
                <w:b/>
                <w:color w:val="1F374E"/>
                <w:sz w:val="19"/>
              </w:rPr>
              <w:t>IMPLEMENTATION PRINCIPLE</w:t>
            </w:r>
          </w:p>
          <w:p>
            <w:pPr>
              <w:spacing w:after="40"/>
            </w:pPr>
            <w:r>
              <w:rPr>
                <w:rFonts w:ascii="Aptos" w:hAnsi="Aptos"/>
                <w:sz w:val="18"/>
              </w:rPr>
              <w:t>Do not make this page the checker that promises more. Make it the student page that helps the user understand more before submission.</w:t>
            </w:r>
          </w:p>
          <w:p>
            <w:pPr>
              <w:spacing w:after="40"/>
            </w:pPr>
            <w:r>
              <w:rPr>
                <w:rFonts w:ascii="Aptos" w:hAnsi="Aptos"/>
                <w:sz w:val="18"/>
              </w:rPr>
              <w:t>Real product evidence &gt; generic feature claims. Interpretation &gt; “originality” promises. Relevant intent &gt; legacy impression volume.</w:t>
            </w:r>
          </w:p>
        </w:tc>
      </w:tr>
    </w:tbl>
    <w:p>
      <w:pPr>
        <w:spacing w:after="120" w:line="252" w:lineRule="auto"/>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4"/>
      </w:rPr>
      <w:t>PlagiarismSearch SEO Recovery 2026 - EN Business &amp; Teams Claude Implementation Brief - 2026-09-15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374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F8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B344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37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4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PlagiarismSearch EN Students - Claude Implementation Brief</dc:title>
  <dc:subject>Implementation brief for /plagiarism-checker-for-students</dc:subject>
  <dc:creator>PlagiarismSearch SEO Recovery 2026</dc:creator>
  <cp:keywords>PlagiarismSearch, students, plagiarism checker, Claude implementation brief, SEO recovery</cp:keywords>
  <dc:description>generated by python-docx</dc:description>
  <cp:lastModifiedBy/>
  <cp:revision>1</cp:revision>
  <dcterms:created xsi:type="dcterms:W3CDTF">2013-12-23T23:15:00Z</dcterms:created>
  <dcterms:modified xsi:type="dcterms:W3CDTF">2013-12-23T23:15:00Z</dcterms:modified>
  <cp:category/>
</cp:coreProperties>
</file>