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DF3" w:rsidRDefault="00FF3DF3">
      <w:pPr>
        <w:rPr>
          <w:b/>
          <w:sz w:val="32"/>
        </w:rPr>
      </w:pPr>
      <w:r>
        <w:rPr>
          <w:b/>
          <w:sz w:val="32"/>
        </w:rPr>
        <w:t xml:space="preserve">Summary of Water Modeling of </w:t>
      </w:r>
      <w:proofErr w:type="spellStart"/>
      <w:r>
        <w:rPr>
          <w:b/>
          <w:sz w:val="32"/>
        </w:rPr>
        <w:t>Chlorpyrifos</w:t>
      </w:r>
      <w:proofErr w:type="spellEnd"/>
      <w:r>
        <w:rPr>
          <w:b/>
          <w:sz w:val="32"/>
        </w:rPr>
        <w:t xml:space="preserve"> and the User-Defined Water Body</w:t>
      </w:r>
    </w:p>
    <w:p w:rsidR="00FF3DF3" w:rsidRDefault="00FF3DF3">
      <w:r>
        <w:t xml:space="preserve">Estimated Environmental Concentrations for </w:t>
      </w:r>
      <w:proofErr w:type="spellStart"/>
      <w:r>
        <w:t>Chlorpyrifos</w:t>
      </w:r>
      <w:proofErr w:type="spellEnd"/>
      <w:r>
        <w:t xml:space="preserve"> are presented in Table 1 for the User-defined water body with the </w:t>
      </w:r>
      <w:proofErr w:type="spellStart"/>
      <w:r>
        <w:t>CAalmond_WirrigSTD</w:t>
      </w:r>
      <w:proofErr w:type="spellEnd"/>
      <w:r>
        <w:t xml:space="preserve"> field scenario. A graphical presentation of the year-to-year acute values is presented in Figure 1. These values were generated with the Pesticide Water Calculator (PWC), Version 1.59. Critical input values for the model are summarized in Tables 2 and 3.</w:t>
      </w:r>
    </w:p>
    <w:p w:rsidR="00FF3DF3" w:rsidRDefault="00FF3DF3">
      <w:r>
        <w:t xml:space="preserve">This model estimates that about 0.59% of </w:t>
      </w:r>
      <w:proofErr w:type="spellStart"/>
      <w:r>
        <w:t>Chlorpyrifos</w:t>
      </w:r>
      <w:proofErr w:type="spellEnd"/>
      <w:r>
        <w:t xml:space="preserve"> applied to the field eventually reaches the water body. The main mechanism of transport from the field to the water body is by runoff (89.9% of the total transport), followed by erosion (10.1%) and spray drift (0.01%).</w:t>
      </w:r>
    </w:p>
    <w:p w:rsidR="00FF3DF3" w:rsidRDefault="00FF3DF3">
      <w:bookmarkStart w:id="0" w:name="_GoBack"/>
      <w:r>
        <w:t>In the water body, pesticide dissipates with an effective water column half-life of 0.2 days. (This value does not include dissipation by transport to the benthic region; it includes only processes that result in removal of pesticide from the complete system.) The main source of dissipation in the water column is washout (effective average half-life = 0.2 days) followed by metabolism (238.8 days), volatilization (707.9 days), and photolysis (9327 days).</w:t>
      </w:r>
    </w:p>
    <w:p w:rsidR="00FF3DF3" w:rsidRDefault="00FF3DF3">
      <w:r>
        <w:t xml:space="preserve">In the benthic region, pesticide dissipates very slowly (530.8 days). The main source of dissipation in the benthic region is metabolism (effective average half-life = 530.8 days). The vast majority of the pesticide in the benthic region (99.85%) is </w:t>
      </w:r>
      <w:proofErr w:type="spellStart"/>
      <w:r>
        <w:t>sorbed</w:t>
      </w:r>
      <w:proofErr w:type="spellEnd"/>
      <w:r>
        <w:t xml:space="preserve"> to sediment rather than in the pore water.</w:t>
      </w:r>
    </w:p>
    <w:bookmarkEnd w:id="0"/>
    <w:p w:rsidR="00FF3DF3" w:rsidRDefault="00FF3DF3" w:rsidP="00FF3DF3">
      <w:pPr>
        <w:spacing w:after="80"/>
      </w:pPr>
    </w:p>
    <w:p w:rsidR="00FF3DF3" w:rsidRPr="00FF3DF3" w:rsidRDefault="00FF3DF3" w:rsidP="00FF3DF3">
      <w:pPr>
        <w:spacing w:after="80"/>
        <w:rPr>
          <w:b/>
        </w:rPr>
      </w:pPr>
      <w:r w:rsidRPr="00FF3DF3">
        <w:rPr>
          <w:b/>
        </w:rPr>
        <w:t xml:space="preserve">Table 1. Estimated Environmental Concentrations (ppb) for </w:t>
      </w:r>
      <w:proofErr w:type="spellStart"/>
      <w:r w:rsidRPr="00FF3DF3">
        <w:rPr>
          <w:b/>
        </w:rPr>
        <w:t>Chlorpyrifos</w:t>
      </w:r>
      <w:proofErr w:type="spellEnd"/>
      <w:r w:rsidRPr="00FF3DF3">
        <w:rPr>
          <w:b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</w:tblGrid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 w:rsidRPr="00FF3DF3">
              <w:t xml:space="preserve">1-day </w:t>
            </w:r>
            <w:proofErr w:type="spellStart"/>
            <w:r w:rsidRPr="00FF3DF3">
              <w:t>Avg</w:t>
            </w:r>
            <w:proofErr w:type="spellEnd"/>
            <w:r w:rsidRPr="00FF3DF3">
              <w:t xml:space="preserve"> (1-in-10 </w:t>
            </w:r>
            <w:proofErr w:type="spellStart"/>
            <w:r w:rsidRPr="00FF3DF3">
              <w:t>yr</w:t>
            </w:r>
            <w:proofErr w:type="spellEnd"/>
            <w:r w:rsidRPr="00FF3DF3">
              <w:t>)</w:t>
            </w:r>
          </w:p>
        </w:tc>
        <w:tc>
          <w:tcPr>
            <w:tcW w:w="144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 w:rsidRPr="00FF3DF3">
              <w:t>62.9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 w:rsidRPr="00FF3DF3">
              <w:t xml:space="preserve">4-day </w:t>
            </w:r>
            <w:proofErr w:type="spellStart"/>
            <w:r w:rsidRPr="00FF3DF3">
              <w:t>Avg</w:t>
            </w:r>
            <w:proofErr w:type="spellEnd"/>
            <w:r w:rsidRPr="00FF3DF3">
              <w:t xml:space="preserve"> (1-in-10 </w:t>
            </w:r>
            <w:proofErr w:type="spellStart"/>
            <w:r w:rsidRPr="00FF3DF3">
              <w:t>yr</w:t>
            </w:r>
            <w:proofErr w:type="spellEnd"/>
            <w:r w:rsidRPr="00FF3DF3">
              <w:t>)</w:t>
            </w:r>
          </w:p>
        </w:tc>
        <w:tc>
          <w:tcPr>
            <w:tcW w:w="144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 w:rsidRPr="00FF3DF3">
              <w:t>17.4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 w:rsidRPr="00FF3DF3">
              <w:t xml:space="preserve">21-day </w:t>
            </w:r>
            <w:proofErr w:type="spellStart"/>
            <w:r w:rsidRPr="00FF3DF3">
              <w:t>Avg</w:t>
            </w:r>
            <w:proofErr w:type="spellEnd"/>
            <w:r w:rsidRPr="00FF3DF3">
              <w:t xml:space="preserve"> (1-in-10 </w:t>
            </w:r>
            <w:proofErr w:type="spellStart"/>
            <w:r w:rsidRPr="00FF3DF3">
              <w:t>yr</w:t>
            </w:r>
            <w:proofErr w:type="spellEnd"/>
            <w:r w:rsidRPr="00FF3DF3">
              <w:t>)</w:t>
            </w:r>
          </w:p>
        </w:tc>
        <w:tc>
          <w:tcPr>
            <w:tcW w:w="144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 w:rsidRPr="00FF3DF3">
              <w:t>4.87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 w:rsidRPr="00FF3DF3">
              <w:t xml:space="preserve">60-day </w:t>
            </w:r>
            <w:proofErr w:type="spellStart"/>
            <w:r w:rsidRPr="00FF3DF3">
              <w:t>Avg</w:t>
            </w:r>
            <w:proofErr w:type="spellEnd"/>
            <w:r w:rsidRPr="00FF3DF3">
              <w:t xml:space="preserve"> (1-in-10 </w:t>
            </w:r>
            <w:proofErr w:type="spellStart"/>
            <w:r w:rsidRPr="00FF3DF3">
              <w:t>yr</w:t>
            </w:r>
            <w:proofErr w:type="spellEnd"/>
            <w:r w:rsidRPr="00FF3DF3">
              <w:t>)</w:t>
            </w:r>
          </w:p>
        </w:tc>
        <w:tc>
          <w:tcPr>
            <w:tcW w:w="144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 w:rsidRPr="00FF3DF3">
              <w:t>2.22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 w:rsidRPr="00FF3DF3">
              <w:t xml:space="preserve">365-day </w:t>
            </w:r>
            <w:proofErr w:type="spellStart"/>
            <w:r w:rsidRPr="00FF3DF3">
              <w:t>Avg</w:t>
            </w:r>
            <w:proofErr w:type="spellEnd"/>
            <w:r w:rsidRPr="00FF3DF3">
              <w:t xml:space="preserve"> (1-in-10 </w:t>
            </w:r>
            <w:proofErr w:type="spellStart"/>
            <w:r w:rsidRPr="00FF3DF3">
              <w:t>yr</w:t>
            </w:r>
            <w:proofErr w:type="spellEnd"/>
            <w:r w:rsidRPr="00FF3DF3">
              <w:t>)</w:t>
            </w:r>
          </w:p>
        </w:tc>
        <w:tc>
          <w:tcPr>
            <w:tcW w:w="144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 w:rsidRPr="00FF3DF3">
              <w:t>0.677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 w:rsidRPr="00FF3DF3">
              <w:t>Entire Simulation Mean</w:t>
            </w:r>
          </w:p>
        </w:tc>
        <w:tc>
          <w:tcPr>
            <w:tcW w:w="144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 w:rsidRPr="00FF3DF3">
              <w:t>0.488</w:t>
            </w:r>
          </w:p>
        </w:tc>
      </w:tr>
    </w:tbl>
    <w:p w:rsidR="00FF3DF3" w:rsidRDefault="00FF3DF3" w:rsidP="00FF3DF3">
      <w:pPr>
        <w:spacing w:after="80"/>
        <w:rPr>
          <w:b/>
        </w:rPr>
      </w:pPr>
    </w:p>
    <w:p w:rsidR="00FF3DF3" w:rsidRPr="00FF3DF3" w:rsidRDefault="00FF3DF3" w:rsidP="00FF3DF3">
      <w:pPr>
        <w:spacing w:after="80"/>
        <w:rPr>
          <w:b/>
        </w:rPr>
      </w:pPr>
      <w:r w:rsidRPr="00FF3DF3">
        <w:rPr>
          <w:b/>
        </w:rPr>
        <w:t xml:space="preserve">Table 2. Summary of Model Inputs for </w:t>
      </w:r>
      <w:proofErr w:type="spellStart"/>
      <w:r w:rsidRPr="00FF3DF3">
        <w:rPr>
          <w:b/>
        </w:rPr>
        <w:t>Chlorpyrifos</w:t>
      </w:r>
      <w:proofErr w:type="spellEnd"/>
      <w:r w:rsidRPr="00FF3DF3">
        <w:rPr>
          <w:b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880"/>
      </w:tblGrid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Scenario</w:t>
            </w:r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proofErr w:type="spellStart"/>
            <w:r>
              <w:t>CAalmond_WirrigSTD</w:t>
            </w:r>
            <w:proofErr w:type="spellEnd"/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Cropped Area Fraction</w:t>
            </w:r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1.0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proofErr w:type="spellStart"/>
            <w:r>
              <w:t>Koc</w:t>
            </w:r>
            <w:proofErr w:type="spellEnd"/>
            <w:r>
              <w:t xml:space="preserve"> (ml/g)</w:t>
            </w:r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6040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Water Half-Life (days) @ 25 °C</w:t>
            </w:r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91.2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Benthic Half-Life (days) @ 25 °C</w:t>
            </w:r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202.7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Photolysis Half-Life (days) @ 40 °</w:t>
            </w:r>
            <w:proofErr w:type="spellStart"/>
            <w:r>
              <w:t>Lat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29.6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lastRenderedPageBreak/>
              <w:t>Hydrolysis Half-Life (days)</w:t>
            </w:r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0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Soil Half-Life (days) @ 25 °C</w:t>
            </w:r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170.6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Foliar Half-Life (days)</w:t>
            </w:r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35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Molecular Weight</w:t>
            </w:r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350.57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Vapor Pressure (</w:t>
            </w:r>
            <w:proofErr w:type="spellStart"/>
            <w:r>
              <w:t>torr</w:t>
            </w:r>
            <w:proofErr w:type="spellEnd"/>
            <w:r>
              <w:t>)</w:t>
            </w:r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1.87E-05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Solubility (mg/l)</w:t>
            </w:r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1.4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Henry's Constant</w:t>
            </w:r>
          </w:p>
        </w:tc>
        <w:tc>
          <w:tcPr>
            <w:tcW w:w="2880" w:type="dxa"/>
            <w:shd w:val="clear" w:color="auto" w:fill="auto"/>
          </w:tcPr>
          <w:p w:rsidR="00FF3DF3" w:rsidRPr="00FF3DF3" w:rsidRDefault="00FF3DF3" w:rsidP="00FF3DF3">
            <w:pPr>
              <w:spacing w:after="120"/>
            </w:pPr>
            <w:r>
              <w:t>0.000252</w:t>
            </w:r>
          </w:p>
        </w:tc>
      </w:tr>
    </w:tbl>
    <w:p w:rsidR="00FF3DF3" w:rsidRDefault="00FF3DF3" w:rsidP="00FF3DF3">
      <w:pPr>
        <w:spacing w:after="80"/>
        <w:rPr>
          <w:b/>
        </w:rPr>
      </w:pPr>
    </w:p>
    <w:p w:rsidR="00FF3DF3" w:rsidRPr="00FF3DF3" w:rsidRDefault="00FF3DF3" w:rsidP="00FF3DF3">
      <w:pPr>
        <w:spacing w:after="80"/>
        <w:rPr>
          <w:b/>
        </w:rPr>
      </w:pPr>
      <w:r w:rsidRPr="00FF3DF3">
        <w:rPr>
          <w:b/>
        </w:rPr>
        <w:t xml:space="preserve">Table 3. Application Schedule for </w:t>
      </w:r>
      <w:proofErr w:type="spellStart"/>
      <w:r w:rsidRPr="00FF3DF3">
        <w:rPr>
          <w:b/>
        </w:rPr>
        <w:t>Chlorpyrifos</w:t>
      </w:r>
      <w:proofErr w:type="spellEnd"/>
      <w:r w:rsidRPr="00FF3DF3">
        <w:rPr>
          <w:b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Date (Days Since Emergence)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Type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Amount (kg/ha)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Eff.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Drift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2.24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0.02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16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6.72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0.02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26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2.24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0.02</w:t>
            </w:r>
          </w:p>
        </w:tc>
      </w:tr>
      <w:tr w:rsidR="00FF3DF3" w:rsidRPr="00FF3DF3" w:rsidTr="00FF3DF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210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2.24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FF3DF3" w:rsidRPr="00FF3DF3" w:rsidRDefault="00FF3DF3" w:rsidP="00FF3DF3">
            <w:pPr>
              <w:spacing w:after="80"/>
            </w:pPr>
            <w:r>
              <w:t>0.02</w:t>
            </w:r>
          </w:p>
        </w:tc>
      </w:tr>
    </w:tbl>
    <w:p w:rsidR="00FF3DF3" w:rsidRDefault="00FF3DF3" w:rsidP="00FF3DF3">
      <w:pPr>
        <w:spacing w:after="80"/>
        <w:rPr>
          <w:b/>
        </w:rPr>
      </w:pPr>
    </w:p>
    <w:p w:rsidR="00FF3DF3" w:rsidRDefault="00FF3DF3" w:rsidP="00FF3DF3">
      <w:pPr>
        <w:spacing w:after="80"/>
        <w:rPr>
          <w:b/>
        </w:rPr>
      </w:pPr>
      <w:r w:rsidRPr="00FF3DF3">
        <w:rPr>
          <w:b/>
        </w:rPr>
        <w:t>Figure 1. Yearly Highest 1-day Average Concentrations</w:t>
      </w:r>
    </w:p>
    <w:p w:rsidR="00FF3DF3" w:rsidRPr="00FF3DF3" w:rsidRDefault="00FF3DF3" w:rsidP="00FF3DF3">
      <w:pPr>
        <w:spacing w:after="80"/>
        <w:rPr>
          <w:b/>
        </w:rPr>
      </w:pPr>
      <w:r>
        <w:rPr>
          <w:noProof/>
        </w:rPr>
        <w:lastRenderedPageBreak/>
        <w:drawing>
          <wp:inline distT="0" distB="0" distL="0" distR="0" wp14:anchorId="6BF969B5" wp14:editId="79F47873">
            <wp:extent cx="5943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DF3" w:rsidRPr="00FF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F3"/>
    <w:rsid w:val="000D3139"/>
    <w:rsid w:val="00747898"/>
    <w:rsid w:val="00BD3512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CF13B-26F3-4AE2-955F-3D616B0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Sinnathamby, Sumathy</dc:creator>
  <cp:keywords/>
  <dc:description/>
  <cp:lastModifiedBy>Sinnathamby, Sumathy</cp:lastModifiedBy>
  <cp:revision>1</cp:revision>
  <dcterms:created xsi:type="dcterms:W3CDTF">2017-09-01T14:36:00Z</dcterms:created>
  <dcterms:modified xsi:type="dcterms:W3CDTF">2017-09-01T15:13:00Z</dcterms:modified>
</cp:coreProperties>
</file>