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2F5A"/>
          <w:sz w:val="28"/>
        </w:rPr>
        <w:t>VNR Vignana Jyothi Institute of Engineering &amp; Technology</w:t>
      </w:r>
    </w:p>
    <w:p>
      <w:pPr>
        <w:spacing w:after="160"/>
        <w:jc w:val="center"/>
      </w:pPr>
      <w:r>
        <w:rPr>
          <w:rFonts w:ascii="Calibri" w:hAnsi="Calibri"/>
          <w:color w:val="444444"/>
          <w:sz w:val="22"/>
        </w:rPr>
        <w:t>Daily Report  |  01 April 2026</w:t>
      </w:r>
    </w:p>
    <w:p>
      <w:pPr>
        <w:spacing w:before="0" w:after="160"/>
        <w:pBdr>
          <w:bottom w:val="single" w:sz="12" w:space="1" w:color="1A2F5A"/>
        </w:pBdr>
      </w:pPr>
    </w:p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1.  Staff Attendance Report (Department-wise)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12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12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Teaching</w:t>
            </w:r>
          </w:p>
        </w:tc>
        <w:tc>
          <w:tcPr>
            <w:tcW w:type="dxa" w:w="12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Non-Teaching</w:t>
            </w:r>
          </w:p>
        </w:tc>
        <w:tc>
          <w:tcPr>
            <w:tcW w:type="dxa" w:w="12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On Rolls</w:t>
            </w:r>
          </w:p>
        </w:tc>
        <w:tc>
          <w:tcPr>
            <w:tcW w:type="dxa" w:w="12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Absent</w:t>
            </w:r>
          </w:p>
        </w:tc>
        <w:tc>
          <w:tcPr>
            <w:tcW w:type="dxa" w:w="12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Present</w:t>
            </w:r>
          </w:p>
        </w:tc>
        <w:tc>
          <w:tcPr>
            <w:tcW w:type="dxa" w:w="12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Attendance %</w:t>
            </w:r>
          </w:p>
        </w:tc>
      </w:tr>
      <w:tr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Automobile Engineering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92.6%</w:t>
            </w:r>
          </w:p>
        </w:tc>
      </w:tr>
      <w:tr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CSE - (CyS, DS) and AI&amp;DS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69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82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73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89.0%</w:t>
            </w:r>
          </w:p>
        </w:tc>
      </w:tr>
      <w:tr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CSE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62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72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96.0%</w:t>
            </w:r>
          </w:p>
        </w:tc>
      </w:tr>
      <w:tr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CSE- (AIML &amp; IoT), R&amp;AI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63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87.3%</w:t>
            </w:r>
          </w:p>
        </w:tc>
      </w:tr>
      <w:tr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Civil Engineering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97.4%</w:t>
            </w:r>
          </w:p>
        </w:tc>
      </w:tr>
      <w:tr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Chemistry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82.6%</w:t>
            </w:r>
          </w:p>
        </w:tc>
      </w:tr>
      <w:tr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MTP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87.5%</w:t>
            </w:r>
          </w:p>
        </w:tc>
      </w:tr>
      <w:tr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ECE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68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65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95.6%</w:t>
            </w:r>
          </w:p>
        </w:tc>
      </w:tr>
      <w:tr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EEE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94.0%</w:t>
            </w:r>
          </w:p>
        </w:tc>
      </w:tr>
      <w:tr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EIE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96.9%</w:t>
            </w:r>
          </w:p>
        </w:tc>
      </w:tr>
      <w:tr>
        <w:tc>
          <w:tcPr>
            <w:tcW w:type="dxa" w:w="1233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1233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233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369</w:t>
            </w:r>
          </w:p>
        </w:tc>
        <w:tc>
          <w:tcPr>
            <w:tcW w:type="dxa" w:w="1233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79</w:t>
            </w:r>
          </w:p>
        </w:tc>
        <w:tc>
          <w:tcPr>
            <w:tcW w:type="dxa" w:w="1233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467</w:t>
            </w:r>
          </w:p>
        </w:tc>
        <w:tc>
          <w:tcPr>
            <w:tcW w:type="dxa" w:w="1233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35</w:t>
            </w:r>
          </w:p>
        </w:tc>
        <w:tc>
          <w:tcPr>
            <w:tcW w:type="dxa" w:w="1233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432</w:t>
            </w:r>
          </w:p>
        </w:tc>
        <w:tc>
          <w:tcPr>
            <w:tcW w:type="dxa" w:w="1233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92.5%</w:t>
            </w:r>
          </w:p>
        </w:tc>
      </w:tr>
    </w:tbl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2.  Department Highlights — Events &amp; Activities</w:t>
      </w:r>
    </w:p>
    <w:p>
      <w:pPr>
        <w:spacing w:before="160" w:after="60"/>
        <w:ind w:left="113"/>
      </w:pPr>
      <w:r>
        <w:rPr>
          <w:rFonts w:ascii="Calibri" w:hAnsi="Calibri"/>
          <w:color w:val="277D4E"/>
          <w:sz w:val="20"/>
        </w:rPr>
        <w:t xml:space="preserve">▎ </w:t>
      </w:r>
      <w:r>
        <w:rPr>
          <w:rFonts w:ascii="Calibri" w:hAnsi="Calibri"/>
          <w:b/>
          <w:color w:val="1A2F5A"/>
          <w:sz w:val="20"/>
        </w:rPr>
        <w:t>CHEMISTRY</w:t>
      </w:r>
    </w:p>
    <w:p>
      <w:pPr>
        <w:spacing w:before="80" w:after="40"/>
        <w:ind w:left="283"/>
      </w:pPr>
      <w:r>
        <w:rPr>
          <w:rFonts w:ascii="Calibri" w:hAnsi="Calibri"/>
          <w:b/>
          <w:color w:val="2E5090"/>
          <w:sz w:val="18"/>
        </w:rPr>
        <w:t>● Faculty Development Program (Fdp) on Role of Artificial Intelligence in Drug Discovery</w:t>
      </w:r>
      <w:r>
        <w:rPr>
          <w:rFonts w:ascii="Calibri" w:hAnsi="Calibri"/>
          <w:b/>
          <w:color w:val="C0392B"/>
          <w:sz w:val="16"/>
        </w:rPr>
        <w:t xml:space="preserve">  [HIGH]</w:t>
      </w:r>
    </w:p>
    <w:p>
      <w:pPr>
        <w:spacing w:before="0" w:after="40"/>
        <w:ind w:left="567"/>
      </w:pPr>
      <w:r>
        <w:rPr>
          <w:rFonts w:ascii="Calibri" w:hAnsi="Calibri"/>
          <w:i/>
          <w:color w:val="666666"/>
          <w:sz w:val="16"/>
        </w:rPr>
        <w:t>Date: 30th March 2026 to 4th April 2026  Duration: 6 days (6pm to 8pm daily)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The Department of Chemistry is conducting a Faculty Development Program (FDP) on the topic “Role of Artificial Intelligence in Drug Discovery” from March 30, 2026 to April 4, 2026, from 6pm to 8pm.</w:t>
      </w:r>
    </w:p>
    <w:p>
      <w:pPr>
        <w:spacing w:before="160" w:after="60"/>
        <w:ind w:left="113"/>
      </w:pPr>
      <w:r>
        <w:rPr>
          <w:rFonts w:ascii="Calibri" w:hAnsi="Calibri"/>
          <w:color w:val="277D4E"/>
          <w:sz w:val="20"/>
        </w:rPr>
        <w:t xml:space="preserve">▎ </w:t>
      </w:r>
      <w:r>
        <w:rPr>
          <w:rFonts w:ascii="Calibri" w:hAnsi="Calibri"/>
          <w:b/>
          <w:color w:val="1A2F5A"/>
          <w:sz w:val="20"/>
        </w:rPr>
        <w:t>ELECTRONICS &amp; INSTRUMENTATION ENGINEERING</w:t>
      </w:r>
    </w:p>
    <w:p>
      <w:pPr>
        <w:spacing w:before="40" w:after="80"/>
        <w:ind w:left="283"/>
      </w:pPr>
      <w:r>
        <w:rPr>
          <w:rFonts w:ascii="Calibri" w:hAnsi="Calibri"/>
          <w:b/>
          <w:color w:val="1A2F5A"/>
          <w:sz w:val="18"/>
        </w:rPr>
        <w:t xml:space="preserve">• </w:t>
      </w:r>
      <w:r>
        <w:rPr>
          <w:rFonts w:ascii="Calibri" w:hAnsi="Calibri"/>
          <w:color w:val="333333"/>
          <w:sz w:val="18"/>
        </w:rPr>
        <w:t>Mr.S.Bhargav, Asst.Professor,EIE has published a Patent with the title “LADDER”, on 01-04-2026.</w:t>
      </w:r>
    </w:p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3.  Participation by Staff &amp; Students (External)</w:t>
      </w:r>
    </w:p>
    <w:p>
      <w:pPr>
        <w:spacing w:before="120" w:after="40"/>
      </w:pPr>
      <w:r>
        <w:rPr>
          <w:rFonts w:ascii="Calibri" w:hAnsi="Calibri"/>
          <w:b/>
          <w:color w:val="2E5090"/>
          <w:sz w:val="20"/>
        </w:rPr>
        <w:t>Staff Participation</w:t>
      </w:r>
    </w:p>
    <w:p>
      <w:pPr>
        <w:spacing w:before="40" w:after="40"/>
        <w:ind w:left="283"/>
      </w:pPr>
      <w:r>
        <w:rPr>
          <w:rFonts w:ascii="Calibri" w:hAnsi="Calibri"/>
          <w:b/>
          <w:color w:val="1A2F5A"/>
          <w:sz w:val="18"/>
        </w:rPr>
        <w:t>● Prof. C. Jyotsna</w:t>
      </w:r>
      <w:r>
        <w:rPr>
          <w:rFonts w:ascii="Calibri" w:hAnsi="Calibri"/>
          <w:color w:val="333333"/>
          <w:sz w:val="18"/>
        </w:rPr>
        <w:t xml:space="preserve">  — Chemistry, Paper Presenter, at "8Th International Conference on Emerging Business Models", (31st March- 1st April 2026)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Prof. C. Jyotsna attended the 8th International Conference on “ Emerging Business Models” at VJIM and presented a paper on “ Smart Learning environments for student centric education through AI tools- Opportunities and Challenges”.</w:t>
      </w:r>
    </w:p>
    <w:p>
      <w:pPr>
        <w:spacing w:before="80" w:after="40"/>
        <w:ind w:left="283"/>
      </w:pPr>
      <w:r>
        <w:rPr>
          <w:rFonts w:ascii="Calibri" w:hAnsi="Calibri"/>
          <w:b/>
          <w:color w:val="2E5090"/>
          <w:sz w:val="18"/>
        </w:rPr>
        <w:t>● Workshop on Writing R&amp;D Grant Proposal</w:t>
      </w:r>
      <w:r>
        <w:rPr>
          <w:rFonts w:ascii="Calibri" w:hAnsi="Calibri"/>
          <w:i/>
          <w:color w:val="666666"/>
          <w:sz w:val="16"/>
        </w:rPr>
        <w:t xml:space="preserve">  (01-04-2026)</w:t>
      </w:r>
    </w:p>
    <w:p>
      <w:pPr>
        <w:spacing w:before="20" w:after="20"/>
        <w:ind w:left="567"/>
      </w:pPr>
      <w:r>
        <w:rPr>
          <w:rFonts w:ascii="Calibri" w:hAnsi="Calibri"/>
          <w:color w:val="333333"/>
          <w:sz w:val="18"/>
        </w:rPr>
        <w:t>- Dr Lakshmi Viveka (Chemistry) — Attendee</w:t>
      </w:r>
    </w:p>
    <w:p>
      <w:pPr>
        <w:spacing w:before="20" w:after="20"/>
        <w:ind w:left="567"/>
      </w:pPr>
      <w:r>
        <w:rPr>
          <w:rFonts w:ascii="Calibri" w:hAnsi="Calibri"/>
          <w:color w:val="333333"/>
          <w:sz w:val="18"/>
        </w:rPr>
        <w:t>- Dr. G. Vijaya Kumar (ECE) — Attendee</w:t>
      </w:r>
    </w:p>
    <w:p>
      <w:pPr>
        <w:spacing w:before="20" w:after="20"/>
        <w:ind w:left="567"/>
      </w:pPr>
      <w:r>
        <w:rPr>
          <w:rFonts w:ascii="Calibri" w:hAnsi="Calibri"/>
          <w:color w:val="333333"/>
          <w:sz w:val="18"/>
        </w:rPr>
        <w:t>- Dr. V. Sagar Reddy (ECE) — Attendee</w:t>
      </w:r>
    </w:p>
    <w:p>
      <w:pPr>
        <w:spacing w:before="20" w:after="20"/>
        <w:ind w:left="567"/>
      </w:pPr>
      <w:r>
        <w:rPr>
          <w:rFonts w:ascii="Calibri" w:hAnsi="Calibri"/>
          <w:color w:val="333333"/>
          <w:sz w:val="18"/>
        </w:rPr>
        <w:t>- Dr. B. B. Shabarinath (ECE) — Attendee</w:t>
      </w:r>
    </w:p>
    <w:p>
      <w:pPr>
        <w:spacing w:before="80" w:after="40"/>
        <w:ind w:left="283"/>
      </w:pPr>
      <w:r>
        <w:rPr>
          <w:rFonts w:ascii="Calibri" w:hAnsi="Calibri"/>
          <w:b/>
          <w:color w:val="2E5090"/>
          <w:sz w:val="18"/>
        </w:rPr>
        <w:t>● Workshop on Writing R&amp;D Grant Proposal</w:t>
      </w:r>
      <w:r>
        <w:rPr>
          <w:rFonts w:ascii="Calibri" w:hAnsi="Calibri"/>
          <w:i/>
          <w:color w:val="666666"/>
          <w:sz w:val="16"/>
        </w:rPr>
        <w:t xml:space="preserve">  (31-03-2026)</w:t>
      </w:r>
    </w:p>
    <w:p>
      <w:pPr>
        <w:spacing w:before="20" w:after="20"/>
        <w:ind w:left="567"/>
      </w:pPr>
      <w:r>
        <w:rPr>
          <w:rFonts w:ascii="Calibri" w:hAnsi="Calibri"/>
          <w:color w:val="333333"/>
          <w:sz w:val="18"/>
        </w:rPr>
        <w:t>- Dr.R.Geshma Kumari (EEE) — Participant</w:t>
      </w:r>
    </w:p>
    <w:p>
      <w:pPr>
        <w:spacing w:before="20" w:after="20"/>
        <w:ind w:left="567"/>
      </w:pPr>
      <w:r>
        <w:rPr>
          <w:rFonts w:ascii="Calibri" w:hAnsi="Calibri"/>
          <w:color w:val="333333"/>
          <w:sz w:val="18"/>
        </w:rPr>
        <w:t>- K.Sravani (EEE) — Participant</w:t>
      </w:r>
    </w:p>
    <w:p>
      <w:pPr>
        <w:spacing w:before="120" w:after="40"/>
      </w:pPr>
      <w:r>
        <w:rPr>
          <w:rFonts w:ascii="Calibri" w:hAnsi="Calibri"/>
          <w:b/>
          <w:color w:val="2E5090"/>
          <w:sz w:val="20"/>
        </w:rPr>
        <w:t>Student Participation</w:t>
      </w:r>
    </w:p>
    <w:p>
      <w:pPr>
        <w:spacing w:before="40" w:after="40"/>
        <w:ind w:left="283"/>
      </w:pPr>
      <w:r>
        <w:rPr>
          <w:rFonts w:ascii="Calibri" w:hAnsi="Calibri"/>
          <w:b/>
          <w:color w:val="1A2F5A"/>
          <w:sz w:val="18"/>
        </w:rPr>
        <w:t>● CSE_AIML &amp; IoT, II-Year Students</w:t>
      </w:r>
      <w:r>
        <w:rPr>
          <w:rFonts w:ascii="Calibri" w:hAnsi="Calibri"/>
          <w:color w:val="333333"/>
          <w:sz w:val="18"/>
        </w:rPr>
        <w:t xml:space="preserve">  — CSE- (AIML &amp; IoT), R&amp;AI, — Attending, at "Smart Interviews Training", (01-04-2026)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CSE_AIML &amp; IoT, II-Year Students are attending Smart Interviews Training.</w:t>
      </w:r>
    </w:p>
    <w:p>
      <w:pPr>
        <w:spacing w:before="40" w:after="40"/>
        <w:ind w:left="283"/>
      </w:pPr>
      <w:r>
        <w:rPr>
          <w:rFonts w:ascii="Calibri" w:hAnsi="Calibri"/>
          <w:b/>
          <w:color w:val="1A2F5A"/>
          <w:sz w:val="18"/>
        </w:rPr>
        <w:t>● CSE_AIML &amp; IoT, II-Year Students</w:t>
      </w:r>
      <w:r>
        <w:rPr>
          <w:rFonts w:ascii="Calibri" w:hAnsi="Calibri"/>
          <w:color w:val="333333"/>
          <w:sz w:val="18"/>
        </w:rPr>
        <w:t xml:space="preserve">  — CSE- (AIML &amp; IoT), R&amp;AI, — Attending, at "Cyber Security Training", (01-04-2026)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CSE_AIML &amp; IoT, II-Year Students are attending Cyber Security Training.</w:t>
      </w:r>
    </w:p>
    <w:p>
      <w:pPr>
        <w:spacing w:before="40" w:after="40"/>
        <w:ind w:left="283"/>
      </w:pPr>
      <w:r>
        <w:rPr>
          <w:rFonts w:ascii="Calibri" w:hAnsi="Calibri"/>
          <w:b/>
          <w:color w:val="1A2F5A"/>
          <w:sz w:val="18"/>
        </w:rPr>
        <w:t>● CSE_AIML &amp; IoT, II-Year Students</w:t>
      </w:r>
      <w:r>
        <w:rPr>
          <w:rFonts w:ascii="Calibri" w:hAnsi="Calibri"/>
          <w:color w:val="333333"/>
          <w:sz w:val="18"/>
        </w:rPr>
        <w:t xml:space="preserve">  — CSE- (AIML &amp; IoT), R&amp;AI, — Attending, at "Data Analytics Training", (01-04-2026)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CSE_AIML &amp; IoT, II-Year Students are attending Data Analytics Training.</w:t>
      </w:r>
    </w:p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4.  Classwork Adjustments / Lecture Interchange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328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328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Number of Adjustments</w:t>
            </w:r>
          </w:p>
        </w:tc>
      </w:tr>
      <w:tr>
        <w:tc>
          <w:tcPr>
            <w:tcW w:type="dxa" w:w="328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28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AE</w:t>
            </w:r>
          </w:p>
        </w:tc>
        <w:tc>
          <w:tcPr>
            <w:tcW w:type="dxa" w:w="328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328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28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CSE-(CYS,DS) AND AI&amp;DS</w:t>
            </w:r>
          </w:p>
        </w:tc>
        <w:tc>
          <w:tcPr>
            <w:tcW w:type="dxa" w:w="328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999999"/>
          <w:sz w:val="16"/>
        </w:rPr>
        <w:t>Consolidated by AI  |  VNRVJIET Principal's Office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