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99D14">
      <w:pPr>
        <w:jc w:val="left"/>
      </w:pPr>
      <w:r>
        <w:rPr>
          <w:rFonts w:ascii="Calibri" w:hAnsi="Calibri" w:eastAsia="Calibri"/>
          <w:b/>
          <w:i w:val="0"/>
          <w:color w:val="1B3A4B"/>
          <w:sz w:val="44"/>
        </w:rPr>
        <w:t>POLARIS</w:t>
      </w:r>
    </w:p>
    <w:p w14:paraId="20CD62B2">
      <w:r>
        <w:rPr>
          <w:rFonts w:ascii="Calibri" w:hAnsi="Calibri" w:eastAsia="Calibri"/>
          <w:b/>
          <w:i w:val="0"/>
          <w:color w:val="1F4E79"/>
          <w:sz w:val="32"/>
        </w:rPr>
        <w:t>Eleven decision modules plus how the system works</w:t>
      </w:r>
    </w:p>
    <w:p w14:paraId="4ABF56D4">
      <w:r>
        <w:rPr>
          <w:rFonts w:ascii="Calibri" w:hAnsi="Calibri" w:eastAsia="Calibri"/>
          <w:b w:val="0"/>
          <w:i/>
          <w:color w:val="5A5A5A"/>
          <w:sz w:val="22"/>
        </w:rPr>
        <w:t>Smart India Hackathon 2026  ·  Problem statement 26060  ·  Digital twin of Indian Antarctic stations Maitri and Bharati</w:t>
      </w:r>
    </w:p>
    <w:p w14:paraId="4C494A3C">
      <w:pPr>
        <w:spacing w:before="0" w:after="240" w:line="240" w:lineRule="auto"/>
      </w:pPr>
      <w:r>
        <w:rPr>
          <w:rFonts w:ascii="Calibri" w:hAnsi="Calibri" w:eastAsia="Calibri"/>
          <w:b w:val="0"/>
          <w:i w:val="0"/>
          <w:color w:val="2D2D2D"/>
          <w:sz w:val="22"/>
        </w:rPr>
        <w:t>This note is the product specification for the team. The 3D station view and weather/sensor forecasts are the stage. The eleven modules below are what the twin actually does: they turn predictions into expedition decisions. Numbers used in examples are from NCPOR/IMD documents or are clearly marked illustrative/synthetic.</w:t>
      </w:r>
    </w:p>
    <w:p w14:paraId="67F50350">
      <w:pPr>
        <w:pStyle w:val="2"/>
      </w:pPr>
      <w:r>
        <w:rPr>
          <w:rFonts w:ascii="Calibri" w:hAnsi="Calibri"/>
          <w:color w:val="1B3A4B"/>
        </w:rPr>
        <w:t>1. What we are building in one paragraph</w:t>
      </w:r>
    </w:p>
    <w:p w14:paraId="461AD98E">
      <w:pPr>
        <w:spacing w:before="0" w:after="160" w:line="240" w:lineRule="auto"/>
      </w:pPr>
      <w:r>
        <w:rPr>
          <w:rFonts w:ascii="Calibri" w:hAnsi="Calibri" w:eastAsia="Calibri"/>
          <w:b w:val="0"/>
          <w:i w:val="0"/>
          <w:color w:val="2D2D2D"/>
          <w:sz w:val="22"/>
        </w:rPr>
        <w:t>Polaris is an expedition decision twin for both Indian Antarctic stations. The operator sets a clock (today, a forecast horizon, or a historical night). The engine reads weather and sensors, looks at Novo and Progress next door, applies lockout rules, estimates fuel-days, updates the shared Cape Town–Bharati–Maitri voyage, and paints that same state on a 3D map. The operator can delay the ship, miss the last flight, or switch Maitri to the planned Maitri-II plant. Every number is tagged with its source. The system does not claim a live write-back socket to NCPOR generators; it is a spatial digital shadow with what-if control, which matches polar bandwidth reality (Maitri voice allotment is minutes per month).</w:t>
      </w:r>
    </w:p>
    <w:p w14:paraId="22F2802D">
      <w:pPr>
        <w:pStyle w:val="2"/>
      </w:pPr>
      <w:r>
        <w:rPr>
          <w:rFonts w:ascii="Calibri" w:hAnsi="Calibri"/>
          <w:color w:val="1B3A4B"/>
        </w:rPr>
        <w:t>2. The eleven modules</w:t>
      </w:r>
    </w:p>
    <w:p w14:paraId="079F4E83">
      <w:pPr>
        <w:spacing w:before="0" w:after="160" w:line="240" w:lineRule="auto"/>
      </w:pPr>
      <w:r>
        <w:rPr>
          <w:rFonts w:ascii="Calibri" w:hAnsi="Calibri" w:eastAsia="Calibri"/>
          <w:b w:val="0"/>
          <w:i w:val="0"/>
          <w:color w:val="2D2D2D"/>
          <w:sz w:val="22"/>
        </w:rPr>
        <w:t>Each module has the same structure: what it is, why it exists, a worked example, and inputs/outputs. Examples use published events where possible (especially Bharati 5 August 2018). Fuel figures in examples are labelled illustrative because live tank dips are not public.</w:t>
      </w:r>
    </w:p>
    <w:p w14:paraId="74BFA37F">
      <w:pPr>
        <w:pStyle w:val="3"/>
      </w:pPr>
      <w:r>
        <w:rPr>
          <w:rFonts w:ascii="Calibri" w:hAnsi="Calibri"/>
          <w:color w:val="1F4E79"/>
        </w:rPr>
        <w:t>2.1  Module 1: Operations lockouts</w:t>
      </w:r>
    </w:p>
    <w:p w14:paraId="79AD0D54">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Lockouts turn a weather or ice forecast into a station decision. Instead of only plotting wind speed, the twin applies published rules (IMD blizzard definition: gust above 23 kn with visibility under 1 km; heli available only while the voyage ship is nearby; crevasses open October–November on the Novo–Maitri ice) and paints the result on the 3D scene: outdoor work locked, helicopter locked, ice convoy caution.</w:t>
      </w:r>
    </w:p>
    <w:p w14:paraId="27C9D329">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Judges and NCPOR operators do not need another anemometer chart. They need to know whether people can go outside, whether a Kamov can fly, and whether a PistenBully convoy to India Bay is safe. This module is the bridge from predictive analysis to operations.</w:t>
      </w:r>
    </w:p>
    <w:p w14:paraId="3AD9F606">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Clock: 5 August 2018, 18:00 UTC, Bharati. Forecast and IMD log show gusts to 80 kn during an 18-hour blizzard. The twin sets outdoor = LOCKED, heli = LOCKED (ship is not at Quilty Bay in mid-winter anyway), vehicles = restricted. The Bharati mesh shows red badges on the shell and the helipad. Maitri is not in the same blizzard; its lockouts stay driven by its own wind and ice layer. A field team asking “can we sample outside tonight?” gets a no, with the rule cited, not a raw 80 kn number.</w:t>
      </w:r>
    </w:p>
    <w:p w14:paraId="4181CEF5">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Open-Meteo / POWER wind and gust; IMD blizzard calendar; ship-nearby flag; GPR crevasse season.</w:t>
      </w:r>
    </w:p>
    <w:p w14:paraId="454F9EAF">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Per-station flags: outdoor, heli, convoy, field work. 3D badges + ops brief lines.</w:t>
      </w:r>
    </w:p>
    <w:p w14:paraId="2C0F88DB">
      <w:pPr>
        <w:pStyle w:val="3"/>
      </w:pPr>
      <w:r>
        <w:rPr>
          <w:rFonts w:ascii="Calibri" w:hAnsi="Calibri"/>
          <w:color w:val="1F4E79"/>
        </w:rPr>
        <w:t>2.2  Module 2: Fuel-days remaining</w:t>
      </w:r>
    </w:p>
    <w:p w14:paraId="768C13C2">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Fuel-days estimates how many days of JET A-1 / diesel the station can run at the current (or scenario) burn rate. Burn is physics-inspired, not a black-box neural net: occupancy × heating load from outdoor temperature and wind (heat loss rises with ΔT and gust) × polar night (solar = 0, CHP-only) × generator specific fuel consumption. Maitri-II published plant is 600–750 kVA and 600,000 L JET A1. Current Maitri and Bharati tank volumes are not published, so every litre is tagged synthetic or planned.</w:t>
      </w:r>
    </w:p>
    <w:p w14:paraId="6CEB0C18">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Temperature prediction is cheap. “If this weather holds, you have 41 days of fuel, 34 if the blizzard continues” is what isolation logistics is about. Casey Station research also shows CHP coupling: less diesel-electricity can mean less waste heat and more boiler fuel — the model must not treat kilowatts as free litres.</w:t>
      </w:r>
    </w:p>
    <w:p w14:paraId="28A52DD9">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Maitri-II winter scenario: 40 people, polar night, mean T around −20 °C, summer wing closed. The engine uses occupancy 40, heating from ΔT to +20 °C indoors, SFC about 0.28 L/kWh on the CHP spec, tank 600,000 L. Result: e.g. ~180 fuel-days (illustrative). Operator opens the summer wing (140 people) without changing weather: fuel-days drop sharply. All figures show the tag SYNTHETIC / PLANNED so nobody confuses them with a live NCPOR tank gauge.</w:t>
      </w:r>
    </w:p>
    <w:p w14:paraId="755F21E8">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T, wind, polar-night flag, occupancy, plant spec (Maitri-II 750 kVA / 600 kL), optional indoor setpoint.</w:t>
      </w:r>
    </w:p>
    <w:p w14:paraId="4348793B">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Litres/day, days remaining, 3D tank overlay, what-if deltas.</w:t>
      </w:r>
    </w:p>
    <w:p w14:paraId="2602BAD1">
      <w:pPr>
        <w:pStyle w:val="3"/>
      </w:pPr>
      <w:r>
        <w:rPr>
          <w:rFonts w:ascii="Calibri" w:hAnsi="Calibri"/>
          <w:color w:val="1F4E79"/>
        </w:rPr>
        <w:t>2.3  Module 3: Shared voyage (one expedition, two stations)</w:t>
      </w:r>
    </w:p>
    <w:p w14:paraId="1E664824">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Maitri and Bharati are 3,098 km apart and do not share a campus. They share a calendar: Cape Town air to Novo (IL-76, ~5.5–6 h, late Oct–Feb), feeder Novo → Progress (~8–12 h), ship Cape Town → Bharati 10–16 days, Bharati → Maitri 5–7 days, heli only while the ship is nearby. The twin is one logistics graph. A delay or ice closure at Bharati is felt at Maitri.</w:t>
      </w:r>
    </w:p>
    <w:p w14:paraId="13D777EA">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Two independent 3D twins is what every other team will build. Indian Antarctic operations are one voyage. Casey Station LCA also found the icebreaker freight to be the largest climate lever — the ship is not a side map.</w:t>
      </w:r>
    </w:p>
    <w:p w14:paraId="4583BC24">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It is 20 January. Sea-ice in Prydz Bay is modelled above the 6/10ths constraint on the Cape Town–Quilty Bay leg. The operator slides “ship +14 days.” Bharati fuel-days fall because resupply is later; Maitri’s India Bay call also slips; heli stays unavailable at both ends. Isolation countdown (module 7) shortens. The 3D voyage timeline shows the sea leg red and the air window still open at Novo until mid-February.</w:t>
      </w:r>
    </w:p>
    <w:p w14:paraId="1A39AAB8">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logistics_routes.csv; season windows; sea-ice / wind constraints; operator delay slider.</w:t>
      </w:r>
    </w:p>
    <w:p w14:paraId="6ED8DAA5">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Air / sea / heli open or closed; ETA; coupled fuel-days at both stations.</w:t>
      </w:r>
    </w:p>
    <w:p w14:paraId="396B17DE">
      <w:pPr>
        <w:pStyle w:val="3"/>
      </w:pPr>
      <w:r>
        <w:rPr>
          <w:rFonts w:ascii="Calibri" w:hAnsi="Calibri"/>
          <w:color w:val="1F4E79"/>
        </w:rPr>
        <w:t>2.4  Module 4: Replay 5 August 2018 (Bharati blizzard)</w:t>
      </w:r>
    </w:p>
    <w:p w14:paraId="4C34A140">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A historical clock jump to a night NCPOR and IMD already documented: maximum gust 80 kn on 5 August 2018, part of the 2017–18 MAUSAM year with nine blizzards. The twin loads environment at that timestamp, fires lockouts, and shows fuel and comms under polar-winter conditions. This is not a synthetic spike invented for the demo.</w:t>
      </w:r>
    </w:p>
    <w:p w14:paraId="13D40198">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Judges can Google the paper. Trust in the twin comes from replaying ground truth, then scoring your rules against it (module 9).</w:t>
      </w:r>
    </w:p>
    <w:p w14:paraId="41A07042">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User hits “Replay IMD BLZ peak.” Clock becomes 2018-08-05. Bharati: 80 kn, outdoor and heli locked, polar night (sun last rose in mid-July on that year’s table), solar = 0, CHP-only burn, fuel-days ticking down. Progress reanalysis (module 6) sits beside it so you see the neighbourhood, not a lonely hut. Caption: Source: Thapliyal et al., MAUSAM 73(3), Table 2 / station extremes.</w:t>
      </w:r>
    </w:p>
    <w:p w14:paraId="5B80BD43">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hazard_events (9 IMD blizzards); Open-Meteo/POWER at that date; polar-night calendar.</w:t>
      </w:r>
    </w:p>
    <w:p w14:paraId="0BBBA561">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Full twin state for that night; citation on screen.</w:t>
      </w:r>
    </w:p>
    <w:p w14:paraId="001C46F9">
      <w:pPr>
        <w:pStyle w:val="3"/>
      </w:pPr>
      <w:r>
        <w:rPr>
          <w:rFonts w:ascii="Calibri" w:hAnsi="Calibri"/>
          <w:color w:val="1F4E79"/>
        </w:rPr>
        <w:t>2.5  Module 5: Source tags (pedigree on every number)</w:t>
      </w:r>
    </w:p>
    <w:p w14:paraId="72B23E14">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Every displayed value carries a pedigree: in-situ / IMD, reanalysis (Open-Meteo, NASA POWER), forecast, synthetic (energy, occupancy tonight), planned (Maitri-II), analog (Casey litres), or proxy (Novo, Progress). Polar literature (Spasova; Farsangi) insists on interoperable, honest data spaces — not fake live sockets.</w:t>
      </w:r>
    </w:p>
    <w:p w14:paraId="7F003505">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NCPOR does not publish live generator load or tank dips. Teams that claim “live digital twin of all sensors” will be questioned. Tags are the adult move and a feature, not a disclaimer buried in a slide.</w:t>
      </w:r>
    </w:p>
    <w:p w14:paraId="0A6259E3">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Hover on Bharati air temperature: “OPEN_METEO_REANALYSIS · confidence 0.90.” Hover on fuel-days: “SYNTHETIC from Maitri-II brief (600 kL, 0.28 L/kWh) · not a live tank.” Hover on indoor −1 °C savings: “ANALOG · Casey Station LCA 2020, not Indian measured.” The ops brief repeats these tags so an expedition leader can distrust a number in one glance.</w:t>
      </w:r>
    </w:p>
    <w:p w14:paraId="70DBEEFA">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confidence_score and source_type in station_telemetry; module-level flags.</w:t>
      </w:r>
    </w:p>
    <w:p w14:paraId="02FACF53">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Hover, legend, and exported brief footnotes.</w:t>
      </w:r>
    </w:p>
    <w:p w14:paraId="0FE27EAB">
      <w:pPr>
        <w:pStyle w:val="3"/>
      </w:pPr>
      <w:r>
        <w:rPr>
          <w:rFonts w:ascii="Calibri" w:hAnsi="Calibri"/>
          <w:color w:val="1F4E79"/>
        </w:rPr>
        <w:t>2.6  Module 6: Near-station strip (Novo and Progress)</w:t>
      </w:r>
    </w:p>
    <w:p w14:paraId="5043BD4C">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Indian arrivals do not land on Maitri’s doorstep. They use Novolazarevskaya blue-ice runway (ICAO AT17, ~3.5 km). Bharati air is a feeder via Progress skiway (~8 km). The strip shows neighbour weather, ΔT/Δwind versus the Indian station, and airfield open/closed. It is not a second full twin: no invented Russian fuel.</w:t>
      </w:r>
    </w:p>
    <w:p w14:paraId="14394AC6">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GPR work maps ice between Novo runway and the oasis; 43-ISEA draws the air chain through Novo and Progress. A neighbourhood strip proves you understand East Antarctica as a system. Menéndez (2026) calls this linking stations that share logistics.</w:t>
      </w:r>
    </w:p>
    <w:p w14:paraId="272A9F24">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Maitri panel: T = −18 °C. Novo proxy: T = −16 °C. ΔT = −2 °C (OK). Forecast T at AT17 is −4 °C with the IL-76 rule “surface temp &lt; −5 °C for heavy landing” failing — Maitri air arrivals = CLOSED even if Maitri camp wind is fine. Bharati blizzard day: Progress feeder VFR likely down; strip says AIR FEEDER CLOSED. Crevasse season October: Novo–Maitri land leg = CONVOY CAUTION from GPR, not from a neural net.</w:t>
      </w:r>
    </w:p>
    <w:p w14:paraId="33ACFF2F">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POWER and Open-Meteo for four stations; AT17 / Progress constraints; GPR season.</w:t>
      </w:r>
    </w:p>
    <w:p w14:paraId="7918F4EA">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Δ weather, airfield status, ice-route caution; proxy tags.</w:t>
      </w:r>
    </w:p>
    <w:p w14:paraId="1822E325">
      <w:pPr>
        <w:pStyle w:val="3"/>
      </w:pPr>
      <w:r>
        <w:rPr>
          <w:rFonts w:ascii="Calibri" w:hAnsi="Calibri"/>
          <w:color w:val="1F4E79"/>
        </w:rPr>
        <w:t>2.7  Module 7: Winter-isolation countdown</w:t>
      </w:r>
    </w:p>
    <w:p w14:paraId="55DB056B">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A large, simple number: days until the last DROMLAN aircraft (typically ~mid-February) and days until the ship must leave India Bay / the coast (March freeze-up). After those dates, the wintering party is on its own until the next season. The ship-delay slider eats remaining days.</w:t>
      </w:r>
    </w:p>
    <w:p w14:paraId="174E7D49">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Polar stations are defined by isolation windows, not by average temperature. A countdown is instantly readable in a demo and is the calendar behind fuel-days and missed-flight (module 8).</w:t>
      </w:r>
    </w:p>
    <w:p w14:paraId="00974722">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Clock: 1 February. Last air ~14 February → 13 days air remaining. Ship hard exit ~15 March → 42 days sea remaining. Operator delays ship 14 days: sea remaining becomes 28 days and fuel-days must cover a longer unsupplied stretch. If the clock is 20 February, air remaining is 0 — only sea (if still open) or wait until October.</w:t>
      </w:r>
    </w:p>
    <w:p w14:paraId="4BDA0DCB">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43-ISEA / AL air and sea windows; operator delay; current clock.</w:t>
      </w:r>
    </w:p>
    <w:p w14:paraId="61B13CC4">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Days-to-last-air, days-to-last-sea; 0 triggers isolation state.</w:t>
      </w:r>
    </w:p>
    <w:p w14:paraId="16C2F495">
      <w:pPr>
        <w:pStyle w:val="3"/>
      </w:pPr>
      <w:r>
        <w:rPr>
          <w:rFonts w:ascii="Calibri" w:hAnsi="Calibri"/>
          <w:color w:val="1F4E79"/>
        </w:rPr>
        <w:t>2.8  Module 8: Missed last flight (summer occupancy stuck in winter)</w:t>
      </w:r>
    </w:p>
    <w:p w14:paraId="761A5E04">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A what-if toggle: the last aircraft does not extract the summer overflow. Occupancy stays at summer levels (Maitri ~65, Bharati ~72) instead of dropping to winter (25 and 47). Fuel-days are recomputed. This is the operational nightmare: too many people, polar night, no extraction.</w:t>
      </w:r>
    </w:p>
    <w:p w14:paraId="2B93634D">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DROMLAN is seasonal and weather-limited. Showing the occupancy mistake as a fuel crash is more powerful than a temperature RMSE. No extra dataset required.</w:t>
      </w:r>
    </w:p>
    <w:p w14:paraId="45B06458">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Baseline winter Maitri: 25 people, summer wing closed, 180 fuel-days (illustrative, synthetic). Toggle MISSED LAST FLIGHT: 65 people, summer wing still warm, heating and gensets up. Fuel-days fall to e.g. ~70. Isolation countdown is already near 0. Both station 3D views go red. Ops brief: “Extract or close summer wing; do not winter this occupancy.”</w:t>
      </w:r>
    </w:p>
    <w:p w14:paraId="41810A97">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Occupancy tables; fuel-days engine; isolation countdown.</w:t>
      </w:r>
    </w:p>
    <w:p w14:paraId="09D6BACF">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New fuel-days; occupancy strip; alert state.</w:t>
      </w:r>
    </w:p>
    <w:p w14:paraId="3407DCEA">
      <w:pPr>
        <w:pStyle w:val="3"/>
      </w:pPr>
      <w:r>
        <w:rPr>
          <w:rFonts w:ascii="Calibri" w:hAnsi="Calibri"/>
          <w:color w:val="1F4E79"/>
        </w:rPr>
        <w:t>2.9  Module 9: 2018 lockout backtest</w:t>
      </w:r>
    </w:p>
    <w:p w14:paraId="799B3602">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The lockout rules are run on historical hourly wind around each of the nine IMD blizzard start times. The twin reports how many hours before the official IMD start the rule would have locked outdoor work. This is verification, not “99% AI accuracy.”</w:t>
      </w:r>
    </w:p>
    <w:p w14:paraId="596B496B">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Nine events are too few to train a deep network. A backtest against the published log is the scientifically honest use of ML/rules and impresses people who know the MAUSAM paper.</w:t>
      </w:r>
    </w:p>
    <w:p w14:paraId="65E2A207">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Event BLZ-2018-09: IMD start 5 Nov 2018 02:01 UTC, 24 h, 49 kn, lowest MSLP of the year. Hourly reanalysis shows gust crossing 23 kn at 23:00 UTC on 4 Nov. Backtest table: “Rule locked outdoor 3.0 hours before IMD start.” Event 8 May (short 3.5 h blow): maybe 0.5 h lead or a miss — shown honestly. Demo line: we do not hide misses.</w:t>
      </w:r>
    </w:p>
    <w:p w14:paraId="50FC6814">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Nine IMD events; hourly Open-Meteo  (or 2018 if available) wind/gust; lockout thresholds.</w:t>
      </w:r>
    </w:p>
    <w:p w14:paraId="225DB789">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Table: event, IMD start, rule-lock time, lead hours, hit/miss.</w:t>
      </w:r>
    </w:p>
    <w:p w14:paraId="0E78CA2C">
      <w:pPr>
        <w:pStyle w:val="3"/>
      </w:pPr>
      <w:r>
        <w:rPr>
          <w:rFonts w:ascii="Calibri" w:hAnsi="Calibri"/>
          <w:color w:val="1F4E79"/>
        </w:rPr>
        <w:t>2.10  Module 10: Polar night / polar day bar</w:t>
      </w:r>
    </w:p>
    <w:p w14:paraId="3FE192C2">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A year-scale bar (and 3D lighting) for sunlight. Bharati, 2017–18: 63 days polar day (20 Nov–22 Jan) and 49 days polar night (28 May–16 Jul). Maitri inland is longer night. Solar yield is forced to zero in night; CHP-only. The clock position on the bar is always visible.</w:t>
      </w:r>
    </w:p>
    <w:p w14:paraId="233A1545">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Energy and psychology of the station change when the sun does not rise. A forecast of “GHI tomorrow” during polar night is nonsense unless the UI shows night as a first-class state.</w:t>
      </w:r>
    </w:p>
    <w:p w14:paraId="114C3609">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Clock 10 June: Bharati marker sits inside the 49-day night band. 3D scene is dark; PV = 0 kWh; fuel-days use CHP-only; ISRO still runs on diesel/CHP. Clock 15 December: 24 h daylight, solar layer active (still not a claim of installed Indian PV unless tagged analog).</w:t>
      </w:r>
    </w:p>
    <w:p w14:paraId="69EF28BC">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MAUSAM polar day/night dates; clock; solar series.</w:t>
      </w:r>
    </w:p>
    <w:p w14:paraId="565EA18F">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Year bar, 3D illumination, solar = 0 constraint on fuel model.</w:t>
      </w:r>
    </w:p>
    <w:p w14:paraId="1AA35D88">
      <w:pPr>
        <w:pStyle w:val="3"/>
      </w:pPr>
      <w:r>
        <w:rPr>
          <w:rFonts w:ascii="Calibri" w:hAnsi="Calibri"/>
          <w:color w:val="1F4E79"/>
        </w:rPr>
        <w:t>2.11  Module 11: ISRO / HF from NOAA space-weather scales</w:t>
      </w:r>
    </w:p>
    <w:p w14:paraId="73140D26">
      <w:pPr>
        <w:spacing w:after="160"/>
        <w:ind w:left="216"/>
      </w:pPr>
      <w:r>
        <w:rPr>
          <w:rFonts w:ascii="Calibri" w:hAnsi="Calibri" w:eastAsia="Calibri"/>
          <w:b/>
          <w:i w:val="0"/>
          <w:color w:val="1F4E79"/>
          <w:sz w:val="22"/>
        </w:rPr>
        <w:t xml:space="preserve">What it is. </w:t>
      </w:r>
      <w:r>
        <w:rPr>
          <w:rFonts w:ascii="Calibri" w:hAnsi="Calibri" w:eastAsia="Calibri"/>
          <w:b w:val="0"/>
          <w:i w:val="0"/>
          <w:color w:val="2D2D2D"/>
          <w:sz w:val="22"/>
        </w:rPr>
        <w:t>Bharati hosts ECIL X/S-band reception and C-band to NRSC Shadnagar — the high-bandwidth story. NOAA G/S/R scales, planetary Kp, and GOES X-ray flux are already in the dataset. Radio blackout (R-scale) and strong geomagnetic storms degrade HF science (CADI, riometer, GISTM) and can impair the downlink. The twin shows a banner on the radomes, not a space poster.</w:t>
      </w:r>
    </w:p>
    <w:p w14:paraId="790C3AA0">
      <w:pPr>
        <w:spacing w:after="160"/>
        <w:ind w:left="216"/>
      </w:pPr>
      <w:r>
        <w:rPr>
          <w:rFonts w:ascii="Calibri" w:hAnsi="Calibri" w:eastAsia="Calibri"/>
          <w:b/>
          <w:i w:val="0"/>
          <w:color w:val="1F4E79"/>
          <w:sz w:val="22"/>
        </w:rPr>
        <w:t xml:space="preserve">Why it is in the twin. </w:t>
      </w:r>
      <w:r>
        <w:rPr>
          <w:rFonts w:ascii="Calibri" w:hAnsi="Calibri" w:eastAsia="Calibri"/>
          <w:b w:val="0"/>
          <w:i w:val="0"/>
          <w:color w:val="2D2D2D"/>
          <w:sz w:val="22"/>
        </w:rPr>
        <w:t>Almost no student team will connect space weather to station operations. AL/02 and AL/03 list the instruments. This is free differentiation from data you already ingested.</w:t>
      </w:r>
    </w:p>
    <w:p w14:paraId="012CE57A">
      <w:pPr>
        <w:spacing w:after="160"/>
        <w:ind w:left="216"/>
      </w:pPr>
      <w:r>
        <w:rPr>
          <w:rFonts w:ascii="Calibri" w:hAnsi="Calibri" w:eastAsia="Calibri"/>
          <w:b/>
          <w:i w:val="0"/>
          <w:color w:val="1F4E79"/>
          <w:sz w:val="22"/>
        </w:rPr>
        <w:t xml:space="preserve">Worked example. </w:t>
      </w:r>
      <w:r>
        <w:rPr>
          <w:rFonts w:ascii="Calibri" w:hAnsi="Calibri" w:eastAsia="Calibri"/>
          <w:b w:val="0"/>
          <w:i w:val="0"/>
          <w:color w:val="2D2D2D"/>
          <w:sz w:val="22"/>
        </w:rPr>
        <w:t>GOES X-ray indicates an R2 radio blackout. Bharati 3D: radomes amber “DOWNLINK DEGRADED”; Maitri CADI/GISTM pin “HF DISTURBED.” Outdoor lockouts unchanged (this is not a blizzard). Ops brief: delay HF ionosonde campaign; expect NRSC link retries. Source: NOAA SWPC, not a local magnetometer stream unless tagged otherwise.</w:t>
      </w:r>
    </w:p>
    <w:p w14:paraId="291DF972">
      <w:pPr>
        <w:spacing w:after="160"/>
        <w:ind w:left="216"/>
      </w:pPr>
      <w:r>
        <w:rPr>
          <w:rFonts w:ascii="Calibri" w:hAnsi="Calibri" w:eastAsia="Calibri"/>
          <w:b/>
          <w:i w:val="0"/>
          <w:color w:val="1F4E79"/>
          <w:sz w:val="22"/>
        </w:rPr>
        <w:t xml:space="preserve">Inputs. </w:t>
      </w:r>
      <w:r>
        <w:rPr>
          <w:rFonts w:ascii="Calibri" w:hAnsi="Calibri" w:eastAsia="Calibri"/>
          <w:b w:val="0"/>
          <w:i w:val="0"/>
          <w:color w:val="2D2D2D"/>
          <w:sz w:val="22"/>
        </w:rPr>
        <w:t>planetary_k_index, solar_xray_flux, noaa_space_weather_scales.</w:t>
      </w:r>
    </w:p>
    <w:p w14:paraId="064AF6E3">
      <w:pPr>
        <w:spacing w:after="160"/>
        <w:ind w:left="216"/>
      </w:pPr>
      <w:r>
        <w:rPr>
          <w:rFonts w:ascii="Calibri" w:hAnsi="Calibri" w:eastAsia="Calibri"/>
          <w:b/>
          <w:i w:val="0"/>
          <w:color w:val="1F4E79"/>
          <w:sz w:val="22"/>
        </w:rPr>
        <w:t xml:space="preserve">Outputs. </w:t>
      </w:r>
      <w:r>
        <w:rPr>
          <w:rFonts w:ascii="Calibri" w:hAnsi="Calibri" w:eastAsia="Calibri"/>
          <w:b w:val="0"/>
          <w:i w:val="0"/>
          <w:color w:val="2D2D2D"/>
          <w:sz w:val="22"/>
        </w:rPr>
        <w:t>R/G/S level; Bharati ISRO banner; Maitri HF science banner.</w:t>
      </w:r>
    </w:p>
    <w:p w14:paraId="16B14F39">
      <w:pPr>
        <w:pStyle w:val="2"/>
      </w:pPr>
      <w:r>
        <w:rPr>
          <w:rFonts w:ascii="Calibri" w:hAnsi="Calibri"/>
          <w:color w:val="1B3A4B"/>
        </w:rPr>
        <w:t>3. Small extras in the same application (not separate products)</w:t>
      </w:r>
    </w:p>
    <w:p w14:paraId="36C84E0E">
      <w:pPr>
        <w:spacing w:before="0" w:after="160" w:line="240" w:lineRule="auto"/>
      </w:pPr>
      <w:r>
        <w:rPr>
          <w:rFonts w:ascii="Calibri" w:hAnsi="Calibri" w:eastAsia="Calibri"/>
          <w:b w:val="0"/>
          <w:i w:val="0"/>
          <w:color w:val="2D2D2D"/>
          <w:sz w:val="22"/>
        </w:rPr>
        <w:t>These sit on the same state object: Maitri versus Maitri-II plant toggle (600–750 kVA, 600,000 L JET A1, summer wing off in winter); occupancy strip (Maitri 25 winter / ~65 summer, Bharati 47 / 72); clickable sensor pins from AL/03 and AL/02; delayed-link / blackout banner (last state plus forecast); indoor ±1 °C slider tagged as Casey Station analog; one-page ops brief export; public versus operations chrome; field go/no-go inside 100 km; Novo–Maitri crevasse ribbon; December 2022 UAV melt-pond week; Hindi and English labels; Maitri versus Novo versus POWER disagreement band on charts.</w:t>
      </w:r>
    </w:p>
    <w:p w14:paraId="7ACB382E">
      <w:pPr>
        <w:pStyle w:val="2"/>
      </w:pPr>
      <w:r>
        <w:rPr>
          <w:rFonts w:ascii="Calibri" w:hAnsi="Calibri"/>
          <w:color w:val="1B3A4B"/>
        </w:rPr>
        <w:t>4. How the system works</w:t>
      </w:r>
    </w:p>
    <w:p w14:paraId="39143A9D">
      <w:pPr>
        <w:pStyle w:val="3"/>
      </w:pPr>
      <w:r>
        <w:rPr>
          <w:rFonts w:ascii="Calibri" w:hAnsi="Calibri"/>
          <w:color w:val="1F4E79"/>
        </w:rPr>
        <w:t>4.1 Loop (always in this order)</w:t>
      </w:r>
    </w:p>
    <w:p w14:paraId="0DF8D530">
      <w:pPr>
        <w:spacing w:after="120"/>
        <w:ind w:left="288"/>
      </w:pPr>
      <w:r>
        <w:rPr>
          <w:rFonts w:ascii="Calibri" w:hAnsi="Calibri" w:eastAsia="Calibri"/>
          <w:b/>
          <w:i w:val="0"/>
          <w:color w:val="1F4E79"/>
          <w:sz w:val="22"/>
        </w:rPr>
        <w:t xml:space="preserve">Step 1. </w:t>
      </w:r>
      <w:r>
        <w:rPr>
          <w:rFonts w:ascii="Calibri" w:hAnsi="Calibri" w:eastAsia="Calibri"/>
          <w:b w:val="0"/>
          <w:i w:val="0"/>
          <w:color w:val="2D2D2D"/>
          <w:sz w:val="22"/>
        </w:rPr>
        <w:t>Clock. The operator (or the replay button) sets UTC time. This selects season, polar day/night, and whose voyage window is open.</w:t>
      </w:r>
    </w:p>
    <w:p w14:paraId="073D6966">
      <w:pPr>
        <w:spacing w:after="120"/>
        <w:ind w:left="288"/>
      </w:pPr>
      <w:r>
        <w:rPr>
          <w:rFonts w:ascii="Calibri" w:hAnsi="Calibri" w:eastAsia="Calibri"/>
          <w:b/>
          <w:i w:val="0"/>
          <w:color w:val="1F4E79"/>
          <w:sz w:val="22"/>
        </w:rPr>
        <w:t xml:space="preserve">Step 2. </w:t>
      </w:r>
      <w:r>
        <w:rPr>
          <w:rFonts w:ascii="Calibri" w:hAnsi="Calibri" w:eastAsia="Calibri"/>
          <w:b w:val="0"/>
          <w:i w:val="0"/>
          <w:color w:val="2D2D2D"/>
          <w:sz w:val="22"/>
        </w:rPr>
        <w:t>Sense. Read T, wind, gust, pressure, humidity, solar, Kp/X-ray at that time for Maitri, Bharati, Novolazarevskaya, and Progress. Attach source tags.</w:t>
      </w:r>
    </w:p>
    <w:p w14:paraId="202B0E42">
      <w:pPr>
        <w:spacing w:after="120"/>
        <w:ind w:left="288"/>
      </w:pPr>
      <w:r>
        <w:rPr>
          <w:rFonts w:ascii="Calibri" w:hAnsi="Calibri" w:eastAsia="Calibri"/>
          <w:b/>
          <w:i w:val="0"/>
          <w:color w:val="1F4E79"/>
          <w:sz w:val="22"/>
        </w:rPr>
        <w:t xml:space="preserve">Step 3. </w:t>
      </w:r>
      <w:r>
        <w:rPr>
          <w:rFonts w:ascii="Calibri" w:hAnsi="Calibri" w:eastAsia="Calibri"/>
          <w:b w:val="0"/>
          <w:i w:val="0"/>
          <w:color w:val="2D2D2D"/>
          <w:sz w:val="22"/>
        </w:rPr>
        <w:t>Neighbourhood. Compute ΔT/Δwind versus Novo and Progress. Apply AT17 and Progress skiway constraints. Apply GPR crevasse season on the Maitri ice margin.</w:t>
      </w:r>
    </w:p>
    <w:p w14:paraId="6B56FEAD">
      <w:pPr>
        <w:spacing w:after="120"/>
        <w:ind w:left="288"/>
      </w:pPr>
      <w:r>
        <w:rPr>
          <w:rFonts w:ascii="Calibri" w:hAnsi="Calibri" w:eastAsia="Calibri"/>
          <w:b/>
          <w:i w:val="0"/>
          <w:color w:val="1F4E79"/>
          <w:sz w:val="22"/>
        </w:rPr>
        <w:t xml:space="preserve">Step 4. </w:t>
      </w:r>
      <w:r>
        <w:rPr>
          <w:rFonts w:ascii="Calibri" w:hAnsi="Calibri" w:eastAsia="Calibri"/>
          <w:b w:val="0"/>
          <w:i w:val="0"/>
          <w:color w:val="2D2D2D"/>
          <w:sz w:val="22"/>
        </w:rPr>
        <w:t>Locate. Walk the logistics graph: air, sea, heli. Heli is off unless the ship is nearby. Isolation countdown = days to last air and last sea.</w:t>
      </w:r>
    </w:p>
    <w:p w14:paraId="6D51CF85">
      <w:pPr>
        <w:spacing w:after="120"/>
        <w:ind w:left="288"/>
      </w:pPr>
      <w:r>
        <w:rPr>
          <w:rFonts w:ascii="Calibri" w:hAnsi="Calibri" w:eastAsia="Calibri"/>
          <w:b/>
          <w:i w:val="0"/>
          <w:color w:val="1F4E79"/>
          <w:sz w:val="22"/>
        </w:rPr>
        <w:t xml:space="preserve">Step 5. </w:t>
      </w:r>
      <w:r>
        <w:rPr>
          <w:rFonts w:ascii="Calibri" w:hAnsi="Calibri" w:eastAsia="Calibri"/>
          <w:b w:val="0"/>
          <w:i w:val="0"/>
          <w:color w:val="2D2D2D"/>
          <w:sz w:val="22"/>
        </w:rPr>
        <w:t>Decide. Lockout rules. Fuel-days from occupancy, ΔT, wind, polar night, plant spec. Space-weather R/G/S → ISRO/HF banners. Optional toggles: ship delay, missed last flight, Maitri-II, indoor setpoint.</w:t>
      </w:r>
    </w:p>
    <w:p w14:paraId="738C1C31">
      <w:pPr>
        <w:spacing w:after="120"/>
        <w:ind w:left="288"/>
      </w:pPr>
      <w:r>
        <w:rPr>
          <w:rFonts w:ascii="Calibri" w:hAnsi="Calibri" w:eastAsia="Calibri"/>
          <w:b/>
          <w:i w:val="0"/>
          <w:color w:val="1F4E79"/>
          <w:sz w:val="22"/>
        </w:rPr>
        <w:t xml:space="preserve">Step 6. </w:t>
      </w:r>
      <w:r>
        <w:rPr>
          <w:rFonts w:ascii="Calibri" w:hAnsi="Calibri" w:eastAsia="Calibri"/>
          <w:b w:val="0"/>
          <w:i w:val="0"/>
          <w:color w:val="2D2D2D"/>
          <w:sz w:val="22"/>
        </w:rPr>
        <w:t>Show. One JSON-like state object drives 3D overlays, strips, and charts. The 3D view never has a private weather source.</w:t>
      </w:r>
    </w:p>
    <w:p w14:paraId="087F3558">
      <w:pPr>
        <w:spacing w:after="120"/>
        <w:ind w:left="288"/>
      </w:pPr>
      <w:r>
        <w:rPr>
          <w:rFonts w:ascii="Calibri" w:hAnsi="Calibri" w:eastAsia="Calibri"/>
          <w:b/>
          <w:i w:val="0"/>
          <w:color w:val="1F4E79"/>
          <w:sz w:val="22"/>
        </w:rPr>
        <w:t xml:space="preserve">Step 7. </w:t>
      </w:r>
      <w:r>
        <w:rPr>
          <w:rFonts w:ascii="Calibri" w:hAnsi="Calibri" w:eastAsia="Calibri"/>
          <w:b w:val="0"/>
          <w:i w:val="0"/>
          <w:color w:val="2D2D2D"/>
          <w:sz w:val="22"/>
        </w:rPr>
        <w:t>Explain. Ops brief export with tags. Backtest table if the clock is in 2017–18 blizzard season.</w:t>
      </w:r>
    </w:p>
    <w:p w14:paraId="6175CBE5">
      <w:pPr>
        <w:pStyle w:val="3"/>
      </w:pPr>
      <w:r>
        <w:rPr>
          <w:rFonts w:ascii="Calibri" w:hAnsi="Calibri"/>
          <w:color w:val="1F4E79"/>
        </w:rPr>
        <w:t>4.2 What is not a live stream</w:t>
      </w:r>
    </w:p>
    <w:p w14:paraId="28A71A55">
      <w:pPr>
        <w:spacing w:before="0" w:after="160" w:line="240" w:lineRule="auto"/>
      </w:pPr>
      <w:r>
        <w:rPr>
          <w:rFonts w:ascii="Calibri" w:hAnsi="Calibri" w:eastAsia="Calibri"/>
          <w:b w:val="0"/>
          <w:i w:val="0"/>
          <w:color w:val="2D2D2D"/>
          <w:sz w:val="22"/>
        </w:rPr>
        <w:t>NPDC and IMD are polled or historical. Energy and tonight’s headcount are synthetic unless NCPOR later provides sockets. The twin may fill gaps during comms blackout with the last state plus the forecast (digital-twin literature for polar links). UI must say LINK DELAYED when that happens.</w:t>
      </w:r>
    </w:p>
    <w:p w14:paraId="3EFAF4CB">
      <w:pPr>
        <w:pStyle w:val="3"/>
      </w:pPr>
      <w:r>
        <w:rPr>
          <w:rFonts w:ascii="Calibri" w:hAnsi="Calibri"/>
          <w:color w:val="1F4E79"/>
        </w:rPr>
        <w:t>4.3 One state object (both stations)</w:t>
      </w:r>
    </w:p>
    <w:p w14:paraId="6C264D18">
      <w:pPr>
        <w:spacing w:before="0" w:after="160" w:line="240" w:lineRule="auto"/>
      </w:pPr>
      <w:r>
        <w:rPr>
          <w:rFonts w:ascii="Calibri" w:hAnsi="Calibri" w:eastAsia="Calibri"/>
          <w:b w:val="0"/>
          <w:i w:val="0"/>
          <w:color w:val="2D2D2D"/>
          <w:sz w:val="22"/>
        </w:rPr>
        <w:t>Conceptual fields: clock; for each of Maitri and Bharati: weather, lockouts, fuel_days, occupancy, solar_zero, isro_or_hf; neighbourhood (novo, progress, airfield); voyage (air, sea, heli, delay_days, days_to_last_air, days_to_last_sea); toggles (missed_last_flight, maitri_ii, indoor_setpoint); provenance[] for every number on screen. If fuel-days drop, the tank overlay drops. If outdoor is locked, the building shows locked. Two screens, one state.</w:t>
      </w:r>
    </w:p>
    <w:p w14:paraId="67CD8EC2">
      <w:pPr>
        <w:pStyle w:val="2"/>
      </w:pPr>
      <w:r>
        <w:rPr>
          <w:rFonts w:hint="default" w:ascii="Calibri" w:hAnsi="Calibri"/>
          <w:color w:val="1B3A4B"/>
          <w:lang w:val="en-US"/>
        </w:rPr>
        <w:t>5</w:t>
      </w:r>
      <w:bookmarkStart w:id="0" w:name="_GoBack"/>
      <w:bookmarkEnd w:id="0"/>
      <w:r>
        <w:rPr>
          <w:rFonts w:ascii="Calibri" w:hAnsi="Calibri"/>
          <w:color w:val="1B3A4B"/>
        </w:rPr>
        <w:t>. Sources behind the examples</w:t>
      </w:r>
    </w:p>
    <w:p w14:paraId="3915A15F">
      <w:pPr>
        <w:spacing w:before="0" w:after="160" w:line="240" w:lineRule="auto"/>
      </w:pPr>
      <w:r>
        <w:rPr>
          <w:rFonts w:ascii="Calibri" w:hAnsi="Calibri" w:eastAsia="Calibri"/>
          <w:b w:val="0"/>
          <w:i w:val="0"/>
          <w:color w:val="2D2D2D"/>
          <w:sz w:val="22"/>
        </w:rPr>
        <w:t>NCPOR AL/03 Maitri and AL/02 Bharati planning advisories; Maitri-II global design competition brief (2024) for 600–750 kVA and 600,000 L JET A1; Thapliyal et al., MAUSAM 73(3) (2022) for Bharati 2017–18 climate and nine blizzards including 80 kn on 5 August 2018 and polar day/night lengths; 43rd ISEA advertisement for voyage times, 3,098 km, and comms allotment; Kashkevich et al. (2025) GPR for Novo–Maitri ice and October–November crevasses; Priya and Venkatesh (2024) UAV melt-pond magnitudes; Menéndez-Blázquez (2026) Antarctic spatial digital twins; Farsangi (2026) polar delayed-link twins; Crossin et al. (2020) Casey LCA as analog only; NOAA SWPC scales already ingested in the Polaris dataset pack.</w:t>
      </w:r>
    </w:p>
    <w:p w14:paraId="31B5B690">
      <w:pPr>
        <w:spacing w:before="360"/>
      </w:pPr>
      <w:r>
        <w:rPr>
          <w:rFonts w:ascii="Calibri" w:hAnsi="Calibri" w:eastAsia="Calibri"/>
          <w:b w:val="0"/>
          <w:i/>
          <w:color w:val="5A5A5A"/>
          <w:sz w:val="18"/>
        </w:rPr>
        <w:t>Polaris team  ·  Internal product specification  ·  Not an official NCPOR document. Synthetic energy figures must stay labelled in any public demo.</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191F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3245</Words>
  <Characters>16664</Characters>
  <Lines>0</Lines>
  <Paragraphs>0</Paragraphs>
  <TotalTime>2</TotalTime>
  <ScaleCrop>false</ScaleCrop>
  <LinksUpToDate>false</LinksUpToDate>
  <CharactersWithSpaces>19826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Abhilash</cp:lastModifiedBy>
  <dcterms:modified xsi:type="dcterms:W3CDTF">2026-09-06T18:15:27Z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eyJoZGlkIjoiMGQ2Mzk4MGEzOTBhZTkzMWExZGQ2YmE0MWY0YTY4YjIiLCJ1c2VySWQiOiI1Njc1Mzk0MjI1MDcifQ==</vt:lpwstr>
  </property>
  <property fmtid="{D5CDD505-2E9C-101B-9397-08002B2CF9AE}" pid="3" name="KSOProductBuildVer">
    <vt:lpwstr>1033-12.1.0.28032</vt:lpwstr>
  </property>
  <property fmtid="{D5CDD505-2E9C-101B-9397-08002B2CF9AE}" pid="4" name="ICV">
    <vt:lpwstr>0705D372CC424C2C941D079B41AB2960_12</vt:lpwstr>
  </property>
</Properties>
</file>