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B2A4A"/>
          <w:sz w:val="96"/>
          <w:szCs w:val="96"/>
        </w:rPr>
        <w:t xml:space="preserve">SwipeX</w:t>
      </w:r>
    </w:p>
    <w:p>
      <w:pPr>
        <w:spacing w:after="200"/>
        <w:jc w:val="center"/>
      </w:pPr>
      <w:r>
        <w:rPr>
          <w:b/>
          <w:bCs/>
          <w:color w:val="0E7C7B"/>
          <w:sz w:val="30"/>
          <w:szCs w:val="30"/>
        </w:rPr>
        <w:t xml:space="preserve">AI Swipe-Based Intelligent Job Discovery &amp; Career Assistance Platform</w:t>
      </w:r>
    </w:p>
    <w:p>
      <w:pPr>
        <w:spacing w:before="800"/>
        <w:jc w:val="center"/>
      </w:pPr>
      <w:r>
        <w:rPr>
          <w:b/>
          <w:bCs/>
          <w:color w:val="C9A227"/>
          <w:sz w:val="40"/>
          <w:szCs w:val="40"/>
        </w:rPr>
        <w:t xml:space="preserve">VOLUME 2</w:t>
      </w:r>
    </w:p>
    <w:p>
      <w:pPr>
        <w:spacing w:after="200"/>
        <w:jc w:val="center"/>
      </w:pPr>
      <w:r>
        <w:rPr>
          <w:color w:val="5A5A5A"/>
          <w:sz w:val="24"/>
          <w:szCs w:val="24"/>
        </w:rPr>
        <w:t xml:space="preserve">Complete UI/UX Design Bible</w:t>
      </w:r>
    </w:p>
    <w:p>
      <w:pPr>
        <w:spacing w:before="1600"/>
        <w:jc w:val="center"/>
      </w:pPr>
      <w:r>
        <w:rPr>
          <w:i/>
          <w:iCs/>
          <w:color w:val="5A5A5A"/>
          <w:sz w:val="20"/>
          <w:szCs w:val="20"/>
        </w:rPr>
        <w:t xml:space="preserve">Enterprise Documentation Series — Document 1 of 15</w:t>
      </w:r>
    </w:p>
    <w:p>
      <w:pPr>
        <w:jc w:val="center"/>
      </w:pPr>
      <w:r>
        <w:rPr>
          <w:color w:val="5A5A5A"/>
          <w:sz w:val="18"/>
          <w:szCs w:val="18"/>
        </w:rPr>
        <w:t xml:space="preserve">Classification: Internal / Engineering &amp; Product Reference</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 to the UI/UX Design Bible</w:t>
      </w:r>
    </w:p>
    <w:p>
      <w:pPr>
        <w:pStyle w:val="Heading2"/>
        <w:spacing w:after="150" w:before="300"/>
      </w:pPr>
      <w:r>
        <w:t xml:space="preserve">1.1 Purpose of This Document</w:t>
      </w:r>
    </w:p>
    <w:p>
      <w:pPr>
        <w:spacing w:after="160"/>
        <w:jc w:val="both"/>
      </w:pPr>
      <w:r>
        <w:t xml:space="preserve">This volume is the complete, page-by-page UI/UX specification for SwipeX. It is written so that a designer or frontend engineer with zero prior context on SwipeX can implement any screen correctly, consistently, and accessibly without consulting anyone outside this documentation set. Every page in this volume follows a fixed sixteen-part template — Purpose, Goals, Layout, Wireframe Description, Components, Typography, Spacing, Colors, Animations, Icons, Accessibility, Responsive Rules, Empty States, Loading States, Validation, Acceptance Criteria, and Developer Notes — so that no page ships with an unspecified interaction state.</w:t>
      </w:r>
    </w:p>
    <w:p>
      <w:pPr>
        <w:pStyle w:val="Heading2"/>
        <w:spacing w:after="150" w:before="300"/>
      </w:pPr>
      <w:r>
        <w:t xml:space="preserve">1.2 Relationship to Volume 1 and Volume 3</w:t>
      </w:r>
    </w:p>
    <w:p>
      <w:pPr>
        <w:spacing w:after="160"/>
        <w:jc w:val="both"/>
      </w:pPr>
      <w:r>
        <w:t xml:space="preserve">Every page specification in this volume traces back to a persona need or user-journey stage defined in Volume 1 (Sections 12–13). Every color, type, and spacing token referenced by name in this volume (e.g., Navy-900, Type-H1, Space-4) is formally defined with exact values in Volume 3 (Design System). This volume does not redefine those tokens in full; it specifies which tokens each page uses and why, so Volume 3 remains the single source of truth for raw values.</w:t>
      </w:r>
    </w:p>
    <w:p>
      <w:pPr>
        <w:pStyle w:val="Heading2"/>
        <w:spacing w:after="150" w:before="300"/>
      </w:pPr>
      <w:r>
        <w:t xml:space="preserve">1.3 Design Principles Governing All Pages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B2A4A" w:val="clear"/>
            <w:tcMar>
              <w:top w:type="dxa" w:w="80"/>
              <w:left w:type="dxa" w:w="100"/>
              <w:bottom w:type="dxa" w:w="80"/>
              <w:right w:type="dxa" w:w="100"/>
            </w:tcMar>
          </w:tcPr>
          <w:p>
            <w:r>
              <w:rPr>
                <w:b/>
                <w:bCs/>
                <w:color w:val="FFFFFF"/>
                <w:sz w:val="20"/>
                <w:szCs w:val="20"/>
              </w:rPr>
              <w:t xml:space="preserve">Principle</w:t>
            </w:r>
          </w:p>
        </w:tc>
        <w:tc>
          <w:tcPr>
            <w:tcW w:type="dxa" w:w="6150"/>
            <w:shd w:fill="1B2A4A" w:val="clear"/>
            <w:tcMar>
              <w:top w:type="dxa" w:w="80"/>
              <w:left w:type="dxa" w:w="100"/>
              <w:bottom w:type="dxa" w:w="80"/>
              <w:right w:type="dxa" w:w="100"/>
            </w:tcMar>
          </w:tcPr>
          <w:p>
            <w:r>
              <w:rPr>
                <w:b/>
                <w:bCs/>
                <w:color w:val="FFFFFF"/>
                <w:sz w:val="20"/>
                <w:szCs w:val="20"/>
              </w:rPr>
              <w:t xml:space="preserve">Applied Meaning</w:t>
            </w:r>
          </w:p>
        </w:tc>
      </w:tr>
      <w:tr>
        <w:tc>
          <w:tcPr>
            <w:tcW w:type="dxa" w:w="3200"/>
            <w:tcMar>
              <w:top w:type="dxa" w:w="80"/>
              <w:left w:type="dxa" w:w="100"/>
              <w:bottom w:type="dxa" w:w="80"/>
              <w:right w:type="dxa" w:w="100"/>
            </w:tcMar>
          </w:tcPr>
          <w:p>
            <w:r>
              <w:rPr>
                <w:b w:val="false"/>
                <w:bCs w:val="false"/>
                <w:sz w:val="20"/>
                <w:szCs w:val="20"/>
              </w:rPr>
              <w:t xml:space="preserve">Clarity over density</w:t>
            </w:r>
          </w:p>
        </w:tc>
        <w:tc>
          <w:tcPr>
            <w:tcW w:type="dxa" w:w="6150"/>
            <w:tcMar>
              <w:top w:type="dxa" w:w="80"/>
              <w:left w:type="dxa" w:w="100"/>
              <w:bottom w:type="dxa" w:w="80"/>
              <w:right w:type="dxa" w:w="100"/>
            </w:tcMar>
          </w:tcPr>
          <w:p>
            <w:r>
              <w:rPr>
                <w:b w:val="false"/>
                <w:bCs w:val="false"/>
                <w:sz w:val="20"/>
                <w:szCs w:val="20"/>
              </w:rPr>
              <w:t xml:space="preserve">Every screen leads with one primary action; secondary actions are visually subordinate</w:t>
            </w:r>
          </w:p>
        </w:tc>
      </w:tr>
      <w:tr>
        <w:tc>
          <w:tcPr>
            <w:tcW w:type="dxa" w:w="3200"/>
            <w:tcMar>
              <w:top w:type="dxa" w:w="80"/>
              <w:left w:type="dxa" w:w="100"/>
              <w:bottom w:type="dxa" w:w="80"/>
              <w:right w:type="dxa" w:w="100"/>
            </w:tcMar>
          </w:tcPr>
          <w:p>
            <w:r>
              <w:rPr>
                <w:b w:val="false"/>
                <w:bCs w:val="false"/>
                <w:sz w:val="20"/>
                <w:szCs w:val="20"/>
              </w:rPr>
              <w:t xml:space="preserve">Momentum in discovery, calm in decision</w:t>
            </w:r>
          </w:p>
        </w:tc>
        <w:tc>
          <w:tcPr>
            <w:tcW w:type="dxa" w:w="6150"/>
            <w:tcMar>
              <w:top w:type="dxa" w:w="80"/>
              <w:left w:type="dxa" w:w="100"/>
              <w:bottom w:type="dxa" w:w="80"/>
              <w:right w:type="dxa" w:w="100"/>
            </w:tcMar>
          </w:tcPr>
          <w:p>
            <w:r>
              <w:rPr>
                <w:b w:val="false"/>
                <w:bCs w:val="false"/>
                <w:sz w:val="20"/>
                <w:szCs w:val="20"/>
              </w:rPr>
              <w:t xml:space="preserve">Swipe Feed uses high-motion, low-friction interactions; Resume Builder and Settings use low-motion, high-precision interactions</w:t>
            </w:r>
          </w:p>
        </w:tc>
      </w:tr>
      <w:tr>
        <w:tc>
          <w:tcPr>
            <w:tcW w:type="dxa" w:w="3200"/>
            <w:tcMar>
              <w:top w:type="dxa" w:w="80"/>
              <w:left w:type="dxa" w:w="100"/>
              <w:bottom w:type="dxa" w:w="80"/>
              <w:right w:type="dxa" w:w="100"/>
            </w:tcMar>
          </w:tcPr>
          <w:p>
            <w:r>
              <w:rPr>
                <w:b w:val="false"/>
                <w:bCs w:val="false"/>
                <w:sz w:val="20"/>
                <w:szCs w:val="20"/>
              </w:rPr>
              <w:t xml:space="preserve">Explainable AI surfaces</w:t>
            </w:r>
          </w:p>
        </w:tc>
        <w:tc>
          <w:tcPr>
            <w:tcW w:type="dxa" w:w="6150"/>
            <w:tcMar>
              <w:top w:type="dxa" w:w="80"/>
              <w:left w:type="dxa" w:w="100"/>
              <w:bottom w:type="dxa" w:w="80"/>
              <w:right w:type="dxa" w:w="100"/>
            </w:tcMar>
          </w:tcPr>
          <w:p>
            <w:r>
              <w:rPr>
                <w:b w:val="false"/>
                <w:bCs w:val="false"/>
                <w:sz w:val="20"/>
                <w:szCs w:val="20"/>
              </w:rPr>
              <w:t xml:space="preserve">Any AI-generated score or suggestion is always shown with a visible 'why' affordance (expandable rationale), never as a bare number</w:t>
            </w:r>
          </w:p>
        </w:tc>
      </w:tr>
      <w:tr>
        <w:tc>
          <w:tcPr>
            <w:tcW w:type="dxa" w:w="3200"/>
            <w:tcMar>
              <w:top w:type="dxa" w:w="80"/>
              <w:left w:type="dxa" w:w="100"/>
              <w:bottom w:type="dxa" w:w="80"/>
              <w:right w:type="dxa" w:w="100"/>
            </w:tcMar>
          </w:tcPr>
          <w:p>
            <w:r>
              <w:rPr>
                <w:b w:val="false"/>
                <w:bCs w:val="false"/>
                <w:sz w:val="20"/>
                <w:szCs w:val="20"/>
              </w:rPr>
              <w:t xml:space="preserve">Consistent empty/loading/error triads</w:t>
            </w:r>
          </w:p>
        </w:tc>
        <w:tc>
          <w:tcPr>
            <w:tcW w:type="dxa" w:w="6150"/>
            <w:tcMar>
              <w:top w:type="dxa" w:w="80"/>
              <w:left w:type="dxa" w:w="100"/>
              <w:bottom w:type="dxa" w:w="80"/>
              <w:right w:type="dxa" w:w="100"/>
            </w:tcMar>
          </w:tcPr>
          <w:p>
            <w:r>
              <w:rPr>
                <w:b w:val="false"/>
                <w:bCs w:val="false"/>
                <w:sz w:val="20"/>
                <w:szCs w:val="20"/>
              </w:rPr>
              <w:t xml:space="preserve">Every data-driven view defines all three states explicitly; no view may silently render blank</w:t>
            </w:r>
          </w:p>
        </w:tc>
      </w:tr>
      <w:tr>
        <w:tc>
          <w:tcPr>
            <w:tcW w:type="dxa" w:w="3200"/>
            <w:tcMar>
              <w:top w:type="dxa" w:w="80"/>
              <w:left w:type="dxa" w:w="100"/>
              <w:bottom w:type="dxa" w:w="80"/>
              <w:right w:type="dxa" w:w="100"/>
            </w:tcMar>
          </w:tcPr>
          <w:p>
            <w:r>
              <w:rPr>
                <w:b w:val="false"/>
                <w:bCs w:val="false"/>
                <w:sz w:val="20"/>
                <w:szCs w:val="20"/>
              </w:rPr>
              <w:t xml:space="preserve">Accessibility is a default, not an add-on</w:t>
            </w:r>
          </w:p>
        </w:tc>
        <w:tc>
          <w:tcPr>
            <w:tcW w:type="dxa" w:w="6150"/>
            <w:tcMar>
              <w:top w:type="dxa" w:w="80"/>
              <w:left w:type="dxa" w:w="100"/>
              <w:bottom w:type="dxa" w:w="80"/>
              <w:right w:type="dxa" w:w="100"/>
            </w:tcMar>
          </w:tcPr>
          <w:p>
            <w:r>
              <w:rPr>
                <w:b w:val="false"/>
                <w:bCs w:val="false"/>
                <w:sz w:val="20"/>
                <w:szCs w:val="20"/>
              </w:rPr>
              <w:t xml:space="preserve">WCAG 2.1 AA is the minimum bar for every page in this volume, per Volume 1 Section 16.1</w:t>
            </w:r>
          </w:p>
        </w:tc>
      </w:tr>
    </w:tbl>
    <w:p>
      <w:pPr>
        <w:pStyle w:val="Heading2"/>
        <w:spacing w:after="150" w:before="300"/>
      </w:pPr>
      <w:r>
        <w:t xml:space="preserve">1.4 Global Design Tokens — Quick Reference</w:t>
      </w:r>
    </w:p>
    <w:p>
      <w:pPr>
        <w:spacing w:after="160"/>
        <w:jc w:val="both"/>
      </w:pPr>
      <w:r>
        <w:t xml:space="preserve">Full token definitions, including hex values, tonal ramps, and usage rules, are in Volume 3. The table below is a quick reference used throughout this volume's per-page specifications.</w:t>
      </w:r>
    </w:p>
    <w:p>
      <w:pPr>
        <w:pStyle w:val="Heading3"/>
        <w:spacing w:after="100" w:before="200"/>
      </w:pPr>
      <w:r>
        <w:t xml:space="preserve">1.4.1 Color Tokens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5350"/>
      </w:tblGrid>
      <w:tr>
        <w:trPr>
          <w:tblHeader/>
        </w:trPr>
        <w:tc>
          <w:tcPr>
            <w:tcW w:type="dxa" w:w="1900"/>
            <w:shd w:fill="1B2A4A" w:val="clear"/>
            <w:tcMar>
              <w:top w:type="dxa" w:w="80"/>
              <w:left w:type="dxa" w:w="100"/>
              <w:bottom w:type="dxa" w:w="80"/>
              <w:right w:type="dxa" w:w="100"/>
            </w:tcMar>
          </w:tcPr>
          <w:p>
            <w:r>
              <w:rPr>
                <w:b/>
                <w:bCs/>
                <w:color w:val="FFFFFF"/>
                <w:sz w:val="20"/>
                <w:szCs w:val="20"/>
              </w:rPr>
              <w:t xml:space="preserve">Token</w:t>
            </w:r>
          </w:p>
        </w:tc>
        <w:tc>
          <w:tcPr>
            <w:tcW w:type="dxa" w:w="2100"/>
            <w:shd w:fill="1B2A4A" w:val="clear"/>
            <w:tcMar>
              <w:top w:type="dxa" w:w="80"/>
              <w:left w:type="dxa" w:w="100"/>
              <w:bottom w:type="dxa" w:w="80"/>
              <w:right w:type="dxa" w:w="100"/>
            </w:tcMar>
          </w:tcPr>
          <w:p>
            <w:r>
              <w:rPr>
                <w:b/>
                <w:bCs/>
                <w:color w:val="FFFFFF"/>
                <w:sz w:val="20"/>
                <w:szCs w:val="20"/>
              </w:rPr>
              <w:t xml:space="preserve">Approx. Value</w:t>
            </w:r>
          </w:p>
        </w:tc>
        <w:tc>
          <w:tcPr>
            <w:tcW w:type="dxa" w:w="5350"/>
            <w:shd w:fill="1B2A4A" w:val="clear"/>
            <w:tcMar>
              <w:top w:type="dxa" w:w="80"/>
              <w:left w:type="dxa" w:w="100"/>
              <w:bottom w:type="dxa" w:w="80"/>
              <w:right w:type="dxa" w:w="100"/>
            </w:tcMar>
          </w:tcPr>
          <w:p>
            <w:r>
              <w:rPr>
                <w:b/>
                <w:bCs/>
                <w:color w:val="FFFFFF"/>
                <w:sz w:val="20"/>
                <w:szCs w:val="20"/>
              </w:rPr>
              <w:t xml:space="preserve">Usage</w:t>
            </w:r>
          </w:p>
        </w:tc>
      </w:tr>
      <w:tr>
        <w:tc>
          <w:tcPr>
            <w:tcW w:type="dxa" w:w="1900"/>
            <w:tcMar>
              <w:top w:type="dxa" w:w="80"/>
              <w:left w:type="dxa" w:w="100"/>
              <w:bottom w:type="dxa" w:w="80"/>
              <w:right w:type="dxa" w:w="100"/>
            </w:tcMar>
          </w:tcPr>
          <w:p>
            <w:r>
              <w:rPr>
                <w:b w:val="false"/>
                <w:bCs w:val="false"/>
                <w:sz w:val="20"/>
                <w:szCs w:val="20"/>
              </w:rPr>
              <w:t xml:space="preserve">Navy-900</w:t>
            </w:r>
          </w:p>
        </w:tc>
        <w:tc>
          <w:tcPr>
            <w:tcW w:type="dxa" w:w="2100"/>
            <w:tcMar>
              <w:top w:type="dxa" w:w="80"/>
              <w:left w:type="dxa" w:w="100"/>
              <w:bottom w:type="dxa" w:w="80"/>
              <w:right w:type="dxa" w:w="100"/>
            </w:tcMar>
          </w:tcPr>
          <w:p>
            <w:r>
              <w:rPr>
                <w:b w:val="false"/>
                <w:bCs w:val="false"/>
                <w:sz w:val="20"/>
                <w:szCs w:val="20"/>
              </w:rPr>
              <w:t xml:space="preserve">#1B2A4A</w:t>
            </w:r>
          </w:p>
        </w:tc>
        <w:tc>
          <w:tcPr>
            <w:tcW w:type="dxa" w:w="5350"/>
            <w:tcMar>
              <w:top w:type="dxa" w:w="80"/>
              <w:left w:type="dxa" w:w="100"/>
              <w:bottom w:type="dxa" w:w="80"/>
              <w:right w:type="dxa" w:w="100"/>
            </w:tcMar>
          </w:tcPr>
          <w:p>
            <w:r>
              <w:rPr>
                <w:b w:val="false"/>
                <w:bCs w:val="false"/>
                <w:sz w:val="20"/>
                <w:szCs w:val="20"/>
              </w:rPr>
              <w:t xml:space="preserve">Primary brand color; headers, primary text on light surfaces, primary buttons</w:t>
            </w:r>
          </w:p>
        </w:tc>
      </w:tr>
      <w:tr>
        <w:tc>
          <w:tcPr>
            <w:tcW w:type="dxa" w:w="1900"/>
            <w:tcMar>
              <w:top w:type="dxa" w:w="80"/>
              <w:left w:type="dxa" w:w="100"/>
              <w:bottom w:type="dxa" w:w="80"/>
              <w:right w:type="dxa" w:w="100"/>
            </w:tcMar>
          </w:tcPr>
          <w:p>
            <w:r>
              <w:rPr>
                <w:b w:val="false"/>
                <w:bCs w:val="false"/>
                <w:sz w:val="20"/>
                <w:szCs w:val="20"/>
              </w:rPr>
              <w:t xml:space="preserve">Teal-500</w:t>
            </w:r>
          </w:p>
        </w:tc>
        <w:tc>
          <w:tcPr>
            <w:tcW w:type="dxa" w:w="2100"/>
            <w:tcMar>
              <w:top w:type="dxa" w:w="80"/>
              <w:left w:type="dxa" w:w="100"/>
              <w:bottom w:type="dxa" w:w="80"/>
              <w:right w:type="dxa" w:w="100"/>
            </w:tcMar>
          </w:tcPr>
          <w:p>
            <w:r>
              <w:rPr>
                <w:b w:val="false"/>
                <w:bCs w:val="false"/>
                <w:sz w:val="20"/>
                <w:szCs w:val="20"/>
              </w:rPr>
              <w:t xml:space="preserve">#0E7C7B</w:t>
            </w:r>
          </w:p>
        </w:tc>
        <w:tc>
          <w:tcPr>
            <w:tcW w:type="dxa" w:w="5350"/>
            <w:tcMar>
              <w:top w:type="dxa" w:w="80"/>
              <w:left w:type="dxa" w:w="100"/>
              <w:bottom w:type="dxa" w:w="80"/>
              <w:right w:type="dxa" w:w="100"/>
            </w:tcMar>
          </w:tcPr>
          <w:p>
            <w:r>
              <w:rPr>
                <w:b w:val="false"/>
                <w:bCs w:val="false"/>
                <w:sz w:val="20"/>
                <w:szCs w:val="20"/>
              </w:rPr>
              <w:t xml:space="preserve">Secondary brand/accent color; links, active states, secondary buttons, progress indicators</w:t>
            </w:r>
          </w:p>
        </w:tc>
      </w:tr>
      <w:tr>
        <w:tc>
          <w:tcPr>
            <w:tcW w:type="dxa" w:w="1900"/>
            <w:tcMar>
              <w:top w:type="dxa" w:w="80"/>
              <w:left w:type="dxa" w:w="100"/>
              <w:bottom w:type="dxa" w:w="80"/>
              <w:right w:type="dxa" w:w="100"/>
            </w:tcMar>
          </w:tcPr>
          <w:p>
            <w:r>
              <w:rPr>
                <w:b w:val="false"/>
                <w:bCs w:val="false"/>
                <w:sz w:val="20"/>
                <w:szCs w:val="20"/>
              </w:rPr>
              <w:t xml:space="preserve">Gold-500</w:t>
            </w:r>
          </w:p>
        </w:tc>
        <w:tc>
          <w:tcPr>
            <w:tcW w:type="dxa" w:w="2100"/>
            <w:tcMar>
              <w:top w:type="dxa" w:w="80"/>
              <w:left w:type="dxa" w:w="100"/>
              <w:bottom w:type="dxa" w:w="80"/>
              <w:right w:type="dxa" w:w="100"/>
            </w:tcMar>
          </w:tcPr>
          <w:p>
            <w:r>
              <w:rPr>
                <w:b w:val="false"/>
                <w:bCs w:val="false"/>
                <w:sz w:val="20"/>
                <w:szCs w:val="20"/>
              </w:rPr>
              <w:t xml:space="preserve">#C9A227</w:t>
            </w:r>
          </w:p>
        </w:tc>
        <w:tc>
          <w:tcPr>
            <w:tcW w:type="dxa" w:w="5350"/>
            <w:tcMar>
              <w:top w:type="dxa" w:w="80"/>
              <w:left w:type="dxa" w:w="100"/>
              <w:bottom w:type="dxa" w:w="80"/>
              <w:right w:type="dxa" w:w="100"/>
            </w:tcMar>
          </w:tcPr>
          <w:p>
            <w:r>
              <w:rPr>
                <w:b w:val="false"/>
                <w:bCs w:val="false"/>
                <w:sz w:val="20"/>
                <w:szCs w:val="20"/>
              </w:rPr>
              <w:t xml:space="preserve">Highlight/premium accent; Pro/Career+ tier badges, key metrics, celebratory states</w:t>
            </w:r>
          </w:p>
        </w:tc>
      </w:tr>
      <w:tr>
        <w:tc>
          <w:tcPr>
            <w:tcW w:type="dxa" w:w="1900"/>
            <w:tcMar>
              <w:top w:type="dxa" w:w="80"/>
              <w:left w:type="dxa" w:w="100"/>
              <w:bottom w:type="dxa" w:w="80"/>
              <w:right w:type="dxa" w:w="100"/>
            </w:tcMar>
          </w:tcPr>
          <w:p>
            <w:r>
              <w:rPr>
                <w:b w:val="false"/>
                <w:bCs w:val="false"/>
                <w:sz w:val="20"/>
                <w:szCs w:val="20"/>
              </w:rPr>
              <w:t xml:space="preserve">Success-Green</w:t>
            </w:r>
          </w:p>
        </w:tc>
        <w:tc>
          <w:tcPr>
            <w:tcW w:type="dxa" w:w="2100"/>
            <w:tcMar>
              <w:top w:type="dxa" w:w="80"/>
              <w:left w:type="dxa" w:w="100"/>
              <w:bottom w:type="dxa" w:w="80"/>
              <w:right w:type="dxa" w:w="100"/>
            </w:tcMar>
          </w:tcPr>
          <w:p>
            <w:r>
              <w:rPr>
                <w:b w:val="false"/>
                <w:bCs w:val="false"/>
                <w:sz w:val="20"/>
                <w:szCs w:val="20"/>
              </w:rPr>
              <w:t xml:space="preserve">#1E8E5A</w:t>
            </w:r>
          </w:p>
        </w:tc>
        <w:tc>
          <w:tcPr>
            <w:tcW w:type="dxa" w:w="5350"/>
            <w:tcMar>
              <w:top w:type="dxa" w:w="80"/>
              <w:left w:type="dxa" w:w="100"/>
              <w:bottom w:type="dxa" w:w="80"/>
              <w:right w:type="dxa" w:w="100"/>
            </w:tcMar>
          </w:tcPr>
          <w:p>
            <w:r>
              <w:rPr>
                <w:b w:val="false"/>
                <w:bCs w:val="false"/>
                <w:sz w:val="20"/>
                <w:szCs w:val="20"/>
              </w:rPr>
              <w:t xml:space="preserve">Positive states: high ATS score, successful match, completed steps</w:t>
            </w:r>
          </w:p>
        </w:tc>
      </w:tr>
      <w:tr>
        <w:tc>
          <w:tcPr>
            <w:tcW w:type="dxa" w:w="1900"/>
            <w:tcMar>
              <w:top w:type="dxa" w:w="80"/>
              <w:left w:type="dxa" w:w="100"/>
              <w:bottom w:type="dxa" w:w="80"/>
              <w:right w:type="dxa" w:w="100"/>
            </w:tcMar>
          </w:tcPr>
          <w:p>
            <w:r>
              <w:rPr>
                <w:b w:val="false"/>
                <w:bCs w:val="false"/>
                <w:sz w:val="20"/>
                <w:szCs w:val="20"/>
              </w:rPr>
              <w:t xml:space="preserve">Warning-Amber</w:t>
            </w:r>
          </w:p>
        </w:tc>
        <w:tc>
          <w:tcPr>
            <w:tcW w:type="dxa" w:w="2100"/>
            <w:tcMar>
              <w:top w:type="dxa" w:w="80"/>
              <w:left w:type="dxa" w:w="100"/>
              <w:bottom w:type="dxa" w:w="80"/>
              <w:right w:type="dxa" w:w="100"/>
            </w:tcMar>
          </w:tcPr>
          <w:p>
            <w:r>
              <w:rPr>
                <w:b w:val="false"/>
                <w:bCs w:val="false"/>
                <w:sz w:val="20"/>
                <w:szCs w:val="20"/>
              </w:rPr>
              <w:t xml:space="preserve">#C77700</w:t>
            </w:r>
          </w:p>
        </w:tc>
        <w:tc>
          <w:tcPr>
            <w:tcW w:type="dxa" w:w="5350"/>
            <w:tcMar>
              <w:top w:type="dxa" w:w="80"/>
              <w:left w:type="dxa" w:w="100"/>
              <w:bottom w:type="dxa" w:w="80"/>
              <w:right w:type="dxa" w:w="100"/>
            </w:tcMar>
          </w:tcPr>
          <w:p>
            <w:r>
              <w:rPr>
                <w:b w:val="false"/>
                <w:bCs w:val="false"/>
                <w:sz w:val="20"/>
                <w:szCs w:val="20"/>
              </w:rPr>
              <w:t xml:space="preserve">Caution states: medium ATS score, incomplete profile, pending verification</w:t>
            </w:r>
          </w:p>
        </w:tc>
      </w:tr>
      <w:tr>
        <w:tc>
          <w:tcPr>
            <w:tcW w:type="dxa" w:w="1900"/>
            <w:tcMar>
              <w:top w:type="dxa" w:w="80"/>
              <w:left w:type="dxa" w:w="100"/>
              <w:bottom w:type="dxa" w:w="80"/>
              <w:right w:type="dxa" w:w="100"/>
            </w:tcMar>
          </w:tcPr>
          <w:p>
            <w:r>
              <w:rPr>
                <w:b w:val="false"/>
                <w:bCs w:val="false"/>
                <w:sz w:val="20"/>
                <w:szCs w:val="20"/>
              </w:rPr>
              <w:t xml:space="preserve">Error-Red</w:t>
            </w:r>
          </w:p>
        </w:tc>
        <w:tc>
          <w:tcPr>
            <w:tcW w:type="dxa" w:w="2100"/>
            <w:tcMar>
              <w:top w:type="dxa" w:w="80"/>
              <w:left w:type="dxa" w:w="100"/>
              <w:bottom w:type="dxa" w:w="80"/>
              <w:right w:type="dxa" w:w="100"/>
            </w:tcMar>
          </w:tcPr>
          <w:p>
            <w:r>
              <w:rPr>
                <w:b w:val="false"/>
                <w:bCs w:val="false"/>
                <w:sz w:val="20"/>
                <w:szCs w:val="20"/>
              </w:rPr>
              <w:t xml:space="preserve">#C4362B</w:t>
            </w:r>
          </w:p>
        </w:tc>
        <w:tc>
          <w:tcPr>
            <w:tcW w:type="dxa" w:w="5350"/>
            <w:tcMar>
              <w:top w:type="dxa" w:w="80"/>
              <w:left w:type="dxa" w:w="100"/>
              <w:bottom w:type="dxa" w:w="80"/>
              <w:right w:type="dxa" w:w="100"/>
            </w:tcMar>
          </w:tcPr>
          <w:p>
            <w:r>
              <w:rPr>
                <w:b w:val="false"/>
                <w:bCs w:val="false"/>
                <w:sz w:val="20"/>
                <w:szCs w:val="20"/>
              </w:rPr>
              <w:t xml:space="preserve">Errors, destructive actions, low ATS score, failed validation</w:t>
            </w:r>
          </w:p>
        </w:tc>
      </w:tr>
      <w:tr>
        <w:tc>
          <w:tcPr>
            <w:tcW w:type="dxa" w:w="1900"/>
            <w:tcMar>
              <w:top w:type="dxa" w:w="80"/>
              <w:left w:type="dxa" w:w="100"/>
              <w:bottom w:type="dxa" w:w="80"/>
              <w:right w:type="dxa" w:w="100"/>
            </w:tcMar>
          </w:tcPr>
          <w:p>
            <w:r>
              <w:rPr>
                <w:b w:val="false"/>
                <w:bCs w:val="false"/>
                <w:sz w:val="20"/>
                <w:szCs w:val="20"/>
              </w:rPr>
              <w:t xml:space="preserve">Neutral-50 to Neutral-900</w:t>
            </w:r>
          </w:p>
        </w:tc>
        <w:tc>
          <w:tcPr>
            <w:tcW w:type="dxa" w:w="2100"/>
            <w:tcMar>
              <w:top w:type="dxa" w:w="80"/>
              <w:left w:type="dxa" w:w="100"/>
              <w:bottom w:type="dxa" w:w="80"/>
              <w:right w:type="dxa" w:w="100"/>
            </w:tcMar>
          </w:tcPr>
          <w:p>
            <w:r>
              <w:rPr>
                <w:b w:val="false"/>
                <w:bCs w:val="false"/>
                <w:sz w:val="20"/>
                <w:szCs w:val="20"/>
              </w:rPr>
              <w:t xml:space="preserve">#FAFAFA to #1A1A1A</w:t>
            </w:r>
          </w:p>
        </w:tc>
        <w:tc>
          <w:tcPr>
            <w:tcW w:type="dxa" w:w="5350"/>
            <w:tcMar>
              <w:top w:type="dxa" w:w="80"/>
              <w:left w:type="dxa" w:w="100"/>
              <w:bottom w:type="dxa" w:w="80"/>
              <w:right w:type="dxa" w:w="100"/>
            </w:tcMar>
          </w:tcPr>
          <w:p>
            <w:r>
              <w:rPr>
                <w:b w:val="false"/>
                <w:bCs w:val="false"/>
                <w:sz w:val="20"/>
                <w:szCs w:val="20"/>
              </w:rPr>
              <w:t xml:space="preserve">Surface, border, and text neutrals across light/dark themes</w:t>
            </w:r>
          </w:p>
        </w:tc>
      </w:tr>
    </w:tbl>
    <w:p>
      <w:pPr>
        <w:pStyle w:val="Heading3"/>
        <w:spacing w:after="100" w:before="200"/>
      </w:pPr>
      <w:r>
        <w:t xml:space="preserve">1.4.2 Typography Scale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650"/>
        <w:gridCol w:w="5000"/>
      </w:tblGrid>
      <w:tr>
        <w:trPr>
          <w:tblHeader/>
        </w:trPr>
        <w:tc>
          <w:tcPr>
            <w:tcW w:type="dxa" w:w="1700"/>
            <w:shd w:fill="1B2A4A" w:val="clear"/>
            <w:tcMar>
              <w:top w:type="dxa" w:w="80"/>
              <w:left w:type="dxa" w:w="100"/>
              <w:bottom w:type="dxa" w:w="80"/>
              <w:right w:type="dxa" w:w="100"/>
            </w:tcMar>
          </w:tcPr>
          <w:p>
            <w:r>
              <w:rPr>
                <w:b/>
                <w:bCs/>
                <w:color w:val="FFFFFF"/>
                <w:sz w:val="20"/>
                <w:szCs w:val="20"/>
              </w:rPr>
              <w:t xml:space="preserve">Token</w:t>
            </w:r>
          </w:p>
        </w:tc>
        <w:tc>
          <w:tcPr>
            <w:tcW w:type="dxa" w:w="2650"/>
            <w:shd w:fill="1B2A4A" w:val="clear"/>
            <w:tcMar>
              <w:top w:type="dxa" w:w="80"/>
              <w:left w:type="dxa" w:w="100"/>
              <w:bottom w:type="dxa" w:w="80"/>
              <w:right w:type="dxa" w:w="100"/>
            </w:tcMar>
          </w:tcPr>
          <w:p>
            <w:r>
              <w:rPr>
                <w:b/>
                <w:bCs/>
                <w:color w:val="FFFFFF"/>
                <w:sz w:val="20"/>
                <w:szCs w:val="20"/>
              </w:rPr>
              <w:t xml:space="preserve">Size / Weight</w:t>
            </w:r>
          </w:p>
        </w:tc>
        <w:tc>
          <w:tcPr>
            <w:tcW w:type="dxa" w:w="5000"/>
            <w:shd w:fill="1B2A4A" w:val="clear"/>
            <w:tcMar>
              <w:top w:type="dxa" w:w="80"/>
              <w:left w:type="dxa" w:w="100"/>
              <w:bottom w:type="dxa" w:w="80"/>
              <w:right w:type="dxa" w:w="100"/>
            </w:tcMar>
          </w:tcPr>
          <w:p>
            <w:r>
              <w:rPr>
                <w:b/>
                <w:bCs/>
                <w:color w:val="FFFFFF"/>
                <w:sz w:val="20"/>
                <w:szCs w:val="20"/>
              </w:rPr>
              <w:t xml:space="preserve">Usage</w:t>
            </w:r>
          </w:p>
        </w:tc>
      </w:tr>
      <w:tr>
        <w:tc>
          <w:tcPr>
            <w:tcW w:type="dxa" w:w="1700"/>
            <w:tcMar>
              <w:top w:type="dxa" w:w="80"/>
              <w:left w:type="dxa" w:w="100"/>
              <w:bottom w:type="dxa" w:w="80"/>
              <w:right w:type="dxa" w:w="100"/>
            </w:tcMar>
          </w:tcPr>
          <w:p>
            <w:r>
              <w:rPr>
                <w:b w:val="false"/>
                <w:bCs w:val="false"/>
                <w:sz w:val="20"/>
                <w:szCs w:val="20"/>
              </w:rPr>
              <w:t xml:space="preserve">Type-Display</w:t>
            </w:r>
          </w:p>
        </w:tc>
        <w:tc>
          <w:tcPr>
            <w:tcW w:type="dxa" w:w="2650"/>
            <w:tcMar>
              <w:top w:type="dxa" w:w="80"/>
              <w:left w:type="dxa" w:w="100"/>
              <w:bottom w:type="dxa" w:w="80"/>
              <w:right w:type="dxa" w:w="100"/>
            </w:tcMar>
          </w:tcPr>
          <w:p>
            <w:r>
              <w:rPr>
                <w:b w:val="false"/>
                <w:bCs w:val="false"/>
                <w:sz w:val="20"/>
                <w:szCs w:val="20"/>
              </w:rPr>
              <w:t xml:space="preserve">36–40px / Bold</w:t>
            </w:r>
          </w:p>
        </w:tc>
        <w:tc>
          <w:tcPr>
            <w:tcW w:type="dxa" w:w="5000"/>
            <w:tcMar>
              <w:top w:type="dxa" w:w="80"/>
              <w:left w:type="dxa" w:w="100"/>
              <w:bottom w:type="dxa" w:w="80"/>
              <w:right w:type="dxa" w:w="100"/>
            </w:tcMar>
          </w:tcPr>
          <w:p>
            <w:r>
              <w:rPr>
                <w:b w:val="false"/>
                <w:bCs w:val="false"/>
                <w:sz w:val="20"/>
                <w:szCs w:val="20"/>
              </w:rPr>
              <w:t xml:space="preserve">Landing hero headline only</w:t>
            </w:r>
          </w:p>
        </w:tc>
      </w:tr>
      <w:tr>
        <w:tc>
          <w:tcPr>
            <w:tcW w:type="dxa" w:w="1700"/>
            <w:tcMar>
              <w:top w:type="dxa" w:w="80"/>
              <w:left w:type="dxa" w:w="100"/>
              <w:bottom w:type="dxa" w:w="80"/>
              <w:right w:type="dxa" w:w="100"/>
            </w:tcMar>
          </w:tcPr>
          <w:p>
            <w:r>
              <w:rPr>
                <w:b w:val="false"/>
                <w:bCs w:val="false"/>
                <w:sz w:val="20"/>
                <w:szCs w:val="20"/>
              </w:rPr>
              <w:t xml:space="preserve">Type-H1</w:t>
            </w:r>
          </w:p>
        </w:tc>
        <w:tc>
          <w:tcPr>
            <w:tcW w:type="dxa" w:w="2650"/>
            <w:tcMar>
              <w:top w:type="dxa" w:w="80"/>
              <w:left w:type="dxa" w:w="100"/>
              <w:bottom w:type="dxa" w:w="80"/>
              <w:right w:type="dxa" w:w="100"/>
            </w:tcMar>
          </w:tcPr>
          <w:p>
            <w:r>
              <w:rPr>
                <w:b w:val="false"/>
                <w:bCs w:val="false"/>
                <w:sz w:val="20"/>
                <w:szCs w:val="20"/>
              </w:rPr>
              <w:t xml:space="preserve">28–32px / Bold</w:t>
            </w:r>
          </w:p>
        </w:tc>
        <w:tc>
          <w:tcPr>
            <w:tcW w:type="dxa" w:w="5000"/>
            <w:tcMar>
              <w:top w:type="dxa" w:w="80"/>
              <w:left w:type="dxa" w:w="100"/>
              <w:bottom w:type="dxa" w:w="80"/>
              <w:right w:type="dxa" w:w="100"/>
            </w:tcMar>
          </w:tcPr>
          <w:p>
            <w:r>
              <w:rPr>
                <w:b w:val="false"/>
                <w:bCs w:val="false"/>
                <w:sz w:val="20"/>
                <w:szCs w:val="20"/>
              </w:rPr>
              <w:t xml:space="preserve">Page-level titles</w:t>
            </w:r>
          </w:p>
        </w:tc>
      </w:tr>
      <w:tr>
        <w:tc>
          <w:tcPr>
            <w:tcW w:type="dxa" w:w="1700"/>
            <w:tcMar>
              <w:top w:type="dxa" w:w="80"/>
              <w:left w:type="dxa" w:w="100"/>
              <w:bottom w:type="dxa" w:w="80"/>
              <w:right w:type="dxa" w:w="100"/>
            </w:tcMar>
          </w:tcPr>
          <w:p>
            <w:r>
              <w:rPr>
                <w:b w:val="false"/>
                <w:bCs w:val="false"/>
                <w:sz w:val="20"/>
                <w:szCs w:val="20"/>
              </w:rPr>
              <w:t xml:space="preserve">Type-H2</w:t>
            </w:r>
          </w:p>
        </w:tc>
        <w:tc>
          <w:tcPr>
            <w:tcW w:type="dxa" w:w="2650"/>
            <w:tcMar>
              <w:top w:type="dxa" w:w="80"/>
              <w:left w:type="dxa" w:w="100"/>
              <w:bottom w:type="dxa" w:w="80"/>
              <w:right w:type="dxa" w:w="100"/>
            </w:tcMar>
          </w:tcPr>
          <w:p>
            <w:r>
              <w:rPr>
                <w:b w:val="false"/>
                <w:bCs w:val="false"/>
                <w:sz w:val="20"/>
                <w:szCs w:val="20"/>
              </w:rPr>
              <w:t xml:space="preserve">22–24px / Semibold</w:t>
            </w:r>
          </w:p>
        </w:tc>
        <w:tc>
          <w:tcPr>
            <w:tcW w:type="dxa" w:w="5000"/>
            <w:tcMar>
              <w:top w:type="dxa" w:w="80"/>
              <w:left w:type="dxa" w:w="100"/>
              <w:bottom w:type="dxa" w:w="80"/>
              <w:right w:type="dxa" w:w="100"/>
            </w:tcMar>
          </w:tcPr>
          <w:p>
            <w:r>
              <w:rPr>
                <w:b w:val="false"/>
                <w:bCs w:val="false"/>
                <w:sz w:val="20"/>
                <w:szCs w:val="20"/>
              </w:rPr>
              <w:t xml:space="preserve">Section titles within a page</w:t>
            </w:r>
          </w:p>
        </w:tc>
      </w:tr>
      <w:tr>
        <w:tc>
          <w:tcPr>
            <w:tcW w:type="dxa" w:w="1700"/>
            <w:tcMar>
              <w:top w:type="dxa" w:w="80"/>
              <w:left w:type="dxa" w:w="100"/>
              <w:bottom w:type="dxa" w:w="80"/>
              <w:right w:type="dxa" w:w="100"/>
            </w:tcMar>
          </w:tcPr>
          <w:p>
            <w:r>
              <w:rPr>
                <w:b w:val="false"/>
                <w:bCs w:val="false"/>
                <w:sz w:val="20"/>
                <w:szCs w:val="20"/>
              </w:rPr>
              <w:t xml:space="preserve">Type-H3</w:t>
            </w:r>
          </w:p>
        </w:tc>
        <w:tc>
          <w:tcPr>
            <w:tcW w:type="dxa" w:w="2650"/>
            <w:tcMar>
              <w:top w:type="dxa" w:w="80"/>
              <w:left w:type="dxa" w:w="100"/>
              <w:bottom w:type="dxa" w:w="80"/>
              <w:right w:type="dxa" w:w="100"/>
            </w:tcMar>
          </w:tcPr>
          <w:p>
            <w:r>
              <w:rPr>
                <w:b w:val="false"/>
                <w:bCs w:val="false"/>
                <w:sz w:val="20"/>
                <w:szCs w:val="20"/>
              </w:rPr>
              <w:t xml:space="preserve">18–20px / Semibold</w:t>
            </w:r>
          </w:p>
        </w:tc>
        <w:tc>
          <w:tcPr>
            <w:tcW w:type="dxa" w:w="5000"/>
            <w:tcMar>
              <w:top w:type="dxa" w:w="80"/>
              <w:left w:type="dxa" w:w="100"/>
              <w:bottom w:type="dxa" w:w="80"/>
              <w:right w:type="dxa" w:w="100"/>
            </w:tcMar>
          </w:tcPr>
          <w:p>
            <w:r>
              <w:rPr>
                <w:b w:val="false"/>
                <w:bCs w:val="false"/>
                <w:sz w:val="20"/>
                <w:szCs w:val="20"/>
              </w:rPr>
              <w:t xml:space="preserve">Card/component titles</w:t>
            </w:r>
          </w:p>
        </w:tc>
      </w:tr>
      <w:tr>
        <w:tc>
          <w:tcPr>
            <w:tcW w:type="dxa" w:w="1700"/>
            <w:tcMar>
              <w:top w:type="dxa" w:w="80"/>
              <w:left w:type="dxa" w:w="100"/>
              <w:bottom w:type="dxa" w:w="80"/>
              <w:right w:type="dxa" w:w="100"/>
            </w:tcMar>
          </w:tcPr>
          <w:p>
            <w:r>
              <w:rPr>
                <w:b w:val="false"/>
                <w:bCs w:val="false"/>
                <w:sz w:val="20"/>
                <w:szCs w:val="20"/>
              </w:rPr>
              <w:t xml:space="preserve">Type-Body</w:t>
            </w:r>
          </w:p>
        </w:tc>
        <w:tc>
          <w:tcPr>
            <w:tcW w:type="dxa" w:w="2650"/>
            <w:tcMar>
              <w:top w:type="dxa" w:w="80"/>
              <w:left w:type="dxa" w:w="100"/>
              <w:bottom w:type="dxa" w:w="80"/>
              <w:right w:type="dxa" w:w="100"/>
            </w:tcMar>
          </w:tcPr>
          <w:p>
            <w:r>
              <w:rPr>
                <w:b w:val="false"/>
                <w:bCs w:val="false"/>
                <w:sz w:val="20"/>
                <w:szCs w:val="20"/>
              </w:rPr>
              <w:t xml:space="preserve">15–16px / Regular</w:t>
            </w:r>
          </w:p>
        </w:tc>
        <w:tc>
          <w:tcPr>
            <w:tcW w:type="dxa" w:w="5000"/>
            <w:tcMar>
              <w:top w:type="dxa" w:w="80"/>
              <w:left w:type="dxa" w:w="100"/>
              <w:bottom w:type="dxa" w:w="80"/>
              <w:right w:type="dxa" w:w="100"/>
            </w:tcMar>
          </w:tcPr>
          <w:p>
            <w:r>
              <w:rPr>
                <w:b w:val="false"/>
                <w:bCs w:val="false"/>
                <w:sz w:val="20"/>
                <w:szCs w:val="20"/>
              </w:rPr>
              <w:t xml:space="preserve">Primary body text</w:t>
            </w:r>
          </w:p>
        </w:tc>
      </w:tr>
      <w:tr>
        <w:tc>
          <w:tcPr>
            <w:tcW w:type="dxa" w:w="1700"/>
            <w:tcMar>
              <w:top w:type="dxa" w:w="80"/>
              <w:left w:type="dxa" w:w="100"/>
              <w:bottom w:type="dxa" w:w="80"/>
              <w:right w:type="dxa" w:w="100"/>
            </w:tcMar>
          </w:tcPr>
          <w:p>
            <w:r>
              <w:rPr>
                <w:b w:val="false"/>
                <w:bCs w:val="false"/>
                <w:sz w:val="20"/>
                <w:szCs w:val="20"/>
              </w:rPr>
              <w:t xml:space="preserve">Type-Caption</w:t>
            </w:r>
          </w:p>
        </w:tc>
        <w:tc>
          <w:tcPr>
            <w:tcW w:type="dxa" w:w="2650"/>
            <w:tcMar>
              <w:top w:type="dxa" w:w="80"/>
              <w:left w:type="dxa" w:w="100"/>
              <w:bottom w:type="dxa" w:w="80"/>
              <w:right w:type="dxa" w:w="100"/>
            </w:tcMar>
          </w:tcPr>
          <w:p>
            <w:r>
              <w:rPr>
                <w:b w:val="false"/>
                <w:bCs w:val="false"/>
                <w:sz w:val="20"/>
                <w:szCs w:val="20"/>
              </w:rPr>
              <w:t xml:space="preserve">12–13px / Regular</w:t>
            </w:r>
          </w:p>
        </w:tc>
        <w:tc>
          <w:tcPr>
            <w:tcW w:type="dxa" w:w="5000"/>
            <w:tcMar>
              <w:top w:type="dxa" w:w="80"/>
              <w:left w:type="dxa" w:w="100"/>
              <w:bottom w:type="dxa" w:w="80"/>
              <w:right w:type="dxa" w:w="100"/>
            </w:tcMar>
          </w:tcPr>
          <w:p>
            <w:r>
              <w:rPr>
                <w:b w:val="false"/>
                <w:bCs w:val="false"/>
                <w:sz w:val="20"/>
                <w:szCs w:val="20"/>
              </w:rPr>
              <w:t xml:space="preserve">Metadata, timestamps, helper text</w:t>
            </w:r>
          </w:p>
        </w:tc>
      </w:tr>
      <w:tr>
        <w:tc>
          <w:tcPr>
            <w:tcW w:type="dxa" w:w="1700"/>
            <w:tcMar>
              <w:top w:type="dxa" w:w="80"/>
              <w:left w:type="dxa" w:w="100"/>
              <w:bottom w:type="dxa" w:w="80"/>
              <w:right w:type="dxa" w:w="100"/>
            </w:tcMar>
          </w:tcPr>
          <w:p>
            <w:r>
              <w:rPr>
                <w:b w:val="false"/>
                <w:bCs w:val="false"/>
                <w:sz w:val="20"/>
                <w:szCs w:val="20"/>
              </w:rPr>
              <w:t xml:space="preserve">Type-Label</w:t>
            </w:r>
          </w:p>
        </w:tc>
        <w:tc>
          <w:tcPr>
            <w:tcW w:type="dxa" w:w="2650"/>
            <w:tcMar>
              <w:top w:type="dxa" w:w="80"/>
              <w:left w:type="dxa" w:w="100"/>
              <w:bottom w:type="dxa" w:w="80"/>
              <w:right w:type="dxa" w:w="100"/>
            </w:tcMar>
          </w:tcPr>
          <w:p>
            <w:r>
              <w:rPr>
                <w:b w:val="false"/>
                <w:bCs w:val="false"/>
                <w:sz w:val="20"/>
                <w:szCs w:val="20"/>
              </w:rPr>
              <w:t xml:space="preserve">12–13px / Semibold, uppercase, letter-spaced</w:t>
            </w:r>
          </w:p>
        </w:tc>
        <w:tc>
          <w:tcPr>
            <w:tcW w:type="dxa" w:w="5000"/>
            <w:tcMar>
              <w:top w:type="dxa" w:w="80"/>
              <w:left w:type="dxa" w:w="100"/>
              <w:bottom w:type="dxa" w:w="80"/>
              <w:right w:type="dxa" w:w="100"/>
            </w:tcMar>
          </w:tcPr>
          <w:p>
            <w:r>
              <w:rPr>
                <w:b w:val="false"/>
                <w:bCs w:val="false"/>
                <w:sz w:val="20"/>
                <w:szCs w:val="20"/>
              </w:rPr>
              <w:t xml:space="preserve">Form field labels, tags, badges</w:t>
            </w:r>
          </w:p>
        </w:tc>
      </w:tr>
    </w:tbl>
    <w:p>
      <w:pPr>
        <w:pStyle w:val="Heading3"/>
        <w:spacing w:after="100" w:before="200"/>
      </w:pPr>
      <w:r>
        <w:t xml:space="preserve">1.4.3 Spacing Scale</w:t>
      </w:r>
    </w:p>
    <w:p>
      <w:pPr>
        <w:spacing w:after="160"/>
        <w:jc w:val="both"/>
      </w:pPr>
      <w:r>
        <w:t xml:space="preserve">SwipeX uses a 4px base spacing scale: Space-1 = 4px, Space-2 = 8px, Space-3 = 12px, Space-4 = 16px, Space-5 = 24px, Space-6 = 32px, Space-7 = 48px, Space-8 = 64px. Component-internal padding uses Space-2 to Space-4; section-level separation uses Space-6 to Space-8.</w:t>
      </w:r>
    </w:p>
    <w:p>
      <w:pPr>
        <w:pStyle w:val="Heading3"/>
        <w:spacing w:after="100" w:before="200"/>
      </w:pPr>
      <w:r>
        <w:t xml:space="preserve">1.4.4 Breakpoints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750"/>
      </w:tblGrid>
      <w:tr>
        <w:trPr>
          <w:tblHeader/>
        </w:trPr>
        <w:tc>
          <w:tcPr>
            <w:tcW w:type="dxa" w:w="1700"/>
            <w:shd w:fill="1B2A4A" w:val="clear"/>
            <w:tcMar>
              <w:top w:type="dxa" w:w="80"/>
              <w:left w:type="dxa" w:w="100"/>
              <w:bottom w:type="dxa" w:w="80"/>
              <w:right w:type="dxa" w:w="100"/>
            </w:tcMar>
          </w:tcPr>
          <w:p>
            <w:r>
              <w:rPr>
                <w:b/>
                <w:bCs/>
                <w:color w:val="FFFFFF"/>
                <w:sz w:val="20"/>
                <w:szCs w:val="20"/>
              </w:rPr>
              <w:t xml:space="preserve">Breakpoint</w:t>
            </w:r>
          </w:p>
        </w:tc>
        <w:tc>
          <w:tcPr>
            <w:tcW w:type="dxa" w:w="1900"/>
            <w:shd w:fill="1B2A4A" w:val="clear"/>
            <w:tcMar>
              <w:top w:type="dxa" w:w="80"/>
              <w:left w:type="dxa" w:w="100"/>
              <w:bottom w:type="dxa" w:w="80"/>
              <w:right w:type="dxa" w:w="100"/>
            </w:tcMar>
          </w:tcPr>
          <w:p>
            <w:r>
              <w:rPr>
                <w:b/>
                <w:bCs/>
                <w:color w:val="FFFFFF"/>
                <w:sz w:val="20"/>
                <w:szCs w:val="20"/>
              </w:rPr>
              <w:t xml:space="preserve">Width Range</w:t>
            </w:r>
          </w:p>
        </w:tc>
        <w:tc>
          <w:tcPr>
            <w:tcW w:type="dxa" w:w="5750"/>
            <w:shd w:fill="1B2A4A" w:val="clear"/>
            <w:tcMar>
              <w:top w:type="dxa" w:w="80"/>
              <w:left w:type="dxa" w:w="100"/>
              <w:bottom w:type="dxa" w:w="80"/>
              <w:right w:type="dxa" w:w="100"/>
            </w:tcMar>
          </w:tcPr>
          <w:p>
            <w:r>
              <w:rPr>
                <w:b/>
                <w:bCs/>
                <w:color w:val="FFFFFF"/>
                <w:sz w:val="20"/>
                <w:szCs w:val="20"/>
              </w:rPr>
              <w:t xml:space="preserve">Layout Behavior</w:t>
            </w:r>
          </w:p>
        </w:tc>
      </w:tr>
      <w:tr>
        <w:tc>
          <w:tcPr>
            <w:tcW w:type="dxa" w:w="1700"/>
            <w:tcMar>
              <w:top w:type="dxa" w:w="80"/>
              <w:left w:type="dxa" w:w="100"/>
              <w:bottom w:type="dxa" w:w="80"/>
              <w:right w:type="dxa" w:w="100"/>
            </w:tcMar>
          </w:tcPr>
          <w:p>
            <w:r>
              <w:rPr>
                <w:b w:val="false"/>
                <w:bCs w:val="false"/>
                <w:sz w:val="20"/>
                <w:szCs w:val="20"/>
              </w:rPr>
              <w:t xml:space="preserve">Mobile</w:t>
            </w:r>
          </w:p>
        </w:tc>
        <w:tc>
          <w:tcPr>
            <w:tcW w:type="dxa" w:w="1900"/>
            <w:tcMar>
              <w:top w:type="dxa" w:w="80"/>
              <w:left w:type="dxa" w:w="100"/>
              <w:bottom w:type="dxa" w:w="80"/>
              <w:right w:type="dxa" w:w="100"/>
            </w:tcMar>
          </w:tcPr>
          <w:p>
            <w:r>
              <w:rPr>
                <w:b w:val="false"/>
                <w:bCs w:val="false"/>
                <w:sz w:val="20"/>
                <w:szCs w:val="20"/>
              </w:rPr>
              <w:t xml:space="preserve">320px – 599px</w:t>
            </w:r>
          </w:p>
        </w:tc>
        <w:tc>
          <w:tcPr>
            <w:tcW w:type="dxa" w:w="5750"/>
            <w:tcMar>
              <w:top w:type="dxa" w:w="80"/>
              <w:left w:type="dxa" w:w="100"/>
              <w:bottom w:type="dxa" w:w="80"/>
              <w:right w:type="dxa" w:w="100"/>
            </w:tcMar>
          </w:tcPr>
          <w:p>
            <w:r>
              <w:rPr>
                <w:b w:val="false"/>
                <w:bCs w:val="false"/>
                <w:sz w:val="20"/>
                <w:szCs w:val="20"/>
              </w:rPr>
              <w:t xml:space="preserve">Single-column, bottom navigation, full-width cards</w:t>
            </w:r>
          </w:p>
        </w:tc>
      </w:tr>
      <w:tr>
        <w:tc>
          <w:tcPr>
            <w:tcW w:type="dxa" w:w="1700"/>
            <w:tcMar>
              <w:top w:type="dxa" w:w="80"/>
              <w:left w:type="dxa" w:w="100"/>
              <w:bottom w:type="dxa" w:w="80"/>
              <w:right w:type="dxa" w:w="100"/>
            </w:tcMar>
          </w:tcPr>
          <w:p>
            <w:r>
              <w:rPr>
                <w:b w:val="false"/>
                <w:bCs w:val="false"/>
                <w:sz w:val="20"/>
                <w:szCs w:val="20"/>
              </w:rPr>
              <w:t xml:space="preserve">Tablet</w:t>
            </w:r>
          </w:p>
        </w:tc>
        <w:tc>
          <w:tcPr>
            <w:tcW w:type="dxa" w:w="1900"/>
            <w:tcMar>
              <w:top w:type="dxa" w:w="80"/>
              <w:left w:type="dxa" w:w="100"/>
              <w:bottom w:type="dxa" w:w="80"/>
              <w:right w:type="dxa" w:w="100"/>
            </w:tcMar>
          </w:tcPr>
          <w:p>
            <w:r>
              <w:rPr>
                <w:b w:val="false"/>
                <w:bCs w:val="false"/>
                <w:sz w:val="20"/>
                <w:szCs w:val="20"/>
              </w:rPr>
              <w:t xml:space="preserve">600px – 1023px</w:t>
            </w:r>
          </w:p>
        </w:tc>
        <w:tc>
          <w:tcPr>
            <w:tcW w:type="dxa" w:w="5750"/>
            <w:tcMar>
              <w:top w:type="dxa" w:w="80"/>
              <w:left w:type="dxa" w:w="100"/>
              <w:bottom w:type="dxa" w:w="80"/>
              <w:right w:type="dxa" w:w="100"/>
            </w:tcMar>
          </w:tcPr>
          <w:p>
            <w:r>
              <w:rPr>
                <w:b w:val="false"/>
                <w:bCs w:val="false"/>
                <w:sz w:val="20"/>
                <w:szCs w:val="20"/>
              </w:rPr>
              <w:t xml:space="preserve">Two-column where applicable, side navigation collapses to icons</w:t>
            </w:r>
          </w:p>
        </w:tc>
      </w:tr>
      <w:tr>
        <w:tc>
          <w:tcPr>
            <w:tcW w:type="dxa" w:w="1700"/>
            <w:tcMar>
              <w:top w:type="dxa" w:w="80"/>
              <w:left w:type="dxa" w:w="100"/>
              <w:bottom w:type="dxa" w:w="80"/>
              <w:right w:type="dxa" w:w="100"/>
            </w:tcMar>
          </w:tcPr>
          <w:p>
            <w:r>
              <w:rPr>
                <w:b w:val="false"/>
                <w:bCs w:val="false"/>
                <w:sz w:val="20"/>
                <w:szCs w:val="20"/>
              </w:rPr>
              <w:t xml:space="preserve">Desktop</w:t>
            </w:r>
          </w:p>
        </w:tc>
        <w:tc>
          <w:tcPr>
            <w:tcW w:type="dxa" w:w="1900"/>
            <w:tcMar>
              <w:top w:type="dxa" w:w="80"/>
              <w:left w:type="dxa" w:w="100"/>
              <w:bottom w:type="dxa" w:w="80"/>
              <w:right w:type="dxa" w:w="100"/>
            </w:tcMar>
          </w:tcPr>
          <w:p>
            <w:r>
              <w:rPr>
                <w:b w:val="false"/>
                <w:bCs w:val="false"/>
                <w:sz w:val="20"/>
                <w:szCs w:val="20"/>
              </w:rPr>
              <w:t xml:space="preserve">1024px – 1439px</w:t>
            </w:r>
          </w:p>
        </w:tc>
        <w:tc>
          <w:tcPr>
            <w:tcW w:type="dxa" w:w="5750"/>
            <w:tcMar>
              <w:top w:type="dxa" w:w="80"/>
              <w:left w:type="dxa" w:w="100"/>
              <w:bottom w:type="dxa" w:w="80"/>
              <w:right w:type="dxa" w:w="100"/>
            </w:tcMar>
          </w:tcPr>
          <w:p>
            <w:r>
              <w:rPr>
                <w:b w:val="false"/>
                <w:bCs w:val="false"/>
                <w:sz w:val="20"/>
                <w:szCs w:val="20"/>
              </w:rPr>
              <w:t xml:space="preserve">Full multi-column layout, persistent side navigation</w:t>
            </w:r>
          </w:p>
        </w:tc>
      </w:tr>
      <w:tr>
        <w:tc>
          <w:tcPr>
            <w:tcW w:type="dxa" w:w="1700"/>
            <w:tcMar>
              <w:top w:type="dxa" w:w="80"/>
              <w:left w:type="dxa" w:w="100"/>
              <w:bottom w:type="dxa" w:w="80"/>
              <w:right w:type="dxa" w:w="100"/>
            </w:tcMar>
          </w:tcPr>
          <w:p>
            <w:r>
              <w:rPr>
                <w:b w:val="false"/>
                <w:bCs w:val="false"/>
                <w:sz w:val="20"/>
                <w:szCs w:val="20"/>
              </w:rPr>
              <w:t xml:space="preserve">Wide Desktop</w:t>
            </w:r>
          </w:p>
        </w:tc>
        <w:tc>
          <w:tcPr>
            <w:tcW w:type="dxa" w:w="1900"/>
            <w:tcMar>
              <w:top w:type="dxa" w:w="80"/>
              <w:left w:type="dxa" w:w="100"/>
              <w:bottom w:type="dxa" w:w="80"/>
              <w:right w:type="dxa" w:w="100"/>
            </w:tcMar>
          </w:tcPr>
          <w:p>
            <w:r>
              <w:rPr>
                <w:b w:val="false"/>
                <w:bCs w:val="false"/>
                <w:sz w:val="20"/>
                <w:szCs w:val="20"/>
              </w:rPr>
              <w:t xml:space="preserve">1440px+</w:t>
            </w:r>
          </w:p>
        </w:tc>
        <w:tc>
          <w:tcPr>
            <w:tcW w:type="dxa" w:w="5750"/>
            <w:tcMar>
              <w:top w:type="dxa" w:w="80"/>
              <w:left w:type="dxa" w:w="100"/>
              <w:bottom w:type="dxa" w:w="80"/>
              <w:right w:type="dxa" w:w="100"/>
            </w:tcMar>
          </w:tcPr>
          <w:p>
            <w:r>
              <w:rPr>
                <w:b w:val="false"/>
                <w:bCs w:val="false"/>
                <w:sz w:val="20"/>
                <w:szCs w:val="20"/>
              </w:rPr>
              <w:t xml:space="preserve">Max content width capped at 1280px, centered, generous margins</w:t>
            </w:r>
          </w:p>
        </w:tc>
      </w:tr>
    </w:tbl>
    <w:p>
      <w:pPr>
        <w:pStyle w:val="Heading2"/>
        <w:spacing w:after="150" w:before="300"/>
      </w:pPr>
      <w:r>
        <w:t xml:space="preserve">1.5 Accessibility Baseline (Applies to Every Page)</w:t>
      </w:r>
    </w:p>
    <w:p>
      <w:pPr>
        <w:pStyle w:val="ListParagraph"/>
        <w:numPr>
          <w:ilvl w:val="0"/>
          <w:numId w:val="1"/>
        </w:numPr>
        <w:spacing w:after="80"/>
      </w:pPr>
      <w:r>
        <w:t xml:space="preserve">Minimum contrast ratio 4.5:1 for body text, 3:1 for large text and UI component boundaries.</w:t>
      </w:r>
    </w:p>
    <w:p>
      <w:pPr>
        <w:pStyle w:val="ListParagraph"/>
        <w:numPr>
          <w:ilvl w:val="0"/>
          <w:numId w:val="1"/>
        </w:numPr>
        <w:spacing w:after="80"/>
      </w:pPr>
      <w:r>
        <w:t xml:space="preserve">All interactive elements reachable and operable via keyboard alone, with a visible focus indicator.</w:t>
      </w:r>
    </w:p>
    <w:p>
      <w:pPr>
        <w:pStyle w:val="ListParagraph"/>
        <w:numPr>
          <w:ilvl w:val="0"/>
          <w:numId w:val="1"/>
        </w:numPr>
        <w:spacing w:after="80"/>
      </w:pPr>
      <w:r>
        <w:t xml:space="preserve">All images and icons conveying meaning have text alternatives (alt text or aria-label).</w:t>
      </w:r>
    </w:p>
    <w:p>
      <w:pPr>
        <w:pStyle w:val="ListParagraph"/>
        <w:numPr>
          <w:ilvl w:val="0"/>
          <w:numId w:val="1"/>
        </w:numPr>
        <w:spacing w:after="80"/>
      </w:pPr>
      <w:r>
        <w:t xml:space="preserve">All swipe-gesture interactions have a keyboard/button-based equivalent (Section 5, Swipe Feed).</w:t>
      </w:r>
    </w:p>
    <w:p>
      <w:pPr>
        <w:pStyle w:val="ListParagraph"/>
        <w:numPr>
          <w:ilvl w:val="0"/>
          <w:numId w:val="1"/>
        </w:numPr>
        <w:spacing w:after="80"/>
      </w:pPr>
      <w:r>
        <w:t xml:space="preserve">Form errors are announced to screen readers via aria-live regions, not conveyed by color alone.</w:t>
      </w:r>
    </w:p>
    <w:p>
      <w:pPr>
        <w:pStyle w:val="ListParagraph"/>
        <w:numPr>
          <w:ilvl w:val="0"/>
          <w:numId w:val="1"/>
        </w:numPr>
        <w:spacing w:after="80"/>
      </w:pPr>
      <w:r>
        <w:t xml:space="preserve">Animations respect prefers-reduced-motion; motion-heavy transitions degrade to simple fades/cuts when set.</w:t>
      </w:r>
    </w:p>
    <w:p>
      <w:pPr>
        <w:pStyle w:val="Heading2"/>
        <w:spacing w:after="150" w:before="300"/>
      </w:pPr>
      <w:r>
        <w:t xml:space="preserve">1.6 Page Inventory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200"/>
        <w:gridCol w:w="3650"/>
      </w:tblGrid>
      <w:tr>
        <w:trPr>
          <w:tblHeader/>
        </w:trPr>
        <w:tc>
          <w:tcPr>
            <w:tcW w:type="dxa" w:w="500"/>
            <w:shd w:fill="1B2A4A" w:val="clear"/>
            <w:tcMar>
              <w:top w:type="dxa" w:w="80"/>
              <w:left w:type="dxa" w:w="100"/>
              <w:bottom w:type="dxa" w:w="80"/>
              <w:right w:type="dxa" w:w="100"/>
            </w:tcMar>
          </w:tcPr>
          <w:p>
            <w:r>
              <w:rPr>
                <w:b/>
                <w:bCs/>
                <w:color w:val="FFFFFF"/>
                <w:sz w:val="20"/>
                <w:szCs w:val="20"/>
              </w:rPr>
              <w:t xml:space="preserve">#</w:t>
            </w:r>
          </w:p>
        </w:tc>
        <w:tc>
          <w:tcPr>
            <w:tcW w:type="dxa" w:w="2000"/>
            <w:shd w:fill="1B2A4A" w:val="clear"/>
            <w:tcMar>
              <w:top w:type="dxa" w:w="80"/>
              <w:left w:type="dxa" w:w="100"/>
              <w:bottom w:type="dxa" w:w="80"/>
              <w:right w:type="dxa" w:w="100"/>
            </w:tcMar>
          </w:tcPr>
          <w:p>
            <w:r>
              <w:rPr>
                <w:b/>
                <w:bCs/>
                <w:color w:val="FFFFFF"/>
                <w:sz w:val="20"/>
                <w:szCs w:val="20"/>
              </w:rPr>
              <w:t xml:space="preserve">Page</w:t>
            </w:r>
          </w:p>
        </w:tc>
        <w:tc>
          <w:tcPr>
            <w:tcW w:type="dxa" w:w="3200"/>
            <w:shd w:fill="1B2A4A" w:val="clear"/>
            <w:tcMar>
              <w:top w:type="dxa" w:w="80"/>
              <w:left w:type="dxa" w:w="100"/>
              <w:bottom w:type="dxa" w:w="80"/>
              <w:right w:type="dxa" w:w="100"/>
            </w:tcMar>
          </w:tcPr>
          <w:p>
            <w:r>
              <w:rPr>
                <w:b/>
                <w:bCs/>
                <w:color w:val="FFFFFF"/>
                <w:sz w:val="20"/>
                <w:szCs w:val="20"/>
              </w:rPr>
              <w:t xml:space="preserve">Primary Persona (Volume 1 §12)</w:t>
            </w:r>
          </w:p>
        </w:tc>
        <w:tc>
          <w:tcPr>
            <w:tcW w:type="dxa" w:w="3650"/>
            <w:shd w:fill="1B2A4A" w:val="clear"/>
            <w:tcMar>
              <w:top w:type="dxa" w:w="80"/>
              <w:left w:type="dxa" w:w="100"/>
              <w:bottom w:type="dxa" w:w="80"/>
              <w:right w:type="dxa" w:w="100"/>
            </w:tcMar>
          </w:tcPr>
          <w:p>
            <w:r>
              <w:rPr>
                <w:b/>
                <w:bCs/>
                <w:color w:val="FFFFFF"/>
                <w:sz w:val="20"/>
                <w:szCs w:val="20"/>
              </w:rPr>
              <w:t xml:space="preserve">Journey Stage (Volume 1 §13)</w:t>
            </w:r>
          </w:p>
        </w:tc>
      </w:tr>
      <w:tr>
        <w:tc>
          <w:tcPr>
            <w:tcW w:type="dxa" w:w="500"/>
            <w:tcMar>
              <w:top w:type="dxa" w:w="80"/>
              <w:left w:type="dxa" w:w="100"/>
              <w:bottom w:type="dxa" w:w="80"/>
              <w:right w:type="dxa" w:w="100"/>
            </w:tcMar>
          </w:tcPr>
          <w:p>
            <w:r>
              <w:rPr>
                <w:b w:val="false"/>
                <w:bCs w:val="false"/>
                <w:sz w:val="20"/>
                <w:szCs w:val="20"/>
              </w:rPr>
              <w:t xml:space="preserve">1</w:t>
            </w:r>
          </w:p>
        </w:tc>
        <w:tc>
          <w:tcPr>
            <w:tcW w:type="dxa" w:w="2000"/>
            <w:tcMar>
              <w:top w:type="dxa" w:w="80"/>
              <w:left w:type="dxa" w:w="100"/>
              <w:bottom w:type="dxa" w:w="80"/>
              <w:right w:type="dxa" w:w="100"/>
            </w:tcMar>
          </w:tcPr>
          <w:p>
            <w:r>
              <w:rPr>
                <w:b w:val="false"/>
                <w:bCs w:val="false"/>
                <w:sz w:val="20"/>
                <w:szCs w:val="20"/>
              </w:rPr>
              <w:t xml:space="preserve">Landing Page</w:t>
            </w:r>
          </w:p>
        </w:tc>
        <w:tc>
          <w:tcPr>
            <w:tcW w:type="dxa" w:w="3200"/>
            <w:tcMar>
              <w:top w:type="dxa" w:w="80"/>
              <w:left w:type="dxa" w:w="100"/>
              <w:bottom w:type="dxa" w:w="80"/>
              <w:right w:type="dxa" w:w="100"/>
            </w:tcMar>
          </w:tcPr>
          <w:p>
            <w:r>
              <w:rPr>
                <w:b w:val="false"/>
                <w:bCs w:val="false"/>
                <w:sz w:val="20"/>
                <w:szCs w:val="20"/>
              </w:rPr>
              <w:t xml:space="preserve">All / pre-signup visitor</w:t>
            </w:r>
          </w:p>
        </w:tc>
        <w:tc>
          <w:tcPr>
            <w:tcW w:type="dxa" w:w="3650"/>
            <w:tcMar>
              <w:top w:type="dxa" w:w="80"/>
              <w:left w:type="dxa" w:w="100"/>
              <w:bottom w:type="dxa" w:w="80"/>
              <w:right w:type="dxa" w:w="100"/>
            </w:tcMar>
          </w:tcPr>
          <w:p>
            <w:r>
              <w:rPr>
                <w:b w:val="false"/>
                <w:bCs w:val="false"/>
                <w:sz w:val="20"/>
                <w:szCs w:val="20"/>
              </w:rPr>
              <w:t xml:space="preserve">Discovery / Landing</w:t>
            </w:r>
          </w:p>
        </w:tc>
      </w:tr>
      <w:tr>
        <w:tc>
          <w:tcPr>
            <w:tcW w:type="dxa" w:w="500"/>
            <w:tcMar>
              <w:top w:type="dxa" w:w="80"/>
              <w:left w:type="dxa" w:w="100"/>
              <w:bottom w:type="dxa" w:w="80"/>
              <w:right w:type="dxa" w:w="100"/>
            </w:tcMar>
          </w:tcPr>
          <w:p>
            <w:r>
              <w:rPr>
                <w:b w:val="false"/>
                <w:bCs w:val="false"/>
                <w:sz w:val="20"/>
                <w:szCs w:val="20"/>
              </w:rPr>
              <w:t xml:space="preserve">2</w:t>
            </w:r>
          </w:p>
        </w:tc>
        <w:tc>
          <w:tcPr>
            <w:tcW w:type="dxa" w:w="2000"/>
            <w:tcMar>
              <w:top w:type="dxa" w:w="80"/>
              <w:left w:type="dxa" w:w="100"/>
              <w:bottom w:type="dxa" w:w="80"/>
              <w:right w:type="dxa" w:w="100"/>
            </w:tcMar>
          </w:tcPr>
          <w:p>
            <w:r>
              <w:rPr>
                <w:b w:val="false"/>
                <w:bCs w:val="false"/>
                <w:sz w:val="20"/>
                <w:szCs w:val="20"/>
              </w:rPr>
              <w:t xml:space="preserve">Login</w:t>
            </w:r>
          </w:p>
        </w:tc>
        <w:tc>
          <w:tcPr>
            <w:tcW w:type="dxa" w:w="3200"/>
            <w:tcMar>
              <w:top w:type="dxa" w:w="80"/>
              <w:left w:type="dxa" w:w="100"/>
              <w:bottom w:type="dxa" w:w="80"/>
              <w:right w:type="dxa" w:w="100"/>
            </w:tcMar>
          </w:tcPr>
          <w:p>
            <w:r>
              <w:rPr>
                <w:b w:val="false"/>
                <w:bCs w:val="false"/>
                <w:sz w:val="20"/>
                <w:szCs w:val="20"/>
              </w:rPr>
              <w:t xml:space="preserve">All returning users</w:t>
            </w:r>
          </w:p>
        </w:tc>
        <w:tc>
          <w:tcPr>
            <w:tcW w:type="dxa" w:w="3650"/>
            <w:tcMar>
              <w:top w:type="dxa" w:w="80"/>
              <w:left w:type="dxa" w:w="100"/>
              <w:bottom w:type="dxa" w:w="80"/>
              <w:right w:type="dxa" w:w="100"/>
            </w:tcMar>
          </w:tcPr>
          <w:p>
            <w:r>
              <w:rPr>
                <w:b w:val="false"/>
                <w:bCs w:val="false"/>
                <w:sz w:val="20"/>
                <w:szCs w:val="20"/>
              </w:rPr>
              <w:t xml:space="preserve">Return visit</w:t>
            </w:r>
          </w:p>
        </w:tc>
      </w:tr>
      <w:tr>
        <w:tc>
          <w:tcPr>
            <w:tcW w:type="dxa" w:w="500"/>
            <w:tcMar>
              <w:top w:type="dxa" w:w="80"/>
              <w:left w:type="dxa" w:w="100"/>
              <w:bottom w:type="dxa" w:w="80"/>
              <w:right w:type="dxa" w:w="100"/>
            </w:tcMar>
          </w:tcPr>
          <w:p>
            <w:r>
              <w:rPr>
                <w:b w:val="false"/>
                <w:bCs w:val="false"/>
                <w:sz w:val="20"/>
                <w:szCs w:val="20"/>
              </w:rPr>
              <w:t xml:space="preserve">3</w:t>
            </w:r>
          </w:p>
        </w:tc>
        <w:tc>
          <w:tcPr>
            <w:tcW w:type="dxa" w:w="2000"/>
            <w:tcMar>
              <w:top w:type="dxa" w:w="80"/>
              <w:left w:type="dxa" w:w="100"/>
              <w:bottom w:type="dxa" w:w="80"/>
              <w:right w:type="dxa" w:w="100"/>
            </w:tcMar>
          </w:tcPr>
          <w:p>
            <w:r>
              <w:rPr>
                <w:b w:val="false"/>
                <w:bCs w:val="false"/>
                <w:sz w:val="20"/>
                <w:szCs w:val="20"/>
              </w:rPr>
              <w:t xml:space="preserve">Signup</w:t>
            </w:r>
          </w:p>
        </w:tc>
        <w:tc>
          <w:tcPr>
            <w:tcW w:type="dxa" w:w="3200"/>
            <w:tcMar>
              <w:top w:type="dxa" w:w="80"/>
              <w:left w:type="dxa" w:w="100"/>
              <w:bottom w:type="dxa" w:w="80"/>
              <w:right w:type="dxa" w:w="100"/>
            </w:tcMar>
          </w:tcPr>
          <w:p>
            <w:r>
              <w:rPr>
                <w:b w:val="false"/>
                <w:bCs w:val="false"/>
                <w:sz w:val="20"/>
                <w:szCs w:val="20"/>
              </w:rPr>
              <w:t xml:space="preserve">All new users</w:t>
            </w:r>
          </w:p>
        </w:tc>
        <w:tc>
          <w:tcPr>
            <w:tcW w:type="dxa" w:w="3650"/>
            <w:tcMar>
              <w:top w:type="dxa" w:w="80"/>
              <w:left w:type="dxa" w:w="100"/>
              <w:bottom w:type="dxa" w:w="80"/>
              <w:right w:type="dxa" w:w="100"/>
            </w:tcMar>
          </w:tcPr>
          <w:p>
            <w:r>
              <w:rPr>
                <w:b w:val="false"/>
                <w:bCs w:val="false"/>
                <w:sz w:val="20"/>
                <w:szCs w:val="20"/>
              </w:rPr>
              <w:t xml:space="preserve">Signup</w:t>
            </w:r>
          </w:p>
        </w:tc>
      </w:tr>
      <w:tr>
        <w:tc>
          <w:tcPr>
            <w:tcW w:type="dxa" w:w="500"/>
            <w:tcMar>
              <w:top w:type="dxa" w:w="80"/>
              <w:left w:type="dxa" w:w="100"/>
              <w:bottom w:type="dxa" w:w="80"/>
              <w:right w:type="dxa" w:w="100"/>
            </w:tcMar>
          </w:tcPr>
          <w:p>
            <w:r>
              <w:rPr>
                <w:b w:val="false"/>
                <w:bCs w:val="false"/>
                <w:sz w:val="20"/>
                <w:szCs w:val="20"/>
              </w:rPr>
              <w:t xml:space="preserve">4</w:t>
            </w:r>
          </w:p>
        </w:tc>
        <w:tc>
          <w:tcPr>
            <w:tcW w:type="dxa" w:w="2000"/>
            <w:tcMar>
              <w:top w:type="dxa" w:w="80"/>
              <w:left w:type="dxa" w:w="100"/>
              <w:bottom w:type="dxa" w:w="80"/>
              <w:right w:type="dxa" w:w="100"/>
            </w:tcMar>
          </w:tcPr>
          <w:p>
            <w:r>
              <w:rPr>
                <w:b w:val="false"/>
                <w:bCs w:val="false"/>
                <w:sz w:val="20"/>
                <w:szCs w:val="20"/>
              </w:rPr>
              <w:t xml:space="preserve">Dashboard</w:t>
            </w:r>
          </w:p>
        </w:tc>
        <w:tc>
          <w:tcPr>
            <w:tcW w:type="dxa" w:w="3200"/>
            <w:tcMar>
              <w:top w:type="dxa" w:w="80"/>
              <w:left w:type="dxa" w:w="100"/>
              <w:bottom w:type="dxa" w:w="80"/>
              <w:right w:type="dxa" w:w="100"/>
            </w:tcMar>
          </w:tcPr>
          <w:p>
            <w:r>
              <w:rPr>
                <w:b w:val="false"/>
                <w:bCs w:val="false"/>
                <w:sz w:val="20"/>
                <w:szCs w:val="20"/>
              </w:rPr>
              <w:t xml:space="preserve">Ananya, Rahul, Priya</w:t>
            </w:r>
          </w:p>
        </w:tc>
        <w:tc>
          <w:tcPr>
            <w:tcW w:type="dxa" w:w="3650"/>
            <w:tcMar>
              <w:top w:type="dxa" w:w="80"/>
              <w:left w:type="dxa" w:w="100"/>
              <w:bottom w:type="dxa" w:w="80"/>
              <w:right w:type="dxa" w:w="100"/>
            </w:tcMar>
          </w:tcPr>
          <w:p>
            <w:r>
              <w:rPr>
                <w:b w:val="false"/>
                <w:bCs w:val="false"/>
                <w:sz w:val="20"/>
                <w:szCs w:val="20"/>
              </w:rPr>
              <w:t xml:space="preserve">Post-onboarding home</w:t>
            </w:r>
          </w:p>
        </w:tc>
      </w:tr>
      <w:tr>
        <w:tc>
          <w:tcPr>
            <w:tcW w:type="dxa" w:w="500"/>
            <w:tcMar>
              <w:top w:type="dxa" w:w="80"/>
              <w:left w:type="dxa" w:w="100"/>
              <w:bottom w:type="dxa" w:w="80"/>
              <w:right w:type="dxa" w:w="100"/>
            </w:tcMar>
          </w:tcPr>
          <w:p>
            <w:r>
              <w:rPr>
                <w:b w:val="false"/>
                <w:bCs w:val="false"/>
                <w:sz w:val="20"/>
                <w:szCs w:val="20"/>
              </w:rPr>
              <w:t xml:space="preserve">5</w:t>
            </w:r>
          </w:p>
        </w:tc>
        <w:tc>
          <w:tcPr>
            <w:tcW w:type="dxa" w:w="2000"/>
            <w:tcMar>
              <w:top w:type="dxa" w:w="80"/>
              <w:left w:type="dxa" w:w="100"/>
              <w:bottom w:type="dxa" w:w="80"/>
              <w:right w:type="dxa" w:w="100"/>
            </w:tcMar>
          </w:tcPr>
          <w:p>
            <w:r>
              <w:rPr>
                <w:b w:val="false"/>
                <w:bCs w:val="false"/>
                <w:sz w:val="20"/>
                <w:szCs w:val="20"/>
              </w:rPr>
              <w:t xml:space="preserve">Swipe Feed</w:t>
            </w:r>
          </w:p>
        </w:tc>
        <w:tc>
          <w:tcPr>
            <w:tcW w:type="dxa" w:w="3200"/>
            <w:tcMar>
              <w:top w:type="dxa" w:w="80"/>
              <w:left w:type="dxa" w:w="100"/>
              <w:bottom w:type="dxa" w:w="80"/>
              <w:right w:type="dxa" w:w="100"/>
            </w:tcMar>
          </w:tcPr>
          <w:p>
            <w:r>
              <w:rPr>
                <w:b w:val="false"/>
                <w:bCs w:val="false"/>
                <w:sz w:val="20"/>
                <w:szCs w:val="20"/>
              </w:rPr>
              <w:t xml:space="preserve">Ananya, Rahul, Priya</w:t>
            </w:r>
          </w:p>
        </w:tc>
        <w:tc>
          <w:tcPr>
            <w:tcW w:type="dxa" w:w="3650"/>
            <w:tcMar>
              <w:top w:type="dxa" w:w="80"/>
              <w:left w:type="dxa" w:w="100"/>
              <w:bottom w:type="dxa" w:w="80"/>
              <w:right w:type="dxa" w:w="100"/>
            </w:tcMar>
          </w:tcPr>
          <w:p>
            <w:r>
              <w:rPr>
                <w:b w:val="false"/>
                <w:bCs w:val="false"/>
                <w:sz w:val="20"/>
                <w:szCs w:val="20"/>
              </w:rPr>
              <w:t xml:space="preserve">First Swipe Session / Retention Loop</w:t>
            </w:r>
          </w:p>
        </w:tc>
      </w:tr>
      <w:tr>
        <w:tc>
          <w:tcPr>
            <w:tcW w:type="dxa" w:w="500"/>
            <w:tcMar>
              <w:top w:type="dxa" w:w="80"/>
              <w:left w:type="dxa" w:w="100"/>
              <w:bottom w:type="dxa" w:w="80"/>
              <w:right w:type="dxa" w:w="100"/>
            </w:tcMar>
          </w:tcPr>
          <w:p>
            <w:r>
              <w:rPr>
                <w:b w:val="false"/>
                <w:bCs w:val="false"/>
                <w:sz w:val="20"/>
                <w:szCs w:val="20"/>
              </w:rPr>
              <w:t xml:space="preserve">6</w:t>
            </w:r>
          </w:p>
        </w:tc>
        <w:tc>
          <w:tcPr>
            <w:tcW w:type="dxa" w:w="2000"/>
            <w:tcMar>
              <w:top w:type="dxa" w:w="80"/>
              <w:left w:type="dxa" w:w="100"/>
              <w:bottom w:type="dxa" w:w="80"/>
              <w:right w:type="dxa" w:w="100"/>
            </w:tcMar>
          </w:tcPr>
          <w:p>
            <w:r>
              <w:rPr>
                <w:b w:val="false"/>
                <w:bCs w:val="false"/>
                <w:sz w:val="20"/>
                <w:szCs w:val="20"/>
              </w:rPr>
              <w:t xml:space="preserve">Resume Analyzer</w:t>
            </w:r>
          </w:p>
        </w:tc>
        <w:tc>
          <w:tcPr>
            <w:tcW w:type="dxa" w:w="3200"/>
            <w:tcMar>
              <w:top w:type="dxa" w:w="80"/>
              <w:left w:type="dxa" w:w="100"/>
              <w:bottom w:type="dxa" w:w="80"/>
              <w:right w:type="dxa" w:w="100"/>
            </w:tcMar>
          </w:tcPr>
          <w:p>
            <w:r>
              <w:rPr>
                <w:b w:val="false"/>
                <w:bCs w:val="false"/>
                <w:sz w:val="20"/>
                <w:szCs w:val="20"/>
              </w:rPr>
              <w:t xml:space="preserve">Ananya, Priya</w:t>
            </w:r>
          </w:p>
        </w:tc>
        <w:tc>
          <w:tcPr>
            <w:tcW w:type="dxa" w:w="3650"/>
            <w:tcMar>
              <w:top w:type="dxa" w:w="80"/>
              <w:left w:type="dxa" w:w="100"/>
              <w:bottom w:type="dxa" w:w="80"/>
              <w:right w:type="dxa" w:w="100"/>
            </w:tcMar>
          </w:tcPr>
          <w:p>
            <w:r>
              <w:rPr>
                <w:b w:val="false"/>
                <w:bCs w:val="false"/>
                <w:sz w:val="20"/>
                <w:szCs w:val="20"/>
              </w:rPr>
              <w:t xml:space="preserve">Resume Onboarding</w:t>
            </w:r>
          </w:p>
        </w:tc>
      </w:tr>
      <w:tr>
        <w:tc>
          <w:tcPr>
            <w:tcW w:type="dxa" w:w="500"/>
            <w:tcMar>
              <w:top w:type="dxa" w:w="80"/>
              <w:left w:type="dxa" w:w="100"/>
              <w:bottom w:type="dxa" w:w="80"/>
              <w:right w:type="dxa" w:w="100"/>
            </w:tcMar>
          </w:tcPr>
          <w:p>
            <w:r>
              <w:rPr>
                <w:b w:val="false"/>
                <w:bCs w:val="false"/>
                <w:sz w:val="20"/>
                <w:szCs w:val="20"/>
              </w:rPr>
              <w:t xml:space="preserve">7</w:t>
            </w:r>
          </w:p>
        </w:tc>
        <w:tc>
          <w:tcPr>
            <w:tcW w:type="dxa" w:w="2000"/>
            <w:tcMar>
              <w:top w:type="dxa" w:w="80"/>
              <w:left w:type="dxa" w:w="100"/>
              <w:bottom w:type="dxa" w:w="80"/>
              <w:right w:type="dxa" w:w="100"/>
            </w:tcMar>
          </w:tcPr>
          <w:p>
            <w:r>
              <w:rPr>
                <w:b w:val="false"/>
                <w:bCs w:val="false"/>
                <w:sz w:val="20"/>
                <w:szCs w:val="20"/>
              </w:rPr>
              <w:t xml:space="preserve">ATS Dashboard</w:t>
            </w:r>
          </w:p>
        </w:tc>
        <w:tc>
          <w:tcPr>
            <w:tcW w:type="dxa" w:w="3200"/>
            <w:tcMar>
              <w:top w:type="dxa" w:w="80"/>
              <w:left w:type="dxa" w:w="100"/>
              <w:bottom w:type="dxa" w:w="80"/>
              <w:right w:type="dxa" w:w="100"/>
            </w:tcMar>
          </w:tcPr>
          <w:p>
            <w:r>
              <w:rPr>
                <w:b w:val="false"/>
                <w:bCs w:val="false"/>
                <w:sz w:val="20"/>
                <w:szCs w:val="20"/>
              </w:rPr>
              <w:t xml:space="preserve">Ananya, Priya</w:t>
            </w:r>
          </w:p>
        </w:tc>
        <w:tc>
          <w:tcPr>
            <w:tcW w:type="dxa" w:w="3650"/>
            <w:tcMar>
              <w:top w:type="dxa" w:w="80"/>
              <w:left w:type="dxa" w:w="100"/>
              <w:bottom w:type="dxa" w:w="80"/>
              <w:right w:type="dxa" w:w="100"/>
            </w:tcMar>
          </w:tcPr>
          <w:p>
            <w:r>
              <w:rPr>
                <w:b w:val="false"/>
                <w:bCs w:val="false"/>
                <w:sz w:val="20"/>
                <w:szCs w:val="20"/>
              </w:rPr>
              <w:t xml:space="preserve">Resume Optimization Loop</w:t>
            </w:r>
          </w:p>
        </w:tc>
      </w:tr>
      <w:tr>
        <w:tc>
          <w:tcPr>
            <w:tcW w:type="dxa" w:w="500"/>
            <w:tcMar>
              <w:top w:type="dxa" w:w="80"/>
              <w:left w:type="dxa" w:w="100"/>
              <w:bottom w:type="dxa" w:w="80"/>
              <w:right w:type="dxa" w:w="100"/>
            </w:tcMar>
          </w:tcPr>
          <w:p>
            <w:r>
              <w:rPr>
                <w:b w:val="false"/>
                <w:bCs w:val="false"/>
                <w:sz w:val="20"/>
                <w:szCs w:val="20"/>
              </w:rPr>
              <w:t xml:space="preserve">8</w:t>
            </w:r>
          </w:p>
        </w:tc>
        <w:tc>
          <w:tcPr>
            <w:tcW w:type="dxa" w:w="2000"/>
            <w:tcMar>
              <w:top w:type="dxa" w:w="80"/>
              <w:left w:type="dxa" w:w="100"/>
              <w:bottom w:type="dxa" w:w="80"/>
              <w:right w:type="dxa" w:w="100"/>
            </w:tcMar>
          </w:tcPr>
          <w:p>
            <w:r>
              <w:rPr>
                <w:b w:val="false"/>
                <w:bCs w:val="false"/>
                <w:sz w:val="20"/>
                <w:szCs w:val="20"/>
              </w:rPr>
              <w:t xml:space="preserve">Resume Builder</w:t>
            </w:r>
          </w:p>
        </w:tc>
        <w:tc>
          <w:tcPr>
            <w:tcW w:type="dxa" w:w="3200"/>
            <w:tcMar>
              <w:top w:type="dxa" w:w="80"/>
              <w:left w:type="dxa" w:w="100"/>
              <w:bottom w:type="dxa" w:w="80"/>
              <w:right w:type="dxa" w:w="100"/>
            </w:tcMar>
          </w:tcPr>
          <w:p>
            <w:r>
              <w:rPr>
                <w:b w:val="false"/>
                <w:bCs w:val="false"/>
                <w:sz w:val="20"/>
                <w:szCs w:val="20"/>
              </w:rPr>
              <w:t xml:space="preserve">Rahul</w:t>
            </w:r>
          </w:p>
        </w:tc>
        <w:tc>
          <w:tcPr>
            <w:tcW w:type="dxa" w:w="3650"/>
            <w:tcMar>
              <w:top w:type="dxa" w:w="80"/>
              <w:left w:type="dxa" w:w="100"/>
              <w:bottom w:type="dxa" w:w="80"/>
              <w:right w:type="dxa" w:w="100"/>
            </w:tcMar>
          </w:tcPr>
          <w:p>
            <w:r>
              <w:rPr>
                <w:b w:val="false"/>
                <w:bCs w:val="false"/>
                <w:sz w:val="20"/>
                <w:szCs w:val="20"/>
              </w:rPr>
              <w:t xml:space="preserve">Resume Onboarding</w:t>
            </w:r>
          </w:p>
        </w:tc>
      </w:tr>
      <w:tr>
        <w:tc>
          <w:tcPr>
            <w:tcW w:type="dxa" w:w="500"/>
            <w:tcMar>
              <w:top w:type="dxa" w:w="80"/>
              <w:left w:type="dxa" w:w="100"/>
              <w:bottom w:type="dxa" w:w="80"/>
              <w:right w:type="dxa" w:w="100"/>
            </w:tcMar>
          </w:tcPr>
          <w:p>
            <w:r>
              <w:rPr>
                <w:b w:val="false"/>
                <w:bCs w:val="false"/>
                <w:sz w:val="20"/>
                <w:szCs w:val="20"/>
              </w:rPr>
              <w:t xml:space="preserve">9</w:t>
            </w:r>
          </w:p>
        </w:tc>
        <w:tc>
          <w:tcPr>
            <w:tcW w:type="dxa" w:w="2000"/>
            <w:tcMar>
              <w:top w:type="dxa" w:w="80"/>
              <w:left w:type="dxa" w:w="100"/>
              <w:bottom w:type="dxa" w:w="80"/>
              <w:right w:type="dxa" w:w="100"/>
            </w:tcMar>
          </w:tcPr>
          <w:p>
            <w:r>
              <w:rPr>
                <w:b w:val="false"/>
                <w:bCs w:val="false"/>
                <w:sz w:val="20"/>
                <w:szCs w:val="20"/>
              </w:rPr>
              <w:t xml:space="preserve">Career Coach</w:t>
            </w:r>
          </w:p>
        </w:tc>
        <w:tc>
          <w:tcPr>
            <w:tcW w:type="dxa" w:w="3200"/>
            <w:tcMar>
              <w:top w:type="dxa" w:w="80"/>
              <w:left w:type="dxa" w:w="100"/>
              <w:bottom w:type="dxa" w:w="80"/>
              <w:right w:type="dxa" w:w="100"/>
            </w:tcMar>
          </w:tcPr>
          <w:p>
            <w:r>
              <w:rPr>
                <w:b w:val="false"/>
                <w:bCs w:val="false"/>
                <w:sz w:val="20"/>
                <w:szCs w:val="20"/>
              </w:rPr>
              <w:t xml:space="preserve">Rahul, Priya</w:t>
            </w:r>
          </w:p>
        </w:tc>
        <w:tc>
          <w:tcPr>
            <w:tcW w:type="dxa" w:w="3650"/>
            <w:tcMar>
              <w:top w:type="dxa" w:w="80"/>
              <w:left w:type="dxa" w:w="100"/>
              <w:bottom w:type="dxa" w:w="80"/>
              <w:right w:type="dxa" w:w="100"/>
            </w:tcMar>
          </w:tcPr>
          <w:p>
            <w:r>
              <w:rPr>
                <w:b w:val="false"/>
                <w:bCs w:val="false"/>
                <w:sz w:val="20"/>
                <w:szCs w:val="20"/>
              </w:rPr>
              <w:t xml:space="preserve">Coaching Engagement</w:t>
            </w:r>
          </w:p>
        </w:tc>
      </w:tr>
      <w:tr>
        <w:tc>
          <w:tcPr>
            <w:tcW w:type="dxa" w:w="500"/>
            <w:tcMar>
              <w:top w:type="dxa" w:w="80"/>
              <w:left w:type="dxa" w:w="100"/>
              <w:bottom w:type="dxa" w:w="80"/>
              <w:right w:type="dxa" w:w="100"/>
            </w:tcMar>
          </w:tcPr>
          <w:p>
            <w:r>
              <w:rPr>
                <w:b w:val="false"/>
                <w:bCs w:val="false"/>
                <w:sz w:val="20"/>
                <w:szCs w:val="20"/>
              </w:rPr>
              <w:t xml:space="preserve">10</w:t>
            </w:r>
          </w:p>
        </w:tc>
        <w:tc>
          <w:tcPr>
            <w:tcW w:type="dxa" w:w="2000"/>
            <w:tcMar>
              <w:top w:type="dxa" w:w="80"/>
              <w:left w:type="dxa" w:w="100"/>
              <w:bottom w:type="dxa" w:w="80"/>
              <w:right w:type="dxa" w:w="100"/>
            </w:tcMar>
          </w:tcPr>
          <w:p>
            <w:r>
              <w:rPr>
                <w:b w:val="false"/>
                <w:bCs w:val="false"/>
                <w:sz w:val="20"/>
                <w:szCs w:val="20"/>
              </w:rPr>
              <w:t xml:space="preserve">Recruiter Dashboard</w:t>
            </w:r>
          </w:p>
        </w:tc>
        <w:tc>
          <w:tcPr>
            <w:tcW w:type="dxa" w:w="3200"/>
            <w:tcMar>
              <w:top w:type="dxa" w:w="80"/>
              <w:left w:type="dxa" w:w="100"/>
              <w:bottom w:type="dxa" w:w="80"/>
              <w:right w:type="dxa" w:w="100"/>
            </w:tcMar>
          </w:tcPr>
          <w:p>
            <w:r>
              <w:rPr>
                <w:b w:val="false"/>
                <w:bCs w:val="false"/>
                <w:sz w:val="20"/>
                <w:szCs w:val="20"/>
              </w:rPr>
              <w:t xml:space="preserve">Karan</w:t>
            </w:r>
          </w:p>
        </w:tc>
        <w:tc>
          <w:tcPr>
            <w:tcW w:type="dxa" w:w="3650"/>
            <w:tcMar>
              <w:top w:type="dxa" w:w="80"/>
              <w:left w:type="dxa" w:w="100"/>
              <w:bottom w:type="dxa" w:w="80"/>
              <w:right w:type="dxa" w:w="100"/>
            </w:tcMar>
          </w:tcPr>
          <w:p>
            <w:r>
              <w:rPr>
                <w:b w:val="false"/>
                <w:bCs w:val="false"/>
                <w:sz w:val="20"/>
                <w:szCs w:val="20"/>
              </w:rPr>
              <w:t xml:space="preserve">Candidate Discovery</w:t>
            </w:r>
          </w:p>
        </w:tc>
      </w:tr>
      <w:tr>
        <w:tc>
          <w:tcPr>
            <w:tcW w:type="dxa" w:w="500"/>
            <w:tcMar>
              <w:top w:type="dxa" w:w="80"/>
              <w:left w:type="dxa" w:w="100"/>
              <w:bottom w:type="dxa" w:w="80"/>
              <w:right w:type="dxa" w:w="100"/>
            </w:tcMar>
          </w:tcPr>
          <w:p>
            <w:r>
              <w:rPr>
                <w:b w:val="false"/>
                <w:bCs w:val="false"/>
                <w:sz w:val="20"/>
                <w:szCs w:val="20"/>
              </w:rPr>
              <w:t xml:space="preserve">11</w:t>
            </w:r>
          </w:p>
        </w:tc>
        <w:tc>
          <w:tcPr>
            <w:tcW w:type="dxa" w:w="2000"/>
            <w:tcMar>
              <w:top w:type="dxa" w:w="80"/>
              <w:left w:type="dxa" w:w="100"/>
              <w:bottom w:type="dxa" w:w="80"/>
              <w:right w:type="dxa" w:w="100"/>
            </w:tcMar>
          </w:tcPr>
          <w:p>
            <w:r>
              <w:rPr>
                <w:b w:val="false"/>
                <w:bCs w:val="false"/>
                <w:sz w:val="20"/>
                <w:szCs w:val="20"/>
              </w:rPr>
              <w:t xml:space="preserve">Admin Dashboard</w:t>
            </w:r>
          </w:p>
        </w:tc>
        <w:tc>
          <w:tcPr>
            <w:tcW w:type="dxa" w:w="3200"/>
            <w:tcMar>
              <w:top w:type="dxa" w:w="80"/>
              <w:left w:type="dxa" w:w="100"/>
              <w:bottom w:type="dxa" w:w="80"/>
              <w:right w:type="dxa" w:w="100"/>
            </w:tcMar>
          </w:tcPr>
          <w:p>
            <w:r>
              <w:rPr>
                <w:b w:val="false"/>
                <w:bCs w:val="false"/>
                <w:sz w:val="20"/>
                <w:szCs w:val="20"/>
              </w:rPr>
              <w:t xml:space="preserve">Platform Administrator (Volume 14)</w:t>
            </w:r>
          </w:p>
        </w:tc>
        <w:tc>
          <w:tcPr>
            <w:tcW w:type="dxa" w:w="3650"/>
            <w:tcMar>
              <w:top w:type="dxa" w:w="80"/>
              <w:left w:type="dxa" w:w="100"/>
              <w:bottom w:type="dxa" w:w="80"/>
              <w:right w:type="dxa" w:w="100"/>
            </w:tcMar>
          </w:tcPr>
          <w:p>
            <w:r>
              <w:rPr>
                <w:b w:val="false"/>
                <w:bCs w:val="false"/>
                <w:sz w:val="20"/>
                <w:szCs w:val="20"/>
              </w:rPr>
              <w:t xml:space="preserve">Trust &amp; Safety operations</w:t>
            </w:r>
          </w:p>
        </w:tc>
      </w:tr>
      <w:tr>
        <w:tc>
          <w:tcPr>
            <w:tcW w:type="dxa" w:w="500"/>
            <w:tcMar>
              <w:top w:type="dxa" w:w="80"/>
              <w:left w:type="dxa" w:w="100"/>
              <w:bottom w:type="dxa" w:w="80"/>
              <w:right w:type="dxa" w:w="100"/>
            </w:tcMar>
          </w:tcPr>
          <w:p>
            <w:r>
              <w:rPr>
                <w:b w:val="false"/>
                <w:bCs w:val="false"/>
                <w:sz w:val="20"/>
                <w:szCs w:val="20"/>
              </w:rPr>
              <w:t xml:space="preserve">12</w:t>
            </w:r>
          </w:p>
        </w:tc>
        <w:tc>
          <w:tcPr>
            <w:tcW w:type="dxa" w:w="2000"/>
            <w:tcMar>
              <w:top w:type="dxa" w:w="80"/>
              <w:left w:type="dxa" w:w="100"/>
              <w:bottom w:type="dxa" w:w="80"/>
              <w:right w:type="dxa" w:w="100"/>
            </w:tcMar>
          </w:tcPr>
          <w:p>
            <w:r>
              <w:rPr>
                <w:b w:val="false"/>
                <w:bCs w:val="false"/>
                <w:sz w:val="20"/>
                <w:szCs w:val="20"/>
              </w:rPr>
              <w:t xml:space="preserve">Analytics</w:t>
            </w:r>
          </w:p>
        </w:tc>
        <w:tc>
          <w:tcPr>
            <w:tcW w:type="dxa" w:w="3200"/>
            <w:tcMar>
              <w:top w:type="dxa" w:w="80"/>
              <w:left w:type="dxa" w:w="100"/>
              <w:bottom w:type="dxa" w:w="80"/>
              <w:right w:type="dxa" w:w="100"/>
            </w:tcMar>
          </w:tcPr>
          <w:p>
            <w:r>
              <w:rPr>
                <w:b w:val="false"/>
                <w:bCs w:val="false"/>
                <w:sz w:val="20"/>
                <w:szCs w:val="20"/>
              </w:rPr>
              <w:t xml:space="preserve">Ananya (candidate view), Karan (recruiter view)</w:t>
            </w:r>
          </w:p>
        </w:tc>
        <w:tc>
          <w:tcPr>
            <w:tcW w:type="dxa" w:w="3650"/>
            <w:tcMar>
              <w:top w:type="dxa" w:w="80"/>
              <w:left w:type="dxa" w:w="100"/>
              <w:bottom w:type="dxa" w:w="80"/>
              <w:right w:type="dxa" w:w="100"/>
            </w:tcMar>
          </w:tcPr>
          <w:p>
            <w:r>
              <w:rPr>
                <w:b w:val="false"/>
                <w:bCs w:val="false"/>
                <w:sz w:val="20"/>
                <w:szCs w:val="20"/>
              </w:rPr>
              <w:t xml:space="preserve">Retention Loop / Analytics Review</w:t>
            </w:r>
          </w:p>
        </w:tc>
      </w:tr>
      <w:tr>
        <w:tc>
          <w:tcPr>
            <w:tcW w:type="dxa" w:w="500"/>
            <w:tcMar>
              <w:top w:type="dxa" w:w="80"/>
              <w:left w:type="dxa" w:w="100"/>
              <w:bottom w:type="dxa" w:w="80"/>
              <w:right w:type="dxa" w:w="100"/>
            </w:tcMar>
          </w:tcPr>
          <w:p>
            <w:r>
              <w:rPr>
                <w:b w:val="false"/>
                <w:bCs w:val="false"/>
                <w:sz w:val="20"/>
                <w:szCs w:val="20"/>
              </w:rPr>
              <w:t xml:space="preserve">13</w:t>
            </w:r>
          </w:p>
        </w:tc>
        <w:tc>
          <w:tcPr>
            <w:tcW w:type="dxa" w:w="2000"/>
            <w:tcMar>
              <w:top w:type="dxa" w:w="80"/>
              <w:left w:type="dxa" w:w="100"/>
              <w:bottom w:type="dxa" w:w="80"/>
              <w:right w:type="dxa" w:w="100"/>
            </w:tcMar>
          </w:tcPr>
          <w:p>
            <w:r>
              <w:rPr>
                <w:b w:val="false"/>
                <w:bCs w:val="false"/>
                <w:sz w:val="20"/>
                <w:szCs w:val="20"/>
              </w:rPr>
              <w:t xml:space="preserve">Notifications</w:t>
            </w:r>
          </w:p>
        </w:tc>
        <w:tc>
          <w:tcPr>
            <w:tcW w:type="dxa" w:w="3200"/>
            <w:tcMar>
              <w:top w:type="dxa" w:w="80"/>
              <w:left w:type="dxa" w:w="100"/>
              <w:bottom w:type="dxa" w:w="80"/>
              <w:right w:type="dxa" w:w="100"/>
            </w:tcMar>
          </w:tcPr>
          <w:p>
            <w:r>
              <w:rPr>
                <w:b w:val="false"/>
                <w:bCs w:val="false"/>
                <w:sz w:val="20"/>
                <w:szCs w:val="20"/>
              </w:rPr>
              <w:t xml:space="preserve">All users</w:t>
            </w:r>
          </w:p>
        </w:tc>
        <w:tc>
          <w:tcPr>
            <w:tcW w:type="dxa" w:w="3650"/>
            <w:tcMar>
              <w:top w:type="dxa" w:w="80"/>
              <w:left w:type="dxa" w:w="100"/>
              <w:bottom w:type="dxa" w:w="80"/>
              <w:right w:type="dxa" w:w="100"/>
            </w:tcMar>
          </w:tcPr>
          <w:p>
            <w:r>
              <w:rPr>
                <w:b w:val="false"/>
                <w:bCs w:val="false"/>
                <w:sz w:val="20"/>
                <w:szCs w:val="20"/>
              </w:rPr>
              <w:t xml:space="preserve">Retention Loop</w:t>
            </w:r>
          </w:p>
        </w:tc>
      </w:tr>
      <w:tr>
        <w:tc>
          <w:tcPr>
            <w:tcW w:type="dxa" w:w="500"/>
            <w:tcMar>
              <w:top w:type="dxa" w:w="80"/>
              <w:left w:type="dxa" w:w="100"/>
              <w:bottom w:type="dxa" w:w="80"/>
              <w:right w:type="dxa" w:w="100"/>
            </w:tcMar>
          </w:tcPr>
          <w:p>
            <w:r>
              <w:rPr>
                <w:b w:val="false"/>
                <w:bCs w:val="false"/>
                <w:sz w:val="20"/>
                <w:szCs w:val="20"/>
              </w:rPr>
              <w:t xml:space="preserve">14</w:t>
            </w:r>
          </w:p>
        </w:tc>
        <w:tc>
          <w:tcPr>
            <w:tcW w:type="dxa" w:w="2000"/>
            <w:tcMar>
              <w:top w:type="dxa" w:w="80"/>
              <w:left w:type="dxa" w:w="100"/>
              <w:bottom w:type="dxa" w:w="80"/>
              <w:right w:type="dxa" w:w="100"/>
            </w:tcMar>
          </w:tcPr>
          <w:p>
            <w:r>
              <w:rPr>
                <w:b w:val="false"/>
                <w:bCs w:val="false"/>
                <w:sz w:val="20"/>
                <w:szCs w:val="20"/>
              </w:rPr>
              <w:t xml:space="preserve">Profile</w:t>
            </w:r>
          </w:p>
        </w:tc>
        <w:tc>
          <w:tcPr>
            <w:tcW w:type="dxa" w:w="3200"/>
            <w:tcMar>
              <w:top w:type="dxa" w:w="80"/>
              <w:left w:type="dxa" w:w="100"/>
              <w:bottom w:type="dxa" w:w="80"/>
              <w:right w:type="dxa" w:w="100"/>
            </w:tcMar>
          </w:tcPr>
          <w:p>
            <w:r>
              <w:rPr>
                <w:b w:val="false"/>
                <w:bCs w:val="false"/>
                <w:sz w:val="20"/>
                <w:szCs w:val="20"/>
              </w:rPr>
              <w:t xml:space="preserve">All users</w:t>
            </w:r>
          </w:p>
        </w:tc>
        <w:tc>
          <w:tcPr>
            <w:tcW w:type="dxa" w:w="3650"/>
            <w:tcMar>
              <w:top w:type="dxa" w:w="80"/>
              <w:left w:type="dxa" w:w="100"/>
              <w:bottom w:type="dxa" w:w="80"/>
              <w:right w:type="dxa" w:w="100"/>
            </w:tcMar>
          </w:tcPr>
          <w:p>
            <w:r>
              <w:rPr>
                <w:b w:val="false"/>
                <w:bCs w:val="false"/>
                <w:sz w:val="20"/>
                <w:szCs w:val="20"/>
              </w:rPr>
              <w:t xml:space="preserve">Account management</w:t>
            </w:r>
          </w:p>
        </w:tc>
      </w:tr>
      <w:tr>
        <w:tc>
          <w:tcPr>
            <w:tcW w:type="dxa" w:w="500"/>
            <w:tcMar>
              <w:top w:type="dxa" w:w="80"/>
              <w:left w:type="dxa" w:w="100"/>
              <w:bottom w:type="dxa" w:w="80"/>
              <w:right w:type="dxa" w:w="100"/>
            </w:tcMar>
          </w:tcPr>
          <w:p>
            <w:r>
              <w:rPr>
                <w:b w:val="false"/>
                <w:bCs w:val="false"/>
                <w:sz w:val="20"/>
                <w:szCs w:val="20"/>
              </w:rPr>
              <w:t xml:space="preserve">15</w:t>
            </w:r>
          </w:p>
        </w:tc>
        <w:tc>
          <w:tcPr>
            <w:tcW w:type="dxa" w:w="2000"/>
            <w:tcMar>
              <w:top w:type="dxa" w:w="80"/>
              <w:left w:type="dxa" w:w="100"/>
              <w:bottom w:type="dxa" w:w="80"/>
              <w:right w:type="dxa" w:w="100"/>
            </w:tcMar>
          </w:tcPr>
          <w:p>
            <w:r>
              <w:rPr>
                <w:b w:val="false"/>
                <w:bCs w:val="false"/>
                <w:sz w:val="20"/>
                <w:szCs w:val="20"/>
              </w:rPr>
              <w:t xml:space="preserve">Settings</w:t>
            </w:r>
          </w:p>
        </w:tc>
        <w:tc>
          <w:tcPr>
            <w:tcW w:type="dxa" w:w="3200"/>
            <w:tcMar>
              <w:top w:type="dxa" w:w="80"/>
              <w:left w:type="dxa" w:w="100"/>
              <w:bottom w:type="dxa" w:w="80"/>
              <w:right w:type="dxa" w:w="100"/>
            </w:tcMar>
          </w:tcPr>
          <w:p>
            <w:r>
              <w:rPr>
                <w:b w:val="false"/>
                <w:bCs w:val="false"/>
                <w:sz w:val="20"/>
                <w:szCs w:val="20"/>
              </w:rPr>
              <w:t xml:space="preserve">All users</w:t>
            </w:r>
          </w:p>
        </w:tc>
        <w:tc>
          <w:tcPr>
            <w:tcW w:type="dxa" w:w="3650"/>
            <w:tcMar>
              <w:top w:type="dxa" w:w="80"/>
              <w:left w:type="dxa" w:w="100"/>
              <w:bottom w:type="dxa" w:w="80"/>
              <w:right w:type="dxa" w:w="100"/>
            </w:tcMar>
          </w:tcPr>
          <w:p>
            <w:r>
              <w:rPr>
                <w:b w:val="false"/>
                <w:bCs w:val="false"/>
                <w:sz w:val="20"/>
                <w:szCs w:val="20"/>
              </w:rPr>
              <w:t xml:space="preserve">Account management</w:t>
            </w:r>
          </w:p>
        </w:tc>
      </w:tr>
      <w:tr>
        <w:tc>
          <w:tcPr>
            <w:tcW w:type="dxa" w:w="500"/>
            <w:tcMar>
              <w:top w:type="dxa" w:w="80"/>
              <w:left w:type="dxa" w:w="100"/>
              <w:bottom w:type="dxa" w:w="80"/>
              <w:right w:type="dxa" w:w="100"/>
            </w:tcMar>
          </w:tcPr>
          <w:p>
            <w:r>
              <w:rPr>
                <w:b w:val="false"/>
                <w:bCs w:val="false"/>
                <w:sz w:val="20"/>
                <w:szCs w:val="20"/>
              </w:rPr>
              <w:t xml:space="preserve">16</w:t>
            </w:r>
          </w:p>
        </w:tc>
        <w:tc>
          <w:tcPr>
            <w:tcW w:type="dxa" w:w="2000"/>
            <w:tcMar>
              <w:top w:type="dxa" w:w="80"/>
              <w:left w:type="dxa" w:w="100"/>
              <w:bottom w:type="dxa" w:w="80"/>
              <w:right w:type="dxa" w:w="100"/>
            </w:tcMar>
          </w:tcPr>
          <w:p>
            <w:r>
              <w:rPr>
                <w:b w:val="false"/>
                <w:bCs w:val="false"/>
                <w:sz w:val="20"/>
                <w:szCs w:val="20"/>
              </w:rPr>
              <w:t xml:space="preserve">Support</w:t>
            </w:r>
          </w:p>
        </w:tc>
        <w:tc>
          <w:tcPr>
            <w:tcW w:type="dxa" w:w="3200"/>
            <w:tcMar>
              <w:top w:type="dxa" w:w="80"/>
              <w:left w:type="dxa" w:w="100"/>
              <w:bottom w:type="dxa" w:w="80"/>
              <w:right w:type="dxa" w:w="100"/>
            </w:tcMar>
          </w:tcPr>
          <w:p>
            <w:r>
              <w:rPr>
                <w:b w:val="false"/>
                <w:bCs w:val="false"/>
                <w:sz w:val="20"/>
                <w:szCs w:val="20"/>
              </w:rPr>
              <w:t xml:space="preserve">All users</w:t>
            </w:r>
          </w:p>
        </w:tc>
        <w:tc>
          <w:tcPr>
            <w:tcW w:type="dxa" w:w="3650"/>
            <w:tcMar>
              <w:top w:type="dxa" w:w="80"/>
              <w:left w:type="dxa" w:w="100"/>
              <w:bottom w:type="dxa" w:w="80"/>
              <w:right w:type="dxa" w:w="100"/>
            </w:tcMar>
          </w:tcPr>
          <w:p>
            <w:r>
              <w:rPr>
                <w:b w:val="false"/>
                <w:bCs w:val="false"/>
                <w:sz w:val="20"/>
                <w:szCs w:val="20"/>
              </w:rPr>
              <w:t xml:space="preserve">Exception handling</w:t>
            </w:r>
          </w:p>
        </w:tc>
      </w:tr>
      <w:tr>
        <w:tc>
          <w:tcPr>
            <w:tcW w:type="dxa" w:w="500"/>
            <w:tcMar>
              <w:top w:type="dxa" w:w="80"/>
              <w:left w:type="dxa" w:w="100"/>
              <w:bottom w:type="dxa" w:w="80"/>
              <w:right w:type="dxa" w:w="100"/>
            </w:tcMar>
          </w:tcPr>
          <w:p>
            <w:r>
              <w:rPr>
                <w:b w:val="false"/>
                <w:bCs w:val="false"/>
                <w:sz w:val="20"/>
                <w:szCs w:val="20"/>
              </w:rPr>
              <w:t xml:space="preserve">17</w:t>
            </w:r>
          </w:p>
        </w:tc>
        <w:tc>
          <w:tcPr>
            <w:tcW w:type="dxa" w:w="2000"/>
            <w:tcMar>
              <w:top w:type="dxa" w:w="80"/>
              <w:left w:type="dxa" w:w="100"/>
              <w:bottom w:type="dxa" w:w="80"/>
              <w:right w:type="dxa" w:w="100"/>
            </w:tcMar>
          </w:tcPr>
          <w:p>
            <w:r>
              <w:rPr>
                <w:b w:val="false"/>
                <w:bCs w:val="false"/>
                <w:sz w:val="20"/>
                <w:szCs w:val="20"/>
              </w:rPr>
              <w:t xml:space="preserve">Help Center</w:t>
            </w:r>
          </w:p>
        </w:tc>
        <w:tc>
          <w:tcPr>
            <w:tcW w:type="dxa" w:w="3200"/>
            <w:tcMar>
              <w:top w:type="dxa" w:w="80"/>
              <w:left w:type="dxa" w:w="100"/>
              <w:bottom w:type="dxa" w:w="80"/>
              <w:right w:type="dxa" w:w="100"/>
            </w:tcMar>
          </w:tcPr>
          <w:p>
            <w:r>
              <w:rPr>
                <w:b w:val="false"/>
                <w:bCs w:val="false"/>
                <w:sz w:val="20"/>
                <w:szCs w:val="20"/>
              </w:rPr>
              <w:t xml:space="preserve">All users</w:t>
            </w:r>
          </w:p>
        </w:tc>
        <w:tc>
          <w:tcPr>
            <w:tcW w:type="dxa" w:w="3650"/>
            <w:tcMar>
              <w:top w:type="dxa" w:w="80"/>
              <w:left w:type="dxa" w:w="100"/>
              <w:bottom w:type="dxa" w:w="80"/>
              <w:right w:type="dxa" w:w="100"/>
            </w:tcMar>
          </w:tcPr>
          <w:p>
            <w:r>
              <w:rPr>
                <w:b w:val="false"/>
                <w:bCs w:val="false"/>
                <w:sz w:val="20"/>
                <w:szCs w:val="20"/>
              </w:rPr>
              <w:t xml:space="preserve">Self-service support</w:t>
            </w:r>
          </w:p>
        </w:tc>
      </w:tr>
    </w:tbl>
    <w:p>
      <w:pPr>
        <w:pStyle w:val="Heading1"/>
        <w:spacing w:after="200" w:before="400"/>
      </w:pPr>
      <w:r>
        <w:t xml:space="preserve">2. Page Specification: Landing Page</w:t>
      </w:r>
    </w:p>
    <w:p>
      <w:pPr>
        <w:pStyle w:val="Heading2"/>
        <w:spacing w:after="150" w:before="300"/>
      </w:pPr>
      <w:r>
        <w:t xml:space="preserve">2.1 Purpose</w:t>
      </w:r>
    </w:p>
    <w:p>
      <w:pPr>
        <w:spacing w:after="160"/>
        <w:jc w:val="both"/>
      </w:pPr>
      <w:r>
        <w:t xml:space="preserve">Communicate SwipeX's value proposition to a first-time visitor within seconds and convert that visitor into a signup, for both candidate and recruiter audiences.</w:t>
      </w:r>
    </w:p>
    <w:p>
      <w:pPr>
        <w:pStyle w:val="Heading2"/>
        <w:spacing w:after="150" w:before="300"/>
      </w:pPr>
      <w:r>
        <w:t xml:space="preserve">2.2 Goals</w:t>
      </w:r>
    </w:p>
    <w:p>
      <w:pPr>
        <w:pStyle w:val="ListParagraph"/>
        <w:numPr>
          <w:ilvl w:val="0"/>
          <w:numId w:val="1"/>
        </w:numPr>
        <w:spacing w:after="80"/>
      </w:pPr>
      <w:r>
        <w:t xml:space="preserve">Convey the 'swipe to discover, AI to optimize' value proposition immediately above the fold</w:t>
      </w:r>
    </w:p>
    <w:p>
      <w:pPr>
        <w:pStyle w:val="ListParagraph"/>
        <w:numPr>
          <w:ilvl w:val="0"/>
          <w:numId w:val="1"/>
        </w:numPr>
        <w:spacing w:after="80"/>
      </w:pPr>
      <w:r>
        <w:t xml:space="preserve">Provide separate, clearly labeled entry paths for candidates and recruiters</w:t>
      </w:r>
    </w:p>
    <w:p>
      <w:pPr>
        <w:pStyle w:val="ListParagraph"/>
        <w:numPr>
          <w:ilvl w:val="0"/>
          <w:numId w:val="1"/>
        </w:numPr>
        <w:spacing w:after="80"/>
      </w:pPr>
      <w:r>
        <w:t xml:space="preserve">Build trust through concrete proof points (ATS score uplift stats, testimonials) rather than generic claims</w:t>
      </w:r>
    </w:p>
    <w:p>
      <w:pPr>
        <w:pStyle w:val="Heading2"/>
        <w:spacing w:after="150" w:before="300"/>
      </w:pPr>
      <w:r>
        <w:t xml:space="preserve">2.3 Layout</w:t>
      </w:r>
    </w:p>
    <w:p>
      <w:pPr>
        <w:spacing w:after="160"/>
        <w:jc w:val="both"/>
      </w:pPr>
      <w:r>
        <w:t xml:space="preserve">Single-column, full-width sections stacked vertically: Hero, Value Pillars (3-column on desktop, stacked on mobile), Product Demo (animated swipe card preview), Social Proof, Candidate vs Recruiter CTA split, Footer. Persistent sticky header with logo, nav links, and primary 'Get Started' button.</w:t>
      </w:r>
    </w:p>
    <w:p>
      <w:pPr>
        <w:pStyle w:val="Heading2"/>
        <w:spacing w:after="150" w:before="300"/>
      </w:pPr>
      <w:r>
        <w:t xml:space="preserve">2.4 Wireframe Description</w:t>
      </w:r>
    </w:p>
    <w:p>
      <w:pPr>
        <w:spacing w:after="160"/>
        <w:jc w:val="both"/>
      </w:pPr>
      <w:r>
        <w:t xml:space="preserve">Hero section: left-aligned headline and subtext with primary CTA button, right side shows an animated mock swipe-card stack. Below the fold, three value-pillar cards (Swipe Discovery, AI Resume/ATS, Career Coaching) each with icon, H3 title, and 2-line description. A dual-CTA band follows: 'I'm looking for a job' vs 'I'm hiring' as two equally weighted large buttons routing to differentiated signup flows.</w:t>
      </w:r>
    </w:p>
    <w:p>
      <w:pPr>
        <w:pStyle w:val="Heading2"/>
        <w:spacing w:after="150" w:before="300"/>
      </w:pPr>
      <w:r>
        <w:t xml:space="preserve">2.5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80"/>
              <w:left w:type="dxa" w:w="100"/>
              <w:bottom w:type="dxa" w:w="80"/>
              <w:right w:type="dxa" w:w="100"/>
            </w:tcMar>
          </w:tcPr>
          <w:p>
            <w:r>
              <w:rPr>
                <w:b/>
                <w:bCs/>
                <w:color w:val="FFFFFF"/>
                <w:sz w:val="20"/>
                <w:szCs w:val="20"/>
              </w:rPr>
              <w:t xml:space="preserve">Component</w:t>
            </w:r>
          </w:p>
        </w:tc>
        <w:tc>
          <w:tcPr>
            <w:tcW w:type="dxa" w:w="6750"/>
            <w:shd w:fill="1B2A4A"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Sticky Header</w:t>
            </w:r>
          </w:p>
        </w:tc>
        <w:tc>
          <w:tcPr>
            <w:tcW w:type="dxa" w:w="6750"/>
            <w:tcMar>
              <w:top w:type="dxa" w:w="80"/>
              <w:left w:type="dxa" w:w="100"/>
              <w:bottom w:type="dxa" w:w="80"/>
              <w:right w:type="dxa" w:w="100"/>
            </w:tcMar>
          </w:tcPr>
          <w:p>
            <w:r>
              <w:rPr>
                <w:b w:val="false"/>
                <w:bCs w:val="false"/>
                <w:sz w:val="20"/>
                <w:szCs w:val="20"/>
              </w:rPr>
              <w:t xml:space="preserve">Logo, nav links (Product, For Recruiters, Pricing), Login link, primary Signup button</w:t>
            </w:r>
          </w:p>
        </w:tc>
      </w:tr>
      <w:tr>
        <w:tc>
          <w:tcPr>
            <w:tcW w:type="dxa" w:w="2600"/>
            <w:tcMar>
              <w:top w:type="dxa" w:w="80"/>
              <w:left w:type="dxa" w:w="100"/>
              <w:bottom w:type="dxa" w:w="80"/>
              <w:right w:type="dxa" w:w="100"/>
            </w:tcMar>
          </w:tcPr>
          <w:p>
            <w:r>
              <w:rPr>
                <w:b w:val="false"/>
                <w:bCs w:val="false"/>
                <w:sz w:val="20"/>
                <w:szCs w:val="20"/>
              </w:rPr>
              <w:t xml:space="preserve">Hero Block</w:t>
            </w:r>
          </w:p>
        </w:tc>
        <w:tc>
          <w:tcPr>
            <w:tcW w:type="dxa" w:w="6750"/>
            <w:tcMar>
              <w:top w:type="dxa" w:w="80"/>
              <w:left w:type="dxa" w:w="100"/>
              <w:bottom w:type="dxa" w:w="80"/>
              <w:right w:type="dxa" w:w="100"/>
            </w:tcMar>
          </w:tcPr>
          <w:p>
            <w:r>
              <w:rPr>
                <w:b w:val="false"/>
                <w:bCs w:val="false"/>
                <w:sz w:val="20"/>
                <w:szCs w:val="20"/>
              </w:rPr>
              <w:t xml:space="preserve">Headline (Type-Display), subheadline (Type-Body), primary CTA button, animated swipe-card illustration</w:t>
            </w:r>
          </w:p>
        </w:tc>
      </w:tr>
      <w:tr>
        <w:tc>
          <w:tcPr>
            <w:tcW w:type="dxa" w:w="2600"/>
            <w:tcMar>
              <w:top w:type="dxa" w:w="80"/>
              <w:left w:type="dxa" w:w="100"/>
              <w:bottom w:type="dxa" w:w="80"/>
              <w:right w:type="dxa" w:w="100"/>
            </w:tcMar>
          </w:tcPr>
          <w:p>
            <w:r>
              <w:rPr>
                <w:b w:val="false"/>
                <w:bCs w:val="false"/>
                <w:sz w:val="20"/>
                <w:szCs w:val="20"/>
              </w:rPr>
              <w:t xml:space="preserve">Value Pillar Card</w:t>
            </w:r>
          </w:p>
        </w:tc>
        <w:tc>
          <w:tcPr>
            <w:tcW w:type="dxa" w:w="6750"/>
            <w:tcMar>
              <w:top w:type="dxa" w:w="80"/>
              <w:left w:type="dxa" w:w="100"/>
              <w:bottom w:type="dxa" w:w="80"/>
              <w:right w:type="dxa" w:w="100"/>
            </w:tcMar>
          </w:tcPr>
          <w:p>
            <w:r>
              <w:rPr>
                <w:b w:val="false"/>
                <w:bCs w:val="false"/>
                <w:sz w:val="20"/>
                <w:szCs w:val="20"/>
              </w:rPr>
              <w:t xml:space="preserve">Icon, Type-H3 title, Type-Body description, used 3x in a row</w:t>
            </w:r>
          </w:p>
        </w:tc>
      </w:tr>
      <w:tr>
        <w:tc>
          <w:tcPr>
            <w:tcW w:type="dxa" w:w="2600"/>
            <w:tcMar>
              <w:top w:type="dxa" w:w="80"/>
              <w:left w:type="dxa" w:w="100"/>
              <w:bottom w:type="dxa" w:w="80"/>
              <w:right w:type="dxa" w:w="100"/>
            </w:tcMar>
          </w:tcPr>
          <w:p>
            <w:r>
              <w:rPr>
                <w:b w:val="false"/>
                <w:bCs w:val="false"/>
                <w:sz w:val="20"/>
                <w:szCs w:val="20"/>
              </w:rPr>
              <w:t xml:space="preserve">Dual-Audience CTA Band</w:t>
            </w:r>
          </w:p>
        </w:tc>
        <w:tc>
          <w:tcPr>
            <w:tcW w:type="dxa" w:w="6750"/>
            <w:tcMar>
              <w:top w:type="dxa" w:w="80"/>
              <w:left w:type="dxa" w:w="100"/>
              <w:bottom w:type="dxa" w:w="80"/>
              <w:right w:type="dxa" w:w="100"/>
            </w:tcMar>
          </w:tcPr>
          <w:p>
            <w:r>
              <w:rPr>
                <w:b w:val="false"/>
                <w:bCs w:val="false"/>
                <w:sz w:val="20"/>
                <w:szCs w:val="20"/>
              </w:rPr>
              <w:t xml:space="preserve">Two large equally-weighted buttons: Candidate path and Recruiter path</w:t>
            </w:r>
          </w:p>
        </w:tc>
      </w:tr>
      <w:tr>
        <w:tc>
          <w:tcPr>
            <w:tcW w:type="dxa" w:w="2600"/>
            <w:tcMar>
              <w:top w:type="dxa" w:w="80"/>
              <w:left w:type="dxa" w:w="100"/>
              <w:bottom w:type="dxa" w:w="80"/>
              <w:right w:type="dxa" w:w="100"/>
            </w:tcMar>
          </w:tcPr>
          <w:p>
            <w:r>
              <w:rPr>
                <w:b w:val="false"/>
                <w:bCs w:val="false"/>
                <w:sz w:val="20"/>
                <w:szCs w:val="20"/>
              </w:rPr>
              <w:t xml:space="preserve">Testimonial Carousel</w:t>
            </w:r>
          </w:p>
        </w:tc>
        <w:tc>
          <w:tcPr>
            <w:tcW w:type="dxa" w:w="6750"/>
            <w:tcMar>
              <w:top w:type="dxa" w:w="80"/>
              <w:left w:type="dxa" w:w="100"/>
              <w:bottom w:type="dxa" w:w="80"/>
              <w:right w:type="dxa" w:w="100"/>
            </w:tcMar>
          </w:tcPr>
          <w:p>
            <w:r>
              <w:rPr>
                <w:b w:val="false"/>
                <w:bCs w:val="false"/>
                <w:sz w:val="20"/>
                <w:szCs w:val="20"/>
              </w:rPr>
              <w:t xml:space="preserve">Rotating quote, name/role, avatar</w:t>
            </w:r>
          </w:p>
        </w:tc>
      </w:tr>
      <w:tr>
        <w:tc>
          <w:tcPr>
            <w:tcW w:type="dxa" w:w="2600"/>
            <w:tcMar>
              <w:top w:type="dxa" w:w="80"/>
              <w:left w:type="dxa" w:w="100"/>
              <w:bottom w:type="dxa" w:w="80"/>
              <w:right w:type="dxa" w:w="100"/>
            </w:tcMar>
          </w:tcPr>
          <w:p>
            <w:r>
              <w:rPr>
                <w:b w:val="false"/>
                <w:bCs w:val="false"/>
                <w:sz w:val="20"/>
                <w:szCs w:val="20"/>
              </w:rPr>
              <w:t xml:space="preserve">Footer</w:t>
            </w:r>
          </w:p>
        </w:tc>
        <w:tc>
          <w:tcPr>
            <w:tcW w:type="dxa" w:w="6750"/>
            <w:tcMar>
              <w:top w:type="dxa" w:w="80"/>
              <w:left w:type="dxa" w:w="100"/>
              <w:bottom w:type="dxa" w:w="80"/>
              <w:right w:type="dxa" w:w="100"/>
            </w:tcMar>
          </w:tcPr>
          <w:p>
            <w:r>
              <w:rPr>
                <w:b w:val="false"/>
                <w:bCs w:val="false"/>
                <w:sz w:val="20"/>
                <w:szCs w:val="20"/>
              </w:rPr>
              <w:t xml:space="preserve">Sitemap links, social links, legal links, language selector</w:t>
            </w:r>
          </w:p>
        </w:tc>
      </w:tr>
    </w:tbl>
    <w:p>
      <w:pPr>
        <w:pStyle w:val="Heading2"/>
        <w:spacing w:after="150" w:before="300"/>
      </w:pPr>
      <w:r>
        <w:t xml:space="preserve">2.6 Typography</w:t>
      </w:r>
    </w:p>
    <w:p>
      <w:pPr>
        <w:spacing w:after="160"/>
        <w:jc w:val="both"/>
      </w:pPr>
      <w:r>
        <w:t xml:space="preserve">Hero headline uses Type-Display in Navy-900. Section titles use Type-H2 in Navy-900. Body copy uses Type-Body in Neutral-700. CTA button labels use Type-Label.</w:t>
      </w:r>
    </w:p>
    <w:p>
      <w:pPr>
        <w:pStyle w:val="Heading2"/>
        <w:spacing w:after="150" w:before="300"/>
      </w:pPr>
      <w:r>
        <w:t xml:space="preserve">2.7 Spacing</w:t>
      </w:r>
    </w:p>
    <w:p>
      <w:pPr>
        <w:spacing w:after="160"/>
        <w:jc w:val="both"/>
      </w:pPr>
      <w:r>
        <w:t xml:space="preserve">Sections separated by Space-8 (64px) vertical rhythm on desktop, Space-6 (32px) on mobile. Internal card padding uses Space-4.</w:t>
      </w:r>
    </w:p>
    <w:p>
      <w:pPr>
        <w:pStyle w:val="Heading2"/>
        <w:spacing w:after="150" w:before="300"/>
      </w:pPr>
      <w:r>
        <w:t xml:space="preserve">2.8 Colors</w:t>
      </w:r>
    </w:p>
    <w:p>
      <w:pPr>
        <w:spacing w:after="160"/>
        <w:jc w:val="both"/>
      </w:pPr>
      <w:r>
        <w:t xml:space="preserve">Background alternates Neutral-50 and white between sections for visual rhythm. Primary CTA button uses Teal-500 fill with white text. Candidate/Recruiter CTA band uses Navy-900 and Teal-500 respectively to visually differentiate the two paths.</w:t>
      </w:r>
    </w:p>
    <w:p>
      <w:pPr>
        <w:pStyle w:val="Heading2"/>
        <w:spacing w:after="150" w:before="300"/>
      </w:pPr>
      <w:r>
        <w:t xml:space="preserve">2.9 Animations</w:t>
      </w:r>
    </w:p>
    <w:p>
      <w:pPr>
        <w:pStyle w:val="ListParagraph"/>
        <w:numPr>
          <w:ilvl w:val="0"/>
          <w:numId w:val="1"/>
        </w:numPr>
        <w:spacing w:after="80"/>
      </w:pPr>
      <w:r>
        <w:t xml:space="preserve">Hero swipe-card illustration auto-cycles through a 3-card demo loop (right-swipe, left-swipe) every 4 seconds</w:t>
      </w:r>
    </w:p>
    <w:p>
      <w:pPr>
        <w:pStyle w:val="ListParagraph"/>
        <w:numPr>
          <w:ilvl w:val="0"/>
          <w:numId w:val="1"/>
        </w:numPr>
        <w:spacing w:after="80"/>
      </w:pPr>
      <w:r>
        <w:t xml:space="preserve">Value pillar cards fade-and-rise into view on scroll (200ms, ease-out)</w:t>
      </w:r>
    </w:p>
    <w:p>
      <w:pPr>
        <w:pStyle w:val="ListParagraph"/>
        <w:numPr>
          <w:ilvl w:val="0"/>
          <w:numId w:val="1"/>
        </w:numPr>
        <w:spacing w:after="80"/>
      </w:pPr>
      <w:r>
        <w:t xml:space="preserve">All animations pause/disable under prefers-reduced-motion</w:t>
      </w:r>
    </w:p>
    <w:p>
      <w:pPr>
        <w:pStyle w:val="Heading2"/>
        <w:spacing w:after="150" w:before="300"/>
      </w:pPr>
      <w:r>
        <w:t xml:space="preserve">2.10 Icons</w:t>
      </w:r>
    </w:p>
    <w:p>
      <w:pPr>
        <w:spacing w:after="160"/>
        <w:jc w:val="both"/>
      </w:pPr>
      <w:r>
        <w:t xml:space="preserve">Line-style icon set (24px) for value pillars: swipe-gesture icon, document/checkmark icon for ATS, chat-bubble/coach icon for Career Coach. Icons use Teal-500 stroke color.</w:t>
      </w:r>
    </w:p>
    <w:p>
      <w:pPr>
        <w:pStyle w:val="Heading2"/>
        <w:spacing w:after="150" w:before="300"/>
      </w:pPr>
      <w:r>
        <w:t xml:space="preserve">2.11 Accessibility</w:t>
      </w:r>
    </w:p>
    <w:p>
      <w:pPr>
        <w:pStyle w:val="ListParagraph"/>
        <w:numPr>
          <w:ilvl w:val="0"/>
          <w:numId w:val="1"/>
        </w:numPr>
        <w:spacing w:after="80"/>
      </w:pPr>
      <w:r>
        <w:t xml:space="preserve">Hero CTA button is the first focusable element after skip-to-content link</w:t>
      </w:r>
    </w:p>
    <w:p>
      <w:pPr>
        <w:pStyle w:val="ListParagraph"/>
        <w:numPr>
          <w:ilvl w:val="0"/>
          <w:numId w:val="1"/>
        </w:numPr>
        <w:spacing w:after="80"/>
      </w:pPr>
      <w:r>
        <w:t xml:space="preserve">Auto-cycling hero animation has a pause control and does not auto-advance for prefers-reduced-motion users</w:t>
      </w:r>
    </w:p>
    <w:p>
      <w:pPr>
        <w:pStyle w:val="ListParagraph"/>
        <w:numPr>
          <w:ilvl w:val="0"/>
          <w:numId w:val="1"/>
        </w:numPr>
        <w:spacing w:after="80"/>
      </w:pPr>
      <w:r>
        <w:t xml:space="preserve">Candidate/Recruiter CTA band buttons have distinct accessible names, not just color differentiation</w:t>
      </w:r>
    </w:p>
    <w:p>
      <w:pPr>
        <w:pStyle w:val="Heading2"/>
        <w:spacing w:after="150" w:before="300"/>
      </w:pPr>
      <w:r>
        <w:t xml:space="preserve">2.12 Responsive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B2A4A" w:val="clear"/>
            <w:tcMar>
              <w:top w:type="dxa" w:w="80"/>
              <w:left w:type="dxa" w:w="100"/>
              <w:bottom w:type="dxa" w:w="80"/>
              <w:right w:type="dxa" w:w="100"/>
            </w:tcMar>
          </w:tcPr>
          <w:p>
            <w:r>
              <w:rPr>
                <w:b/>
                <w:bCs/>
                <w:color w:val="FFFFFF"/>
                <w:sz w:val="20"/>
                <w:szCs w:val="20"/>
              </w:rPr>
              <w:t xml:space="preserve">Breakpoint</w:t>
            </w:r>
          </w:p>
        </w:tc>
        <w:tc>
          <w:tcPr>
            <w:tcW w:type="dxa" w:w="7550"/>
            <w:shd w:fill="1B2A4A" w:val="clear"/>
            <w:tcMar>
              <w:top w:type="dxa" w:w="80"/>
              <w:left w:type="dxa" w:w="100"/>
              <w:bottom w:type="dxa" w:w="80"/>
              <w:right w:type="dxa" w:w="100"/>
            </w:tcMar>
          </w:tcPr>
          <w:p>
            <w:r>
              <w:rPr>
                <w:b/>
                <w:bCs/>
                <w:color w:val="FFFFFF"/>
                <w:sz w:val="20"/>
                <w:szCs w:val="20"/>
              </w:rPr>
              <w:t xml:space="preserve">Behavior</w:t>
            </w:r>
          </w:p>
        </w:tc>
      </w:tr>
      <w:tr>
        <w:tc>
          <w:tcPr>
            <w:tcW w:type="dxa" w:w="1800"/>
            <w:tcMar>
              <w:top w:type="dxa" w:w="80"/>
              <w:left w:type="dxa" w:w="100"/>
              <w:bottom w:type="dxa" w:w="80"/>
              <w:right w:type="dxa" w:w="100"/>
            </w:tcMar>
          </w:tcPr>
          <w:p>
            <w:r>
              <w:rPr>
                <w:b w:val="false"/>
                <w:bCs w:val="false"/>
                <w:sz w:val="20"/>
                <w:szCs w:val="20"/>
              </w:rPr>
              <w:t xml:space="preserve">Mobile</w:t>
            </w:r>
          </w:p>
        </w:tc>
        <w:tc>
          <w:tcPr>
            <w:tcW w:type="dxa" w:w="7550"/>
            <w:tcMar>
              <w:top w:type="dxa" w:w="80"/>
              <w:left w:type="dxa" w:w="100"/>
              <w:bottom w:type="dxa" w:w="80"/>
              <w:right w:type="dxa" w:w="100"/>
            </w:tcMar>
          </w:tcPr>
          <w:p>
            <w:r>
              <w:rPr>
                <w:b w:val="false"/>
                <w:bCs w:val="false"/>
                <w:sz w:val="20"/>
                <w:szCs w:val="20"/>
              </w:rPr>
              <w:t xml:space="preserve">Single column; hero illustration moves below headline text; dual-CTA band stacks vertically</w:t>
            </w:r>
          </w:p>
        </w:tc>
      </w:tr>
      <w:tr>
        <w:tc>
          <w:tcPr>
            <w:tcW w:type="dxa" w:w="1800"/>
            <w:tcMar>
              <w:top w:type="dxa" w:w="80"/>
              <w:left w:type="dxa" w:w="100"/>
              <w:bottom w:type="dxa" w:w="80"/>
              <w:right w:type="dxa" w:w="100"/>
            </w:tcMar>
          </w:tcPr>
          <w:p>
            <w:r>
              <w:rPr>
                <w:b w:val="false"/>
                <w:bCs w:val="false"/>
                <w:sz w:val="20"/>
                <w:szCs w:val="20"/>
              </w:rPr>
              <w:t xml:space="preserve">Tablet</w:t>
            </w:r>
          </w:p>
        </w:tc>
        <w:tc>
          <w:tcPr>
            <w:tcW w:type="dxa" w:w="7550"/>
            <w:tcMar>
              <w:top w:type="dxa" w:w="80"/>
              <w:left w:type="dxa" w:w="100"/>
              <w:bottom w:type="dxa" w:w="80"/>
              <w:right w:type="dxa" w:w="100"/>
            </w:tcMar>
          </w:tcPr>
          <w:p>
            <w:r>
              <w:rPr>
                <w:b w:val="false"/>
                <w:bCs w:val="false"/>
                <w:sz w:val="20"/>
                <w:szCs w:val="20"/>
              </w:rPr>
              <w:t xml:space="preserve">Value pillars display 2-up then wrap; hero remains side-by-side if width allows</w:t>
            </w:r>
          </w:p>
        </w:tc>
      </w:tr>
      <w:tr>
        <w:tc>
          <w:tcPr>
            <w:tcW w:type="dxa" w:w="1800"/>
            <w:tcMar>
              <w:top w:type="dxa" w:w="80"/>
              <w:left w:type="dxa" w:w="100"/>
              <w:bottom w:type="dxa" w:w="80"/>
              <w:right w:type="dxa" w:w="100"/>
            </w:tcMar>
          </w:tcPr>
          <w:p>
            <w:r>
              <w:rPr>
                <w:b w:val="false"/>
                <w:bCs w:val="false"/>
                <w:sz w:val="20"/>
                <w:szCs w:val="20"/>
              </w:rPr>
              <w:t xml:space="preserve">Desktop+</w:t>
            </w:r>
          </w:p>
        </w:tc>
        <w:tc>
          <w:tcPr>
            <w:tcW w:type="dxa" w:w="7550"/>
            <w:tcMar>
              <w:top w:type="dxa" w:w="80"/>
              <w:left w:type="dxa" w:w="100"/>
              <w:bottom w:type="dxa" w:w="80"/>
              <w:right w:type="dxa" w:w="100"/>
            </w:tcMar>
          </w:tcPr>
          <w:p>
            <w:r>
              <w:rPr>
                <w:b w:val="false"/>
                <w:bCs w:val="false"/>
                <w:sz w:val="20"/>
                <w:szCs w:val="20"/>
              </w:rPr>
              <w:t xml:space="preserve">Full 3-column value pillar row; hero side-by-side layout</w:t>
            </w:r>
          </w:p>
        </w:tc>
      </w:tr>
    </w:tbl>
    <w:p>
      <w:pPr>
        <w:pStyle w:val="Heading2"/>
        <w:spacing w:after="150" w:before="300"/>
      </w:pPr>
      <w:r>
        <w:t xml:space="preserve">2.13 Empty States</w:t>
      </w:r>
    </w:p>
    <w:p>
      <w:pPr>
        <w:spacing w:after="160"/>
        <w:jc w:val="both"/>
      </w:pPr>
      <w:r>
        <w:t xml:space="preserve">Not applicable — Landing Page is static/marketing content with no user-data-dependent state.</w:t>
      </w:r>
    </w:p>
    <w:p>
      <w:pPr>
        <w:pStyle w:val="Heading2"/>
        <w:spacing w:after="150" w:before="300"/>
      </w:pPr>
      <w:r>
        <w:t xml:space="preserve">2.14 Loading States</w:t>
      </w:r>
    </w:p>
    <w:p>
      <w:pPr>
        <w:spacing w:after="160"/>
        <w:jc w:val="both"/>
      </w:pPr>
      <w:r>
        <w:t xml:space="preserve">Hero illustration and testimonial carousel lazy-load below-the-fold assets; a low-opacity placeholder skeleton is shown for the testimonial block until content loads, capped at 500ms before falling back to a static testimonial.</w:t>
      </w:r>
    </w:p>
    <w:p>
      <w:pPr>
        <w:pStyle w:val="Heading2"/>
        <w:spacing w:after="150" w:before="300"/>
      </w:pPr>
      <w:r>
        <w:t xml:space="preserve">2.15 Validation</w:t>
      </w:r>
    </w:p>
    <w:p>
      <w:pPr>
        <w:pStyle w:val="ListParagraph"/>
        <w:numPr>
          <w:ilvl w:val="0"/>
          <w:numId w:val="1"/>
        </w:numPr>
        <w:spacing w:after="80"/>
      </w:pPr>
      <w:r>
        <w:t xml:space="preserve">No form validation on this page beyond email-capture newsletter field (if present), which validates standard email format before submission</w:t>
      </w:r>
    </w:p>
    <w:p>
      <w:pPr>
        <w:pStyle w:val="Heading2"/>
        <w:spacing w:after="150" w:before="300"/>
      </w:pPr>
      <w:r>
        <w:t xml:space="preserve">2.16 Acceptance Criteria</w:t>
      </w:r>
    </w:p>
    <w:p>
      <w:pPr>
        <w:pStyle w:val="ListParagraph"/>
        <w:numPr>
          <w:ilvl w:val="0"/>
          <w:numId w:val="1"/>
        </w:numPr>
        <w:spacing w:after="80"/>
      </w:pPr>
      <w:r>
        <w:t xml:space="preserve">Given a first-time visitor, when the page loads, then the value proposition is visible without scrolling on a standard 1366x768 viewport</w:t>
      </w:r>
    </w:p>
    <w:p>
      <w:pPr>
        <w:pStyle w:val="ListParagraph"/>
        <w:numPr>
          <w:ilvl w:val="0"/>
          <w:numId w:val="1"/>
        </w:numPr>
        <w:spacing w:after="80"/>
      </w:pPr>
      <w:r>
        <w:t xml:space="preserve">Given a visitor clicks 'I'm hiring', when routed, then they land on the recruiter-specific signup variant, not the candidate signup</w:t>
      </w:r>
    </w:p>
    <w:p>
      <w:pPr>
        <w:pStyle w:val="ListParagraph"/>
        <w:numPr>
          <w:ilvl w:val="0"/>
          <w:numId w:val="1"/>
        </w:numPr>
        <w:spacing w:after="80"/>
      </w:pPr>
      <w:r>
        <w:t xml:space="preserve">Given prefers-reduced-motion is set, when the page loads, then hero animation does not auto-play</w:t>
      </w:r>
    </w:p>
    <w:p>
      <w:pPr>
        <w:pStyle w:val="Heading2"/>
        <w:spacing w:after="150" w:before="300"/>
      </w:pPr>
      <w:r>
        <w:t xml:space="preserve">2.17 Developer Notes</w:t>
      </w:r>
    </w:p>
    <w:p>
      <w:pPr>
        <w:pStyle w:val="ListParagraph"/>
        <w:numPr>
          <w:ilvl w:val="0"/>
          <w:numId w:val="1"/>
        </w:numPr>
        <w:spacing w:after="80"/>
      </w:pPr>
      <w:r>
        <w:t xml:space="preserve">Landing Page must be server-rendered or statically generated for SEO and performance; it must not depend on client-side data fetching for above-the-fold content</w:t>
      </w:r>
    </w:p>
    <w:p>
      <w:pPr>
        <w:pStyle w:val="ListParagraph"/>
        <w:numPr>
          <w:ilvl w:val="0"/>
          <w:numId w:val="1"/>
        </w:numPr>
        <w:spacing w:after="80"/>
      </w:pPr>
      <w:r>
        <w:t xml:space="preserve">Candidate and Recruiter CTA routes carry a query parameter or route segment consumed by the Signup page (Section 4) to pre-select the correct account type</w:t>
      </w:r>
    </w:p>
    <w:p>
      <w:pPr>
        <w:pStyle w:val="Heading1"/>
        <w:spacing w:after="200" w:before="400"/>
      </w:pPr>
      <w:r>
        <w:t xml:space="preserve">3. Page Specification: Login</w:t>
      </w:r>
    </w:p>
    <w:p>
      <w:pPr>
        <w:pStyle w:val="Heading2"/>
        <w:spacing w:after="150" w:before="300"/>
      </w:pPr>
      <w:r>
        <w:t xml:space="preserve">3.1 Purpose</w:t>
      </w:r>
    </w:p>
    <w:p>
      <w:pPr>
        <w:spacing w:after="160"/>
        <w:jc w:val="both"/>
      </w:pPr>
      <w:r>
        <w:t xml:space="preserve">Allow a returning user (candidate or recruiter) to authenticate quickly and securely, and recover access if credentials are forgotten.</w:t>
      </w:r>
    </w:p>
    <w:p>
      <w:pPr>
        <w:pStyle w:val="Heading2"/>
        <w:spacing w:after="150" w:before="300"/>
      </w:pPr>
      <w:r>
        <w:t xml:space="preserve">3.2 Goals</w:t>
      </w:r>
    </w:p>
    <w:p>
      <w:pPr>
        <w:pStyle w:val="ListParagraph"/>
        <w:numPr>
          <w:ilvl w:val="0"/>
          <w:numId w:val="1"/>
        </w:numPr>
        <w:spacing w:after="80"/>
      </w:pPr>
      <w:r>
        <w:t xml:space="preserve">Minimize time-to-authenticate for returning users</w:t>
      </w:r>
    </w:p>
    <w:p>
      <w:pPr>
        <w:pStyle w:val="ListParagraph"/>
        <w:numPr>
          <w:ilvl w:val="0"/>
          <w:numId w:val="1"/>
        </w:numPr>
        <w:spacing w:after="80"/>
      </w:pPr>
      <w:r>
        <w:t xml:space="preserve">Support both password-based and OAuth (Google/LinkedIn) login per Volume 1 FR-01</w:t>
      </w:r>
    </w:p>
    <w:p>
      <w:pPr>
        <w:pStyle w:val="ListParagraph"/>
        <w:numPr>
          <w:ilvl w:val="0"/>
          <w:numId w:val="1"/>
        </w:numPr>
        <w:spacing w:after="80"/>
      </w:pPr>
      <w:r>
        <w:t xml:space="preserve">Provide a clear, low-friction password-recovery path</w:t>
      </w:r>
    </w:p>
    <w:p>
      <w:pPr>
        <w:pStyle w:val="Heading2"/>
        <w:spacing w:after="150" w:before="300"/>
      </w:pPr>
      <w:r>
        <w:t xml:space="preserve">3.3 Layout</w:t>
      </w:r>
    </w:p>
    <w:p>
      <w:pPr>
        <w:spacing w:after="160"/>
        <w:jc w:val="both"/>
      </w:pPr>
      <w:r>
        <w:t xml:space="preserve">Centered single-column card (max-width ~420px) on a full-bleed branded background. Card contains logo, form fields, primary submit button, OAuth buttons, and a footer link to Signup.</w:t>
      </w:r>
    </w:p>
    <w:p>
      <w:pPr>
        <w:pStyle w:val="Heading2"/>
        <w:spacing w:after="150" w:before="300"/>
      </w:pPr>
      <w:r>
        <w:t xml:space="preserve">3.4 Wireframe Description</w:t>
      </w:r>
    </w:p>
    <w:p>
      <w:pPr>
        <w:spacing w:after="160"/>
        <w:jc w:val="both"/>
      </w:pPr>
      <w:r>
        <w:t xml:space="preserve">Top: SwipeX logo. Below: 'Log in' Type-H1 title. Email field, password field (with show/hide toggle), 'Forgot password?' link right-aligned under the password field, primary 'Log In' button full-width, divider labeled 'or', two OAuth buttons (Google, LinkedIn), footer text 'New to SwipeX? Sign up' linking to Signup.</w:t>
      </w:r>
    </w:p>
    <w:p>
      <w:pPr>
        <w:pStyle w:val="Heading2"/>
        <w:spacing w:after="150" w:before="300"/>
      </w:pPr>
      <w:r>
        <w:t xml:space="preserve">3.5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80"/>
              <w:left w:type="dxa" w:w="100"/>
              <w:bottom w:type="dxa" w:w="80"/>
              <w:right w:type="dxa" w:w="100"/>
            </w:tcMar>
          </w:tcPr>
          <w:p>
            <w:r>
              <w:rPr>
                <w:b/>
                <w:bCs/>
                <w:color w:val="FFFFFF"/>
                <w:sz w:val="20"/>
                <w:szCs w:val="20"/>
              </w:rPr>
              <w:t xml:space="preserve">Component</w:t>
            </w:r>
          </w:p>
        </w:tc>
        <w:tc>
          <w:tcPr>
            <w:tcW w:type="dxa" w:w="6750"/>
            <w:shd w:fill="1B2A4A"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Auth Card</w:t>
            </w:r>
          </w:p>
        </w:tc>
        <w:tc>
          <w:tcPr>
            <w:tcW w:type="dxa" w:w="6750"/>
            <w:tcMar>
              <w:top w:type="dxa" w:w="80"/>
              <w:left w:type="dxa" w:w="100"/>
              <w:bottom w:type="dxa" w:w="80"/>
              <w:right w:type="dxa" w:w="100"/>
            </w:tcMar>
          </w:tcPr>
          <w:p>
            <w:r>
              <w:rPr>
                <w:b w:val="false"/>
                <w:bCs w:val="false"/>
                <w:sz w:val="20"/>
                <w:szCs w:val="20"/>
              </w:rPr>
              <w:t xml:space="preserve">Container holding the login form, centered on viewport</w:t>
            </w:r>
          </w:p>
        </w:tc>
      </w:tr>
      <w:tr>
        <w:tc>
          <w:tcPr>
            <w:tcW w:type="dxa" w:w="2600"/>
            <w:tcMar>
              <w:top w:type="dxa" w:w="80"/>
              <w:left w:type="dxa" w:w="100"/>
              <w:bottom w:type="dxa" w:w="80"/>
              <w:right w:type="dxa" w:w="100"/>
            </w:tcMar>
          </w:tcPr>
          <w:p>
            <w:r>
              <w:rPr>
                <w:b w:val="false"/>
                <w:bCs w:val="false"/>
                <w:sz w:val="20"/>
                <w:szCs w:val="20"/>
              </w:rPr>
              <w:t xml:space="preserve">Text Input</w:t>
            </w:r>
          </w:p>
        </w:tc>
        <w:tc>
          <w:tcPr>
            <w:tcW w:type="dxa" w:w="6750"/>
            <w:tcMar>
              <w:top w:type="dxa" w:w="80"/>
              <w:left w:type="dxa" w:w="100"/>
              <w:bottom w:type="dxa" w:w="80"/>
              <w:right w:type="dxa" w:w="100"/>
            </w:tcMar>
          </w:tcPr>
          <w:p>
            <w:r>
              <w:rPr>
                <w:b w:val="false"/>
                <w:bCs w:val="false"/>
                <w:sz w:val="20"/>
                <w:szCs w:val="20"/>
              </w:rPr>
              <w:t xml:space="preserve">Email field with inline validation state</w:t>
            </w:r>
          </w:p>
        </w:tc>
      </w:tr>
      <w:tr>
        <w:tc>
          <w:tcPr>
            <w:tcW w:type="dxa" w:w="2600"/>
            <w:tcMar>
              <w:top w:type="dxa" w:w="80"/>
              <w:left w:type="dxa" w:w="100"/>
              <w:bottom w:type="dxa" w:w="80"/>
              <w:right w:type="dxa" w:w="100"/>
            </w:tcMar>
          </w:tcPr>
          <w:p>
            <w:r>
              <w:rPr>
                <w:b w:val="false"/>
                <w:bCs w:val="false"/>
                <w:sz w:val="20"/>
                <w:szCs w:val="20"/>
              </w:rPr>
              <w:t xml:space="preserve">Password Input</w:t>
            </w:r>
          </w:p>
        </w:tc>
        <w:tc>
          <w:tcPr>
            <w:tcW w:type="dxa" w:w="6750"/>
            <w:tcMar>
              <w:top w:type="dxa" w:w="80"/>
              <w:left w:type="dxa" w:w="100"/>
              <w:bottom w:type="dxa" w:w="80"/>
              <w:right w:type="dxa" w:w="100"/>
            </w:tcMar>
          </w:tcPr>
          <w:p>
            <w:r>
              <w:rPr>
                <w:b w:val="false"/>
                <w:bCs w:val="false"/>
                <w:sz w:val="20"/>
                <w:szCs w:val="20"/>
              </w:rPr>
              <w:t xml:space="preserve">Password field with visibility toggle icon</w:t>
            </w:r>
          </w:p>
        </w:tc>
      </w:tr>
      <w:tr>
        <w:tc>
          <w:tcPr>
            <w:tcW w:type="dxa" w:w="2600"/>
            <w:tcMar>
              <w:top w:type="dxa" w:w="80"/>
              <w:left w:type="dxa" w:w="100"/>
              <w:bottom w:type="dxa" w:w="80"/>
              <w:right w:type="dxa" w:w="100"/>
            </w:tcMar>
          </w:tcPr>
          <w:p>
            <w:r>
              <w:rPr>
                <w:b w:val="false"/>
                <w:bCs w:val="false"/>
                <w:sz w:val="20"/>
                <w:szCs w:val="20"/>
              </w:rPr>
              <w:t xml:space="preserve">Primary Button</w:t>
            </w:r>
          </w:p>
        </w:tc>
        <w:tc>
          <w:tcPr>
            <w:tcW w:type="dxa" w:w="6750"/>
            <w:tcMar>
              <w:top w:type="dxa" w:w="80"/>
              <w:left w:type="dxa" w:w="100"/>
              <w:bottom w:type="dxa" w:w="80"/>
              <w:right w:type="dxa" w:w="100"/>
            </w:tcMar>
          </w:tcPr>
          <w:p>
            <w:r>
              <w:rPr>
                <w:b w:val="false"/>
                <w:bCs w:val="false"/>
                <w:sz w:val="20"/>
                <w:szCs w:val="20"/>
              </w:rPr>
              <w:t xml:space="preserve">Full-width 'Log In' submit button</w:t>
            </w:r>
          </w:p>
        </w:tc>
      </w:tr>
      <w:tr>
        <w:tc>
          <w:tcPr>
            <w:tcW w:type="dxa" w:w="2600"/>
            <w:tcMar>
              <w:top w:type="dxa" w:w="80"/>
              <w:left w:type="dxa" w:w="100"/>
              <w:bottom w:type="dxa" w:w="80"/>
              <w:right w:type="dxa" w:w="100"/>
            </w:tcMar>
          </w:tcPr>
          <w:p>
            <w:r>
              <w:rPr>
                <w:b w:val="false"/>
                <w:bCs w:val="false"/>
                <w:sz w:val="20"/>
                <w:szCs w:val="20"/>
              </w:rPr>
              <w:t xml:space="preserve">OAuth Button</w:t>
            </w:r>
          </w:p>
        </w:tc>
        <w:tc>
          <w:tcPr>
            <w:tcW w:type="dxa" w:w="6750"/>
            <w:tcMar>
              <w:top w:type="dxa" w:w="80"/>
              <w:left w:type="dxa" w:w="100"/>
              <w:bottom w:type="dxa" w:w="80"/>
              <w:right w:type="dxa" w:w="100"/>
            </w:tcMar>
          </w:tcPr>
          <w:p>
            <w:r>
              <w:rPr>
                <w:b w:val="false"/>
                <w:bCs w:val="false"/>
                <w:sz w:val="20"/>
                <w:szCs w:val="20"/>
              </w:rPr>
              <w:t xml:space="preserve">Google and LinkedIn branded login buttons per each provider's brand guidelines</w:t>
            </w:r>
          </w:p>
        </w:tc>
      </w:tr>
      <w:tr>
        <w:tc>
          <w:tcPr>
            <w:tcW w:type="dxa" w:w="2600"/>
            <w:tcMar>
              <w:top w:type="dxa" w:w="80"/>
              <w:left w:type="dxa" w:w="100"/>
              <w:bottom w:type="dxa" w:w="80"/>
              <w:right w:type="dxa" w:w="100"/>
            </w:tcMar>
          </w:tcPr>
          <w:p>
            <w:r>
              <w:rPr>
                <w:b w:val="false"/>
                <w:bCs w:val="false"/>
                <w:sz w:val="20"/>
                <w:szCs w:val="20"/>
              </w:rPr>
              <w:t xml:space="preserve">Inline Error Banner</w:t>
            </w:r>
          </w:p>
        </w:tc>
        <w:tc>
          <w:tcPr>
            <w:tcW w:type="dxa" w:w="6750"/>
            <w:tcMar>
              <w:top w:type="dxa" w:w="80"/>
              <w:left w:type="dxa" w:w="100"/>
              <w:bottom w:type="dxa" w:w="80"/>
              <w:right w:type="dxa" w:w="100"/>
            </w:tcMar>
          </w:tcPr>
          <w:p>
            <w:r>
              <w:rPr>
                <w:b w:val="false"/>
                <w:bCs w:val="false"/>
                <w:sz w:val="20"/>
                <w:szCs w:val="20"/>
              </w:rPr>
              <w:t xml:space="preserve">Appears above the form on authentication failure</w:t>
            </w:r>
          </w:p>
        </w:tc>
      </w:tr>
    </w:tbl>
    <w:p>
      <w:pPr>
        <w:pStyle w:val="Heading2"/>
        <w:spacing w:after="150" w:before="300"/>
      </w:pPr>
      <w:r>
        <w:t xml:space="preserve">3.6 Typography</w:t>
      </w:r>
    </w:p>
    <w:p>
      <w:pPr>
        <w:spacing w:after="160"/>
        <w:jc w:val="both"/>
      </w:pPr>
      <w:r>
        <w:t xml:space="preserve">Card title uses Type-H1. Field labels use Type-Label. Input text and error messages use Type-Body and Type-Caption respectively.</w:t>
      </w:r>
    </w:p>
    <w:p>
      <w:pPr>
        <w:pStyle w:val="Heading2"/>
        <w:spacing w:after="150" w:before="300"/>
      </w:pPr>
      <w:r>
        <w:t xml:space="preserve">3.7 Spacing</w:t>
      </w:r>
    </w:p>
    <w:p>
      <w:pPr>
        <w:spacing w:after="160"/>
        <w:jc w:val="both"/>
      </w:pPr>
      <w:r>
        <w:t xml:space="preserve">Card internal padding Space-6. Vertical gap between fields Space-4. Gap between OAuth buttons Space-3.</w:t>
      </w:r>
    </w:p>
    <w:p>
      <w:pPr>
        <w:pStyle w:val="Heading2"/>
        <w:spacing w:after="150" w:before="300"/>
      </w:pPr>
      <w:r>
        <w:t xml:space="preserve">3.8 Colors</w:t>
      </w:r>
    </w:p>
    <w:p>
      <w:pPr>
        <w:spacing w:after="160"/>
        <w:jc w:val="both"/>
      </w:pPr>
      <w:r>
        <w:t xml:space="preserve">Card background white on a Navy-900 gradient or brand-pattern backdrop. Primary button Teal-500. Error banner uses Error-Red background tint with Error-Red text and icon.</w:t>
      </w:r>
    </w:p>
    <w:p>
      <w:pPr>
        <w:pStyle w:val="Heading2"/>
        <w:spacing w:after="150" w:before="300"/>
      </w:pPr>
      <w:r>
        <w:t xml:space="preserve">3.9 Animations</w:t>
      </w:r>
    </w:p>
    <w:p>
      <w:pPr>
        <w:pStyle w:val="ListParagraph"/>
        <w:numPr>
          <w:ilvl w:val="0"/>
          <w:numId w:val="1"/>
        </w:numPr>
        <w:spacing w:after="80"/>
      </w:pPr>
      <w:r>
        <w:t xml:space="preserve">Error banner slides down (150ms ease-out) when authentication fails</w:t>
      </w:r>
    </w:p>
    <w:p>
      <w:pPr>
        <w:pStyle w:val="ListParagraph"/>
        <w:numPr>
          <w:ilvl w:val="0"/>
          <w:numId w:val="1"/>
        </w:numPr>
        <w:spacing w:after="80"/>
      </w:pPr>
      <w:r>
        <w:t xml:space="preserve">Password visibility toggle is an instant icon swap with no animation delay</w:t>
      </w:r>
    </w:p>
    <w:p>
      <w:pPr>
        <w:pStyle w:val="Heading2"/>
        <w:spacing w:after="150" w:before="300"/>
      </w:pPr>
      <w:r>
        <w:t xml:space="preserve">3.10 Icons</w:t>
      </w:r>
    </w:p>
    <w:p>
      <w:pPr>
        <w:spacing w:after="160"/>
        <w:jc w:val="both"/>
      </w:pPr>
      <w:r>
        <w:t xml:space="preserve">Eye/eye-off icon for password visibility. Provider brand icons for OAuth buttons (used per each provider's brand usage guidelines).</w:t>
      </w:r>
    </w:p>
    <w:p>
      <w:pPr>
        <w:pStyle w:val="Heading2"/>
        <w:spacing w:after="150" w:before="300"/>
      </w:pPr>
      <w:r>
        <w:t xml:space="preserve">3.11 Accessibility</w:t>
      </w:r>
    </w:p>
    <w:p>
      <w:pPr>
        <w:pStyle w:val="ListParagraph"/>
        <w:numPr>
          <w:ilvl w:val="0"/>
          <w:numId w:val="1"/>
        </w:numPr>
        <w:spacing w:after="80"/>
      </w:pPr>
      <w:r>
        <w:t xml:space="preserve">Form fields have programmatically associated labels, not placeholder-only labels</w:t>
      </w:r>
    </w:p>
    <w:p>
      <w:pPr>
        <w:pStyle w:val="ListParagraph"/>
        <w:numPr>
          <w:ilvl w:val="0"/>
          <w:numId w:val="1"/>
        </w:numPr>
        <w:spacing w:after="80"/>
      </w:pPr>
      <w:r>
        <w:t xml:space="preserve">Authentication error is announced via aria-live polite region</w:t>
      </w:r>
    </w:p>
    <w:p>
      <w:pPr>
        <w:pStyle w:val="ListParagraph"/>
        <w:numPr>
          <w:ilvl w:val="0"/>
          <w:numId w:val="1"/>
        </w:numPr>
        <w:spacing w:after="80"/>
      </w:pPr>
      <w:r>
        <w:t xml:space="preserve">Password toggle button has an accessible name that changes with state ('Show password' / 'Hide password')</w:t>
      </w:r>
    </w:p>
    <w:p>
      <w:pPr>
        <w:pStyle w:val="Heading2"/>
        <w:spacing w:after="150" w:before="300"/>
      </w:pPr>
      <w:r>
        <w:t xml:space="preserve">3.12 Responsive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B2A4A" w:val="clear"/>
            <w:tcMar>
              <w:top w:type="dxa" w:w="80"/>
              <w:left w:type="dxa" w:w="100"/>
              <w:bottom w:type="dxa" w:w="80"/>
              <w:right w:type="dxa" w:w="100"/>
            </w:tcMar>
          </w:tcPr>
          <w:p>
            <w:r>
              <w:rPr>
                <w:b/>
                <w:bCs/>
                <w:color w:val="FFFFFF"/>
                <w:sz w:val="20"/>
                <w:szCs w:val="20"/>
              </w:rPr>
              <w:t xml:space="preserve">Breakpoint</w:t>
            </w:r>
          </w:p>
        </w:tc>
        <w:tc>
          <w:tcPr>
            <w:tcW w:type="dxa" w:w="7550"/>
            <w:shd w:fill="1B2A4A" w:val="clear"/>
            <w:tcMar>
              <w:top w:type="dxa" w:w="80"/>
              <w:left w:type="dxa" w:w="100"/>
              <w:bottom w:type="dxa" w:w="80"/>
              <w:right w:type="dxa" w:w="100"/>
            </w:tcMar>
          </w:tcPr>
          <w:p>
            <w:r>
              <w:rPr>
                <w:b/>
                <w:bCs/>
                <w:color w:val="FFFFFF"/>
                <w:sz w:val="20"/>
                <w:szCs w:val="20"/>
              </w:rPr>
              <w:t xml:space="preserve">Behavior</w:t>
            </w:r>
          </w:p>
        </w:tc>
      </w:tr>
      <w:tr>
        <w:tc>
          <w:tcPr>
            <w:tcW w:type="dxa" w:w="1800"/>
            <w:tcMar>
              <w:top w:type="dxa" w:w="80"/>
              <w:left w:type="dxa" w:w="100"/>
              <w:bottom w:type="dxa" w:w="80"/>
              <w:right w:type="dxa" w:w="100"/>
            </w:tcMar>
          </w:tcPr>
          <w:p>
            <w:r>
              <w:rPr>
                <w:b w:val="false"/>
                <w:bCs w:val="false"/>
                <w:sz w:val="20"/>
                <w:szCs w:val="20"/>
              </w:rPr>
              <w:t xml:space="preserve">Mobile</w:t>
            </w:r>
          </w:p>
        </w:tc>
        <w:tc>
          <w:tcPr>
            <w:tcW w:type="dxa" w:w="7550"/>
            <w:tcMar>
              <w:top w:type="dxa" w:w="80"/>
              <w:left w:type="dxa" w:w="100"/>
              <w:bottom w:type="dxa" w:w="80"/>
              <w:right w:type="dxa" w:w="100"/>
            </w:tcMar>
          </w:tcPr>
          <w:p>
            <w:r>
              <w:rPr>
                <w:b w:val="false"/>
                <w:bCs w:val="false"/>
                <w:sz w:val="20"/>
                <w:szCs w:val="20"/>
              </w:rPr>
              <w:t xml:space="preserve">Card expands to near-full-width with Space-4 side margins; OAuth buttons stack vertically</w:t>
            </w:r>
          </w:p>
        </w:tc>
      </w:tr>
      <w:tr>
        <w:tc>
          <w:tcPr>
            <w:tcW w:type="dxa" w:w="1800"/>
            <w:tcMar>
              <w:top w:type="dxa" w:w="80"/>
              <w:left w:type="dxa" w:w="100"/>
              <w:bottom w:type="dxa" w:w="80"/>
              <w:right w:type="dxa" w:w="100"/>
            </w:tcMar>
          </w:tcPr>
          <w:p>
            <w:r>
              <w:rPr>
                <w:b w:val="false"/>
                <w:bCs w:val="false"/>
                <w:sz w:val="20"/>
                <w:szCs w:val="20"/>
              </w:rPr>
              <w:t xml:space="preserve">Tablet+</w:t>
            </w:r>
          </w:p>
        </w:tc>
        <w:tc>
          <w:tcPr>
            <w:tcW w:type="dxa" w:w="7550"/>
            <w:tcMar>
              <w:top w:type="dxa" w:w="80"/>
              <w:left w:type="dxa" w:w="100"/>
              <w:bottom w:type="dxa" w:w="80"/>
              <w:right w:type="dxa" w:w="100"/>
            </w:tcMar>
          </w:tcPr>
          <w:p>
            <w:r>
              <w:rPr>
                <w:b w:val="false"/>
                <w:bCs w:val="false"/>
                <w:sz w:val="20"/>
                <w:szCs w:val="20"/>
              </w:rPr>
              <w:t xml:space="preserve">Fixed max-width card (~420px) centered; OAuth buttons remain side-by-side</w:t>
            </w:r>
          </w:p>
        </w:tc>
      </w:tr>
    </w:tbl>
    <w:p>
      <w:pPr>
        <w:pStyle w:val="Heading2"/>
        <w:spacing w:after="150" w:before="300"/>
      </w:pPr>
      <w:r>
        <w:t xml:space="preserve">3.13 Empty States</w:t>
      </w:r>
    </w:p>
    <w:p>
      <w:pPr>
        <w:spacing w:after="160"/>
        <w:jc w:val="both"/>
      </w:pPr>
      <w:r>
        <w:t xml:space="preserve">Not applicable — this is a form-only page with no list/data view.</w:t>
      </w:r>
    </w:p>
    <w:p>
      <w:pPr>
        <w:pStyle w:val="Heading2"/>
        <w:spacing w:after="150" w:before="300"/>
      </w:pPr>
      <w:r>
        <w:t xml:space="preserve">3.14 Loading States</w:t>
      </w:r>
    </w:p>
    <w:p>
      <w:pPr>
        <w:spacing w:after="160"/>
        <w:jc w:val="both"/>
      </w:pPr>
      <w:r>
        <w:t xml:space="preserve">Submit button enters a disabled, spinner-in-button state while the authentication request is in flight; all fields are disabled during this state to prevent duplicate submission.</w:t>
      </w:r>
    </w:p>
    <w:p>
      <w:pPr>
        <w:pStyle w:val="Heading2"/>
        <w:spacing w:after="150" w:before="300"/>
      </w:pPr>
      <w:r>
        <w:t xml:space="preserve">3.15 Validation</w:t>
      </w:r>
    </w:p>
    <w:p>
      <w:pPr>
        <w:pStyle w:val="ListParagraph"/>
        <w:numPr>
          <w:ilvl w:val="0"/>
          <w:numId w:val="1"/>
        </w:numPr>
        <w:spacing w:after="80"/>
      </w:pPr>
      <w:r>
        <w:t xml:space="preserve">Email field validates standard email format on blur, before submission</w:t>
      </w:r>
    </w:p>
    <w:p>
      <w:pPr>
        <w:pStyle w:val="ListParagraph"/>
        <w:numPr>
          <w:ilvl w:val="0"/>
          <w:numId w:val="1"/>
        </w:numPr>
        <w:spacing w:after="80"/>
      </w:pPr>
      <w:r>
        <w:t xml:space="preserve">Password field requires non-empty input; no client-side complexity check is enforced on login (only on Signup/Reset)</w:t>
      </w:r>
    </w:p>
    <w:p>
      <w:pPr>
        <w:pStyle w:val="ListParagraph"/>
        <w:numPr>
          <w:ilvl w:val="0"/>
          <w:numId w:val="1"/>
        </w:numPr>
        <w:spacing w:after="80"/>
      </w:pPr>
      <w:r>
        <w:t xml:space="preserve">On invalid credentials, a single generic error ('Incorrect email or password') is shown — never disclose whether the email exists, to prevent account enumeration (Volume 10)</w:t>
      </w:r>
    </w:p>
    <w:p>
      <w:pPr>
        <w:pStyle w:val="Heading2"/>
        <w:spacing w:after="150" w:before="300"/>
      </w:pPr>
      <w:r>
        <w:t xml:space="preserve">3.16 Acceptance Criteria</w:t>
      </w:r>
    </w:p>
    <w:p>
      <w:pPr>
        <w:pStyle w:val="ListParagraph"/>
        <w:numPr>
          <w:ilvl w:val="0"/>
          <w:numId w:val="1"/>
        </w:numPr>
        <w:spacing w:after="80"/>
      </w:pPr>
      <w:r>
        <w:t xml:space="preserve">Given valid credentials, when submitted, then the user is redirected to the Dashboard (Section 5)</w:t>
      </w:r>
    </w:p>
    <w:p>
      <w:pPr>
        <w:pStyle w:val="ListParagraph"/>
        <w:numPr>
          <w:ilvl w:val="0"/>
          <w:numId w:val="1"/>
        </w:numPr>
        <w:spacing w:after="80"/>
      </w:pPr>
      <w:r>
        <w:t xml:space="preserve">Given invalid credentials, when submitted, then a generic error is shown without revealing which field was incorrect</w:t>
      </w:r>
    </w:p>
    <w:p>
      <w:pPr>
        <w:pStyle w:val="ListParagraph"/>
        <w:numPr>
          <w:ilvl w:val="0"/>
          <w:numId w:val="1"/>
        </w:numPr>
        <w:spacing w:after="80"/>
      </w:pPr>
      <w:r>
        <w:t xml:space="preserve">Given the user clicks an OAuth button, when the provider flow completes, then the user is authenticated and redirected to Dashboard, or to Signup completion if no matching account exists</w:t>
      </w:r>
    </w:p>
    <w:p>
      <w:pPr>
        <w:pStyle w:val="Heading2"/>
        <w:spacing w:after="150" w:before="300"/>
      </w:pPr>
      <w:r>
        <w:t xml:space="preserve">3.17 Developer Notes</w:t>
      </w:r>
    </w:p>
    <w:p>
      <w:pPr>
        <w:pStyle w:val="ListParagraph"/>
        <w:numPr>
          <w:ilvl w:val="0"/>
          <w:numId w:val="1"/>
        </w:numPr>
        <w:spacing w:after="80"/>
      </w:pPr>
      <w:r>
        <w:t xml:space="preserve">Login must implement rate limiting and lockout/backoff on repeated failed attempts per Volume 10 Security Architecture</w:t>
      </w:r>
    </w:p>
    <w:p>
      <w:pPr>
        <w:pStyle w:val="ListParagraph"/>
        <w:numPr>
          <w:ilvl w:val="0"/>
          <w:numId w:val="1"/>
        </w:numPr>
        <w:spacing w:after="80"/>
      </w:pPr>
      <w:r>
        <w:t xml:space="preserve">OAuth callback handling must gracefully handle a provider account with no corresponding SwipeX account by routing into the Signup completion flow rather than erroring</w:t>
      </w:r>
    </w:p>
    <w:p>
      <w:pPr>
        <w:pStyle w:val="Heading1"/>
        <w:spacing w:after="200" w:before="400"/>
      </w:pPr>
      <w:r>
        <w:t xml:space="preserve">4. Page Specification: Signup</w:t>
      </w:r>
    </w:p>
    <w:p>
      <w:pPr>
        <w:pStyle w:val="Heading2"/>
        <w:spacing w:after="150" w:before="300"/>
      </w:pPr>
      <w:r>
        <w:t xml:space="preserve">4.1 Purpose</w:t>
      </w:r>
    </w:p>
    <w:p>
      <w:pPr>
        <w:spacing w:after="160"/>
        <w:jc w:val="both"/>
      </w:pPr>
      <w:r>
        <w:t xml:space="preserve">Register a new candidate or recruiter account and route the user into the correct onboarding flow.</w:t>
      </w:r>
    </w:p>
    <w:p>
      <w:pPr>
        <w:pStyle w:val="Heading2"/>
        <w:spacing w:after="150" w:before="300"/>
      </w:pPr>
      <w:r>
        <w:t xml:space="preserve">4.2 Goals</w:t>
      </w:r>
    </w:p>
    <w:p>
      <w:pPr>
        <w:pStyle w:val="ListParagraph"/>
        <w:numPr>
          <w:ilvl w:val="0"/>
          <w:numId w:val="1"/>
        </w:numPr>
        <w:spacing w:after="80"/>
      </w:pPr>
      <w:r>
        <w:t xml:space="preserve">Capture the minimum viable information to create an account, deferring detailed profile capture to onboarding</w:t>
      </w:r>
    </w:p>
    <w:p>
      <w:pPr>
        <w:pStyle w:val="ListParagraph"/>
        <w:numPr>
          <w:ilvl w:val="0"/>
          <w:numId w:val="1"/>
        </w:numPr>
        <w:spacing w:after="80"/>
      </w:pPr>
      <w:r>
        <w:t xml:space="preserve">Clearly distinguish candidate signup from recruiter signup per the Landing Page dual-CTA entry point</w:t>
      </w:r>
    </w:p>
    <w:p>
      <w:pPr>
        <w:pStyle w:val="ListParagraph"/>
        <w:numPr>
          <w:ilvl w:val="0"/>
          <w:numId w:val="1"/>
        </w:numPr>
        <w:spacing w:after="80"/>
      </w:pPr>
      <w:r>
        <w:t xml:space="preserve">Support OAuth signup with the same minimal-friction principle as email signup</w:t>
      </w:r>
    </w:p>
    <w:p>
      <w:pPr>
        <w:pStyle w:val="Heading2"/>
        <w:spacing w:after="150" w:before="300"/>
      </w:pPr>
      <w:r>
        <w:t xml:space="preserve">4.3 Layout</w:t>
      </w:r>
    </w:p>
    <w:p>
      <w:pPr>
        <w:spacing w:after="160"/>
        <w:jc w:val="both"/>
      </w:pPr>
      <w:r>
        <w:t xml:space="preserve">Same centered card pattern as Login for visual consistency. An account-type toggle (Candidate / Recruiter) appears at the top of the card if the user arrived without a pre-selected type.</w:t>
      </w:r>
    </w:p>
    <w:p>
      <w:pPr>
        <w:pStyle w:val="Heading2"/>
        <w:spacing w:after="150" w:before="300"/>
      </w:pPr>
      <w:r>
        <w:t xml:space="preserve">4.4 Wireframe Description</w:t>
      </w:r>
    </w:p>
    <w:p>
      <w:pPr>
        <w:spacing w:after="160"/>
        <w:jc w:val="both"/>
      </w:pPr>
      <w:r>
        <w:t xml:space="preserve">Top: account-type toggle (segmented control: 'Job Seeker' | 'Recruiter'), pre-selected based on Landing Page CTA origin. Below: name field, email field, password field with strength indicator, terms-of-service checkbox, primary 'Create Account' button, OAuth alternatives, footer link to Login.</w:t>
      </w:r>
    </w:p>
    <w:p>
      <w:pPr>
        <w:pStyle w:val="Heading2"/>
        <w:spacing w:after="150" w:before="300"/>
      </w:pPr>
      <w:r>
        <w:t xml:space="preserve">4.5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80"/>
              <w:left w:type="dxa" w:w="100"/>
              <w:bottom w:type="dxa" w:w="80"/>
              <w:right w:type="dxa" w:w="100"/>
            </w:tcMar>
          </w:tcPr>
          <w:p>
            <w:r>
              <w:rPr>
                <w:b/>
                <w:bCs/>
                <w:color w:val="FFFFFF"/>
                <w:sz w:val="20"/>
                <w:szCs w:val="20"/>
              </w:rPr>
              <w:t xml:space="preserve">Component</w:t>
            </w:r>
          </w:p>
        </w:tc>
        <w:tc>
          <w:tcPr>
            <w:tcW w:type="dxa" w:w="6750"/>
            <w:shd w:fill="1B2A4A"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Segmented Toggle</w:t>
            </w:r>
          </w:p>
        </w:tc>
        <w:tc>
          <w:tcPr>
            <w:tcW w:type="dxa" w:w="6750"/>
            <w:tcMar>
              <w:top w:type="dxa" w:w="80"/>
              <w:left w:type="dxa" w:w="100"/>
              <w:bottom w:type="dxa" w:w="80"/>
              <w:right w:type="dxa" w:w="100"/>
            </w:tcMar>
          </w:tcPr>
          <w:p>
            <w:r>
              <w:rPr>
                <w:b w:val="false"/>
                <w:bCs w:val="false"/>
                <w:sz w:val="20"/>
                <w:szCs w:val="20"/>
              </w:rPr>
              <w:t xml:space="preserve">Candidate vs Recruiter account type selector</w:t>
            </w:r>
          </w:p>
        </w:tc>
      </w:tr>
      <w:tr>
        <w:tc>
          <w:tcPr>
            <w:tcW w:type="dxa" w:w="2600"/>
            <w:tcMar>
              <w:top w:type="dxa" w:w="80"/>
              <w:left w:type="dxa" w:w="100"/>
              <w:bottom w:type="dxa" w:w="80"/>
              <w:right w:type="dxa" w:w="100"/>
            </w:tcMar>
          </w:tcPr>
          <w:p>
            <w:r>
              <w:rPr>
                <w:b w:val="false"/>
                <w:bCs w:val="false"/>
                <w:sz w:val="20"/>
                <w:szCs w:val="20"/>
              </w:rPr>
              <w:t xml:space="preserve">Password Strength Meter</w:t>
            </w:r>
          </w:p>
        </w:tc>
        <w:tc>
          <w:tcPr>
            <w:tcW w:type="dxa" w:w="6750"/>
            <w:tcMar>
              <w:top w:type="dxa" w:w="80"/>
              <w:left w:type="dxa" w:w="100"/>
              <w:bottom w:type="dxa" w:w="80"/>
              <w:right w:type="dxa" w:w="100"/>
            </w:tcMar>
          </w:tcPr>
          <w:p>
            <w:r>
              <w:rPr>
                <w:b w:val="false"/>
                <w:bCs w:val="false"/>
                <w:sz w:val="20"/>
                <w:szCs w:val="20"/>
              </w:rPr>
              <w:t xml:space="preserve">Visual indicator (weak/medium/strong) updating as the user types</w:t>
            </w:r>
          </w:p>
        </w:tc>
      </w:tr>
      <w:tr>
        <w:tc>
          <w:tcPr>
            <w:tcW w:type="dxa" w:w="2600"/>
            <w:tcMar>
              <w:top w:type="dxa" w:w="80"/>
              <w:left w:type="dxa" w:w="100"/>
              <w:bottom w:type="dxa" w:w="80"/>
              <w:right w:type="dxa" w:w="100"/>
            </w:tcMar>
          </w:tcPr>
          <w:p>
            <w:r>
              <w:rPr>
                <w:b w:val="false"/>
                <w:bCs w:val="false"/>
                <w:sz w:val="20"/>
                <w:szCs w:val="20"/>
              </w:rPr>
              <w:t xml:space="preserve">Checkbox</w:t>
            </w:r>
          </w:p>
        </w:tc>
        <w:tc>
          <w:tcPr>
            <w:tcW w:type="dxa" w:w="6750"/>
            <w:tcMar>
              <w:top w:type="dxa" w:w="80"/>
              <w:left w:type="dxa" w:w="100"/>
              <w:bottom w:type="dxa" w:w="80"/>
              <w:right w:type="dxa" w:w="100"/>
            </w:tcMar>
          </w:tcPr>
          <w:p>
            <w:r>
              <w:rPr>
                <w:b w:val="false"/>
                <w:bCs w:val="false"/>
                <w:sz w:val="20"/>
                <w:szCs w:val="20"/>
              </w:rPr>
              <w:t xml:space="preserve">Terms of Service and Privacy Policy acknowledgment, required to submit</w:t>
            </w:r>
          </w:p>
        </w:tc>
      </w:tr>
      <w:tr>
        <w:tc>
          <w:tcPr>
            <w:tcW w:type="dxa" w:w="2600"/>
            <w:tcMar>
              <w:top w:type="dxa" w:w="80"/>
              <w:left w:type="dxa" w:w="100"/>
              <w:bottom w:type="dxa" w:w="80"/>
              <w:right w:type="dxa" w:w="100"/>
            </w:tcMar>
          </w:tcPr>
          <w:p>
            <w:r>
              <w:rPr>
                <w:b w:val="false"/>
                <w:bCs w:val="false"/>
                <w:sz w:val="20"/>
                <w:szCs w:val="20"/>
              </w:rPr>
              <w:t xml:space="preserve">Primary Button</w:t>
            </w:r>
          </w:p>
        </w:tc>
        <w:tc>
          <w:tcPr>
            <w:tcW w:type="dxa" w:w="6750"/>
            <w:tcMar>
              <w:top w:type="dxa" w:w="80"/>
              <w:left w:type="dxa" w:w="100"/>
              <w:bottom w:type="dxa" w:w="80"/>
              <w:right w:type="dxa" w:w="100"/>
            </w:tcMar>
          </w:tcPr>
          <w:p>
            <w:r>
              <w:rPr>
                <w:b w:val="false"/>
                <w:bCs w:val="false"/>
                <w:sz w:val="20"/>
                <w:szCs w:val="20"/>
              </w:rPr>
              <w:t xml:space="preserve">'Create Account' submit button, disabled until required fields and checkbox are valid</w:t>
            </w:r>
          </w:p>
        </w:tc>
      </w:tr>
    </w:tbl>
    <w:p>
      <w:pPr>
        <w:pStyle w:val="Heading2"/>
        <w:spacing w:after="150" w:before="300"/>
      </w:pPr>
      <w:r>
        <w:t xml:space="preserve">4.6 Typography</w:t>
      </w:r>
    </w:p>
    <w:p>
      <w:pPr>
        <w:spacing w:after="160"/>
        <w:jc w:val="both"/>
      </w:pPr>
      <w:r>
        <w:t xml:space="preserve">Consistent with Login (Section 3.6): Type-H1 title, Type-Label field labels, Type-Caption for password strength and helper text.</w:t>
      </w:r>
    </w:p>
    <w:p>
      <w:pPr>
        <w:pStyle w:val="Heading2"/>
        <w:spacing w:after="150" w:before="300"/>
      </w:pPr>
      <w:r>
        <w:t xml:space="preserve">4.7 Spacing</w:t>
      </w:r>
    </w:p>
    <w:p>
      <w:pPr>
        <w:spacing w:after="160"/>
        <w:jc w:val="both"/>
      </w:pPr>
      <w:r>
        <w:t xml:space="preserve">Consistent with Login card spacing (Space-6 padding, Space-4 field gaps).</w:t>
      </w:r>
    </w:p>
    <w:p>
      <w:pPr>
        <w:pStyle w:val="Heading2"/>
        <w:spacing w:after="150" w:before="300"/>
      </w:pPr>
      <w:r>
        <w:t xml:space="preserve">4.8 Colors</w:t>
      </w:r>
    </w:p>
    <w:p>
      <w:pPr>
        <w:spacing w:after="160"/>
        <w:jc w:val="both"/>
      </w:pPr>
      <w:r>
        <w:t xml:space="preserve">Password strength meter uses Error-Red (weak), Warning-Amber (medium), Success-Green (strong) segments.</w:t>
      </w:r>
    </w:p>
    <w:p>
      <w:pPr>
        <w:pStyle w:val="Heading2"/>
        <w:spacing w:after="150" w:before="300"/>
      </w:pPr>
      <w:r>
        <w:t xml:space="preserve">4.9 Animations</w:t>
      </w:r>
    </w:p>
    <w:p>
      <w:pPr>
        <w:pStyle w:val="ListParagraph"/>
        <w:numPr>
          <w:ilvl w:val="0"/>
          <w:numId w:val="1"/>
        </w:numPr>
        <w:spacing w:after="80"/>
      </w:pPr>
      <w:r>
        <w:t xml:space="preserve">Password strength meter animates fill width as strength increases (150ms ease-out)</w:t>
      </w:r>
    </w:p>
    <w:p>
      <w:pPr>
        <w:pStyle w:val="ListParagraph"/>
        <w:numPr>
          <w:ilvl w:val="0"/>
          <w:numId w:val="1"/>
        </w:numPr>
        <w:spacing w:after="80"/>
      </w:pPr>
      <w:r>
        <w:t xml:space="preserve">Account-type toggle has a sliding indicator animation (150ms) between the two options</w:t>
      </w:r>
    </w:p>
    <w:p>
      <w:pPr>
        <w:pStyle w:val="Heading2"/>
        <w:spacing w:after="150" w:before="300"/>
      </w:pPr>
      <w:r>
        <w:t xml:space="preserve">4.10 Icons</w:t>
      </w:r>
    </w:p>
    <w:p>
      <w:pPr>
        <w:spacing w:after="160"/>
        <w:jc w:val="both"/>
      </w:pPr>
      <w:r>
        <w:t xml:space="preserve">Checkmark icon inside the checkbox; provider brand icons for OAuth, consistent with Login.</w:t>
      </w:r>
    </w:p>
    <w:p>
      <w:pPr>
        <w:pStyle w:val="Heading2"/>
        <w:spacing w:after="150" w:before="300"/>
      </w:pPr>
      <w:r>
        <w:t xml:space="preserve">4.11 Accessibility</w:t>
      </w:r>
    </w:p>
    <w:p>
      <w:pPr>
        <w:pStyle w:val="ListParagraph"/>
        <w:numPr>
          <w:ilvl w:val="0"/>
          <w:numId w:val="1"/>
        </w:numPr>
        <w:spacing w:after="80"/>
      </w:pPr>
      <w:r>
        <w:t xml:space="preserve">Segmented toggle is operable via arrow keys once focused, per standard radio-group interaction pattern</w:t>
      </w:r>
    </w:p>
    <w:p>
      <w:pPr>
        <w:pStyle w:val="ListParagraph"/>
        <w:numPr>
          <w:ilvl w:val="0"/>
          <w:numId w:val="1"/>
        </w:numPr>
        <w:spacing w:after="80"/>
      </w:pPr>
      <w:r>
        <w:t xml:space="preserve">Password strength is conveyed with text label ('Weak'/'Medium'/'Strong'), not color alone</w:t>
      </w:r>
    </w:p>
    <w:p>
      <w:pPr>
        <w:pStyle w:val="ListParagraph"/>
        <w:numPr>
          <w:ilvl w:val="0"/>
          <w:numId w:val="1"/>
        </w:numPr>
        <w:spacing w:after="80"/>
      </w:pPr>
      <w:r>
        <w:t xml:space="preserve">Terms checkbox links (Terms of Service, Privacy Policy) open in a manner that does not lose in-progress form data</w:t>
      </w:r>
    </w:p>
    <w:p>
      <w:pPr>
        <w:pStyle w:val="Heading2"/>
        <w:spacing w:after="150" w:before="300"/>
      </w:pPr>
      <w:r>
        <w:t xml:space="preserve">4.12 Responsive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B2A4A" w:val="clear"/>
            <w:tcMar>
              <w:top w:type="dxa" w:w="80"/>
              <w:left w:type="dxa" w:w="100"/>
              <w:bottom w:type="dxa" w:w="80"/>
              <w:right w:type="dxa" w:w="100"/>
            </w:tcMar>
          </w:tcPr>
          <w:p>
            <w:r>
              <w:rPr>
                <w:b/>
                <w:bCs/>
                <w:color w:val="FFFFFF"/>
                <w:sz w:val="20"/>
                <w:szCs w:val="20"/>
              </w:rPr>
              <w:t xml:space="preserve">Breakpoint</w:t>
            </w:r>
          </w:p>
        </w:tc>
        <w:tc>
          <w:tcPr>
            <w:tcW w:type="dxa" w:w="7550"/>
            <w:shd w:fill="1B2A4A" w:val="clear"/>
            <w:tcMar>
              <w:top w:type="dxa" w:w="80"/>
              <w:left w:type="dxa" w:w="100"/>
              <w:bottom w:type="dxa" w:w="80"/>
              <w:right w:type="dxa" w:w="100"/>
            </w:tcMar>
          </w:tcPr>
          <w:p>
            <w:r>
              <w:rPr>
                <w:b/>
                <w:bCs/>
                <w:color w:val="FFFFFF"/>
                <w:sz w:val="20"/>
                <w:szCs w:val="20"/>
              </w:rPr>
              <w:t xml:space="preserve">Behavior</w:t>
            </w:r>
          </w:p>
        </w:tc>
      </w:tr>
      <w:tr>
        <w:tc>
          <w:tcPr>
            <w:tcW w:type="dxa" w:w="1800"/>
            <w:tcMar>
              <w:top w:type="dxa" w:w="80"/>
              <w:left w:type="dxa" w:w="100"/>
              <w:bottom w:type="dxa" w:w="80"/>
              <w:right w:type="dxa" w:w="100"/>
            </w:tcMar>
          </w:tcPr>
          <w:p>
            <w:r>
              <w:rPr>
                <w:b w:val="false"/>
                <w:bCs w:val="false"/>
                <w:sz w:val="20"/>
                <w:szCs w:val="20"/>
              </w:rPr>
              <w:t xml:space="preserve">Mobile</w:t>
            </w:r>
          </w:p>
        </w:tc>
        <w:tc>
          <w:tcPr>
            <w:tcW w:type="dxa" w:w="7550"/>
            <w:tcMar>
              <w:top w:type="dxa" w:w="80"/>
              <w:left w:type="dxa" w:w="100"/>
              <w:bottom w:type="dxa" w:w="80"/>
              <w:right w:type="dxa" w:w="100"/>
            </w:tcMar>
          </w:tcPr>
          <w:p>
            <w:r>
              <w:rPr>
                <w:b w:val="false"/>
                <w:bCs w:val="false"/>
                <w:sz w:val="20"/>
                <w:szCs w:val="20"/>
              </w:rPr>
              <w:t xml:space="preserve">Segmented toggle spans full card width; fields stack single-column</w:t>
            </w:r>
          </w:p>
        </w:tc>
      </w:tr>
      <w:tr>
        <w:tc>
          <w:tcPr>
            <w:tcW w:type="dxa" w:w="1800"/>
            <w:tcMar>
              <w:top w:type="dxa" w:w="80"/>
              <w:left w:type="dxa" w:w="100"/>
              <w:bottom w:type="dxa" w:w="80"/>
              <w:right w:type="dxa" w:w="100"/>
            </w:tcMar>
          </w:tcPr>
          <w:p>
            <w:r>
              <w:rPr>
                <w:b w:val="false"/>
                <w:bCs w:val="false"/>
                <w:sz w:val="20"/>
                <w:szCs w:val="20"/>
              </w:rPr>
              <w:t xml:space="preserve">Tablet+</w:t>
            </w:r>
          </w:p>
        </w:tc>
        <w:tc>
          <w:tcPr>
            <w:tcW w:type="dxa" w:w="7550"/>
            <w:tcMar>
              <w:top w:type="dxa" w:w="80"/>
              <w:left w:type="dxa" w:w="100"/>
              <w:bottom w:type="dxa" w:w="80"/>
              <w:right w:type="dxa" w:w="100"/>
            </w:tcMar>
          </w:tcPr>
          <w:p>
            <w:r>
              <w:rPr>
                <w:b w:val="false"/>
                <w:bCs w:val="false"/>
                <w:sz w:val="20"/>
                <w:szCs w:val="20"/>
              </w:rPr>
              <w:t xml:space="preserve">Same centered card pattern as Login</w:t>
            </w:r>
          </w:p>
        </w:tc>
      </w:tr>
    </w:tbl>
    <w:p>
      <w:pPr>
        <w:pStyle w:val="Heading2"/>
        <w:spacing w:after="150" w:before="300"/>
      </w:pPr>
      <w:r>
        <w:t xml:space="preserve">4.13 Empty States</w:t>
      </w:r>
    </w:p>
    <w:p>
      <w:pPr>
        <w:spacing w:after="160"/>
        <w:jc w:val="both"/>
      </w:pPr>
      <w:r>
        <w:t xml:space="preserve">Not applicable.</w:t>
      </w:r>
    </w:p>
    <w:p>
      <w:pPr>
        <w:pStyle w:val="Heading2"/>
        <w:spacing w:after="150" w:before="300"/>
      </w:pPr>
      <w:r>
        <w:t xml:space="preserve">4.14 Loading States</w:t>
      </w:r>
    </w:p>
    <w:p>
      <w:pPr>
        <w:spacing w:after="160"/>
        <w:jc w:val="both"/>
      </w:pPr>
      <w:r>
        <w:t xml:space="preserve">Submit button shows in-button spinner and disables the form during account-creation request, identical pattern to Login.</w:t>
      </w:r>
    </w:p>
    <w:p>
      <w:pPr>
        <w:pStyle w:val="Heading2"/>
        <w:spacing w:after="150" w:before="300"/>
      </w:pPr>
      <w:r>
        <w:t xml:space="preserve">4.15 Validation</w:t>
      </w:r>
    </w:p>
    <w:p>
      <w:pPr>
        <w:pStyle w:val="ListParagraph"/>
        <w:numPr>
          <w:ilvl w:val="0"/>
          <w:numId w:val="1"/>
        </w:numPr>
        <w:spacing w:after="80"/>
      </w:pPr>
      <w:r>
        <w:t xml:space="preserve">Name field: required, minimum 2 characters</w:t>
      </w:r>
    </w:p>
    <w:p>
      <w:pPr>
        <w:pStyle w:val="ListParagraph"/>
        <w:numPr>
          <w:ilvl w:val="0"/>
          <w:numId w:val="1"/>
        </w:numPr>
        <w:spacing w:after="80"/>
      </w:pPr>
      <w:r>
        <w:t xml:space="preserve">Email field: required, valid format, checked for existing-account collision server-side before final submission</w:t>
      </w:r>
    </w:p>
    <w:p>
      <w:pPr>
        <w:pStyle w:val="ListParagraph"/>
        <w:numPr>
          <w:ilvl w:val="0"/>
          <w:numId w:val="1"/>
        </w:numPr>
        <w:spacing w:after="80"/>
      </w:pPr>
      <w:r>
        <w:t xml:space="preserve">Password field: minimum 8 characters, must include at least one number and one letter; strength meter reflects this in real time</w:t>
      </w:r>
    </w:p>
    <w:p>
      <w:pPr>
        <w:pStyle w:val="ListParagraph"/>
        <w:numPr>
          <w:ilvl w:val="0"/>
          <w:numId w:val="1"/>
        </w:numPr>
        <w:spacing w:after="80"/>
      </w:pPr>
      <w:r>
        <w:t xml:space="preserve">Terms checkbox: must be checked before the submit button becomes enabled</w:t>
      </w:r>
    </w:p>
    <w:p>
      <w:pPr>
        <w:pStyle w:val="ListParagraph"/>
        <w:numPr>
          <w:ilvl w:val="0"/>
          <w:numId w:val="1"/>
        </w:numPr>
        <w:spacing w:after="80"/>
      </w:pPr>
      <w:r>
        <w:t xml:space="preserve">On email collision, show an inline error: 'An account with this email already exists' with a link to Login</w:t>
      </w:r>
    </w:p>
    <w:p>
      <w:pPr>
        <w:pStyle w:val="Heading2"/>
        <w:spacing w:after="150" w:before="300"/>
      </w:pPr>
      <w:r>
        <w:t xml:space="preserve">4.16 Acceptance Criteria</w:t>
      </w:r>
    </w:p>
    <w:p>
      <w:pPr>
        <w:pStyle w:val="ListParagraph"/>
        <w:numPr>
          <w:ilvl w:val="0"/>
          <w:numId w:val="1"/>
        </w:numPr>
        <w:spacing w:after="80"/>
      </w:pPr>
      <w:r>
        <w:t xml:space="preserve">Given a valid, unique email and a password meeting minimum strength, when submitted, then an account is created and the user is routed to onboarding (Volume 1 §13.1 Stage 3) matching their selected account type</w:t>
      </w:r>
    </w:p>
    <w:p>
      <w:pPr>
        <w:pStyle w:val="ListParagraph"/>
        <w:numPr>
          <w:ilvl w:val="0"/>
          <w:numId w:val="1"/>
        </w:numPr>
        <w:spacing w:after="80"/>
      </w:pPr>
      <w:r>
        <w:t xml:space="preserve">Given an email already in use, when submitted, then an inline, specific error is shown (email collision is the one case where specific disclosure is acceptable, unlike Login)</w:t>
      </w:r>
    </w:p>
    <w:p>
      <w:pPr>
        <w:pStyle w:val="ListParagraph"/>
        <w:numPr>
          <w:ilvl w:val="0"/>
          <w:numId w:val="1"/>
        </w:numPr>
        <w:spacing w:after="80"/>
      </w:pPr>
      <w:r>
        <w:t xml:space="preserve">Given the Recruiter account type is selected, when the account is created, then the user is routed to recruiter verification (Volume 1 §13.2 Stage 1), not the candidate resume-onboarding flow</w:t>
      </w:r>
    </w:p>
    <w:p>
      <w:pPr>
        <w:pStyle w:val="Heading2"/>
        <w:spacing w:after="150" w:before="300"/>
      </w:pPr>
      <w:r>
        <w:t xml:space="preserve">4.17 Developer Notes</w:t>
      </w:r>
    </w:p>
    <w:p>
      <w:pPr>
        <w:pStyle w:val="ListParagraph"/>
        <w:numPr>
          <w:ilvl w:val="0"/>
          <w:numId w:val="1"/>
        </w:numPr>
        <w:spacing w:after="80"/>
      </w:pPr>
      <w:r>
        <w:t xml:space="preserve">Account-type selection must be persisted at creation time and is immutable by the user afterward; changing account type requires a support request (Section 16, Support)</w:t>
      </w:r>
    </w:p>
    <w:p>
      <w:pPr>
        <w:pStyle w:val="ListParagraph"/>
        <w:numPr>
          <w:ilvl w:val="0"/>
          <w:numId w:val="1"/>
        </w:numPr>
        <w:spacing w:after="80"/>
      </w:pPr>
      <w:r>
        <w:t xml:space="preserve">Recruiter signups trigger the verification workflow defined in Volume 14 (Admin Guide) before job-posting capability is unlocked</w:t>
      </w:r>
    </w:p>
    <w:p>
      <w:pPr>
        <w:pStyle w:val="Heading1"/>
        <w:spacing w:after="200" w:before="400"/>
      </w:pPr>
      <w:r>
        <w:t xml:space="preserve">5. Page Specification: Dashboard</w:t>
      </w:r>
    </w:p>
    <w:p>
      <w:pPr>
        <w:pStyle w:val="Heading2"/>
        <w:spacing w:after="150" w:before="300"/>
      </w:pPr>
      <w:r>
        <w:t xml:space="preserve">5.1 Purpose</w:t>
      </w:r>
    </w:p>
    <w:p>
      <w:pPr>
        <w:spacing w:after="160"/>
        <w:jc w:val="both"/>
      </w:pPr>
      <w:r>
        <w:t xml:space="preserve">Serve as the primary post-login home, orienting the user toward their most relevant next action based on account type and current profile/application state.</w:t>
      </w:r>
    </w:p>
    <w:p>
      <w:pPr>
        <w:pStyle w:val="Heading2"/>
        <w:spacing w:after="150" w:before="300"/>
      </w:pPr>
      <w:r>
        <w:t xml:space="preserve">5.2 Goals</w:t>
      </w:r>
    </w:p>
    <w:p>
      <w:pPr>
        <w:pStyle w:val="ListParagraph"/>
        <w:numPr>
          <w:ilvl w:val="0"/>
          <w:numId w:val="1"/>
        </w:numPr>
        <w:spacing w:after="80"/>
      </w:pPr>
      <w:r>
        <w:t xml:space="preserve">Surface the single most valuable next action (e.g., 'complete your resume', 'you have 3 new matches') without overwhelming the user with every module at once</w:t>
      </w:r>
    </w:p>
    <w:p>
      <w:pPr>
        <w:pStyle w:val="ListParagraph"/>
        <w:numPr>
          <w:ilvl w:val="0"/>
          <w:numId w:val="1"/>
        </w:numPr>
        <w:spacing w:after="80"/>
      </w:pPr>
      <w:r>
        <w:t xml:space="preserve">Provide quick navigation to all core modules (Swipe Feed, Resume, Coach, Analytics, Notifications)</w:t>
      </w:r>
    </w:p>
    <w:p>
      <w:pPr>
        <w:pStyle w:val="ListParagraph"/>
        <w:numPr>
          <w:ilvl w:val="0"/>
          <w:numId w:val="1"/>
        </w:numPr>
        <w:spacing w:after="80"/>
      </w:pPr>
      <w:r>
        <w:t xml:space="preserve">Differentiate candidate and recruiter dashboard content while sharing the same navigational shell</w:t>
      </w:r>
    </w:p>
    <w:p>
      <w:pPr>
        <w:pStyle w:val="Heading2"/>
        <w:spacing w:after="150" w:before="300"/>
      </w:pPr>
      <w:r>
        <w:t xml:space="preserve">5.3 Layout</w:t>
      </w:r>
    </w:p>
    <w:p>
      <w:pPr>
        <w:spacing w:after="160"/>
        <w:jc w:val="both"/>
      </w:pPr>
      <w:r>
        <w:t xml:space="preserve">Persistent left sidebar navigation (collapsible to icons on smaller viewports) plus a main content area organized as: greeting header, primary action card (contextual), module shortcut grid, recent activity feed.</w:t>
      </w:r>
    </w:p>
    <w:p>
      <w:pPr>
        <w:pStyle w:val="Heading2"/>
        <w:spacing w:after="150" w:before="300"/>
      </w:pPr>
      <w:r>
        <w:t xml:space="preserve">5.4 Wireframe Description</w:t>
      </w:r>
    </w:p>
    <w:p>
      <w:pPr>
        <w:spacing w:after="160"/>
        <w:jc w:val="both"/>
      </w:pPr>
      <w:r>
        <w:t xml:space="preserve">Sidebar: logo, nav items (Dashboard, Swipe Feed, Resume, Career Coach, Analytics, Notifications, Profile, Settings). Main area top: 'Welcome back, {name}' with a contextual sub-line (e.g., 'You have 5 new matches today'). Below: a primary contextual action card (varies by state — e.g., 'Finish your resume' progress card for incomplete profiles, or 'New matches waiting' card for complete profiles). Below that: a 2x3 module shortcut grid. Bottom: recent activity list (applications, messages, score changes).</w:t>
      </w:r>
    </w:p>
    <w:p>
      <w:pPr>
        <w:pStyle w:val="Heading2"/>
        <w:spacing w:after="150" w:before="300"/>
      </w:pPr>
      <w:r>
        <w:t xml:space="preserve">5.5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80"/>
              <w:left w:type="dxa" w:w="100"/>
              <w:bottom w:type="dxa" w:w="80"/>
              <w:right w:type="dxa" w:w="100"/>
            </w:tcMar>
          </w:tcPr>
          <w:p>
            <w:r>
              <w:rPr>
                <w:b/>
                <w:bCs/>
                <w:color w:val="FFFFFF"/>
                <w:sz w:val="20"/>
                <w:szCs w:val="20"/>
              </w:rPr>
              <w:t xml:space="preserve">Component</w:t>
            </w:r>
          </w:p>
        </w:tc>
        <w:tc>
          <w:tcPr>
            <w:tcW w:type="dxa" w:w="6750"/>
            <w:shd w:fill="1B2A4A"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Sidebar Navigation</w:t>
            </w:r>
          </w:p>
        </w:tc>
        <w:tc>
          <w:tcPr>
            <w:tcW w:type="dxa" w:w="6750"/>
            <w:tcMar>
              <w:top w:type="dxa" w:w="80"/>
              <w:left w:type="dxa" w:w="100"/>
              <w:bottom w:type="dxa" w:w="80"/>
              <w:right w:type="dxa" w:w="100"/>
            </w:tcMar>
          </w:tcPr>
          <w:p>
            <w:r>
              <w:rPr>
                <w:b w:val="false"/>
                <w:bCs w:val="false"/>
                <w:sz w:val="20"/>
                <w:szCs w:val="20"/>
              </w:rPr>
              <w:t xml:space="preserve">Persistent left nav with active-state highlighting</w:t>
            </w:r>
          </w:p>
        </w:tc>
      </w:tr>
      <w:tr>
        <w:tc>
          <w:tcPr>
            <w:tcW w:type="dxa" w:w="2600"/>
            <w:tcMar>
              <w:top w:type="dxa" w:w="80"/>
              <w:left w:type="dxa" w:w="100"/>
              <w:bottom w:type="dxa" w:w="80"/>
              <w:right w:type="dxa" w:w="100"/>
            </w:tcMar>
          </w:tcPr>
          <w:p>
            <w:r>
              <w:rPr>
                <w:b w:val="false"/>
                <w:bCs w:val="false"/>
                <w:sz w:val="20"/>
                <w:szCs w:val="20"/>
              </w:rPr>
              <w:t xml:space="preserve">Contextual Action Card</w:t>
            </w:r>
          </w:p>
        </w:tc>
        <w:tc>
          <w:tcPr>
            <w:tcW w:type="dxa" w:w="6750"/>
            <w:tcMar>
              <w:top w:type="dxa" w:w="80"/>
              <w:left w:type="dxa" w:w="100"/>
              <w:bottom w:type="dxa" w:w="80"/>
              <w:right w:type="dxa" w:w="100"/>
            </w:tcMar>
          </w:tcPr>
          <w:p>
            <w:r>
              <w:rPr>
                <w:b w:val="false"/>
                <w:bCs w:val="false"/>
                <w:sz w:val="20"/>
                <w:szCs w:val="20"/>
              </w:rPr>
              <w:t xml:space="preserve">Dynamic card whose content depends on profile completeness and recent activity</w:t>
            </w:r>
          </w:p>
        </w:tc>
      </w:tr>
      <w:tr>
        <w:tc>
          <w:tcPr>
            <w:tcW w:type="dxa" w:w="2600"/>
            <w:tcMar>
              <w:top w:type="dxa" w:w="80"/>
              <w:left w:type="dxa" w:w="100"/>
              <w:bottom w:type="dxa" w:w="80"/>
              <w:right w:type="dxa" w:w="100"/>
            </w:tcMar>
          </w:tcPr>
          <w:p>
            <w:r>
              <w:rPr>
                <w:b w:val="false"/>
                <w:bCs w:val="false"/>
                <w:sz w:val="20"/>
                <w:szCs w:val="20"/>
              </w:rPr>
              <w:t xml:space="preserve">Module Shortcut Tile</w:t>
            </w:r>
          </w:p>
        </w:tc>
        <w:tc>
          <w:tcPr>
            <w:tcW w:type="dxa" w:w="6750"/>
            <w:tcMar>
              <w:top w:type="dxa" w:w="80"/>
              <w:left w:type="dxa" w:w="100"/>
              <w:bottom w:type="dxa" w:w="80"/>
              <w:right w:type="dxa" w:w="100"/>
            </w:tcMar>
          </w:tcPr>
          <w:p>
            <w:r>
              <w:rPr>
                <w:b w:val="false"/>
                <w:bCs w:val="false"/>
                <w:sz w:val="20"/>
                <w:szCs w:val="20"/>
              </w:rPr>
              <w:t xml:space="preserve">Icon + label tile linking to each core module</w:t>
            </w:r>
          </w:p>
        </w:tc>
      </w:tr>
      <w:tr>
        <w:tc>
          <w:tcPr>
            <w:tcW w:type="dxa" w:w="2600"/>
            <w:tcMar>
              <w:top w:type="dxa" w:w="80"/>
              <w:left w:type="dxa" w:w="100"/>
              <w:bottom w:type="dxa" w:w="80"/>
              <w:right w:type="dxa" w:w="100"/>
            </w:tcMar>
          </w:tcPr>
          <w:p>
            <w:r>
              <w:rPr>
                <w:b w:val="false"/>
                <w:bCs w:val="false"/>
                <w:sz w:val="20"/>
                <w:szCs w:val="20"/>
              </w:rPr>
              <w:t xml:space="preserve">Activity Feed Item</w:t>
            </w:r>
          </w:p>
        </w:tc>
        <w:tc>
          <w:tcPr>
            <w:tcW w:type="dxa" w:w="6750"/>
            <w:tcMar>
              <w:top w:type="dxa" w:w="80"/>
              <w:left w:type="dxa" w:w="100"/>
              <w:bottom w:type="dxa" w:w="80"/>
              <w:right w:type="dxa" w:w="100"/>
            </w:tcMar>
          </w:tcPr>
          <w:p>
            <w:r>
              <w:rPr>
                <w:b w:val="false"/>
                <w:bCs w:val="false"/>
                <w:sz w:val="20"/>
                <w:szCs w:val="20"/>
              </w:rPr>
              <w:t xml:space="preserve">Row showing an icon, description, timestamp, and optional action link</w:t>
            </w:r>
          </w:p>
        </w:tc>
      </w:tr>
    </w:tbl>
    <w:p>
      <w:pPr>
        <w:pStyle w:val="Heading2"/>
        <w:spacing w:after="150" w:before="300"/>
      </w:pPr>
      <w:r>
        <w:t xml:space="preserve">5.6 Typography</w:t>
      </w:r>
    </w:p>
    <w:p>
      <w:pPr>
        <w:spacing w:after="160"/>
        <w:jc w:val="both"/>
      </w:pPr>
      <w:r>
        <w:t xml:space="preserve">Greeting uses Type-H1. Contextual card title uses Type-H2. Module tile labels use Type-Label. Activity feed entries use Type-Body with Type-Caption timestamps.</w:t>
      </w:r>
    </w:p>
    <w:p>
      <w:pPr>
        <w:pStyle w:val="Heading2"/>
        <w:spacing w:after="150" w:before="300"/>
      </w:pPr>
      <w:r>
        <w:t xml:space="preserve">5.7 Spacing</w:t>
      </w:r>
    </w:p>
    <w:p>
      <w:pPr>
        <w:spacing w:after="160"/>
        <w:jc w:val="both"/>
      </w:pPr>
      <w:r>
        <w:t xml:space="preserve">Sidebar fixed width with Space-4 internal padding. Main content max-width constrained per breakpoint table (Section 1.4.4) with Space-6 outer margins.</w:t>
      </w:r>
    </w:p>
    <w:p>
      <w:pPr>
        <w:pStyle w:val="Heading2"/>
        <w:spacing w:after="150" w:before="300"/>
      </w:pPr>
      <w:r>
        <w:t xml:space="preserve">5.8 Colors</w:t>
      </w:r>
    </w:p>
    <w:p>
      <w:pPr>
        <w:spacing w:after="160"/>
        <w:jc w:val="both"/>
      </w:pPr>
      <w:r>
        <w:t xml:space="preserve">Contextual action card uses Gold-500 accent border if it represents a premium-tier prompt (e.g., upsell), Teal-500 accent border for standard contextual prompts.</w:t>
      </w:r>
    </w:p>
    <w:p>
      <w:pPr>
        <w:pStyle w:val="Heading2"/>
        <w:spacing w:after="150" w:before="300"/>
      </w:pPr>
      <w:r>
        <w:t xml:space="preserve">5.9 Animations</w:t>
      </w:r>
    </w:p>
    <w:p>
      <w:pPr>
        <w:pStyle w:val="ListParagraph"/>
        <w:numPr>
          <w:ilvl w:val="0"/>
          <w:numId w:val="1"/>
        </w:numPr>
        <w:spacing w:after="80"/>
      </w:pPr>
      <w:r>
        <w:t xml:space="preserve">Module shortcut tiles have a subtle lift/shadow-increase on hover (100ms)</w:t>
      </w:r>
    </w:p>
    <w:p>
      <w:pPr>
        <w:pStyle w:val="ListParagraph"/>
        <w:numPr>
          <w:ilvl w:val="0"/>
          <w:numId w:val="1"/>
        </w:numPr>
        <w:spacing w:after="80"/>
      </w:pPr>
      <w:r>
        <w:t xml:space="preserve">Activity feed new items fade in when delivered via real-time update, rather than appearing abruptly</w:t>
      </w:r>
    </w:p>
    <w:p>
      <w:pPr>
        <w:pStyle w:val="Heading2"/>
        <w:spacing w:after="150" w:before="300"/>
      </w:pPr>
      <w:r>
        <w:t xml:space="preserve">5.10 Icons</w:t>
      </w:r>
    </w:p>
    <w:p>
      <w:pPr>
        <w:spacing w:after="160"/>
        <w:jc w:val="both"/>
      </w:pPr>
      <w:r>
        <w:t xml:space="preserve">Each sidebar nav item and module tile uses a consistent 20px line icon set matching the icon language established on the Landing Page.</w:t>
      </w:r>
    </w:p>
    <w:p>
      <w:pPr>
        <w:pStyle w:val="Heading2"/>
        <w:spacing w:after="150" w:before="300"/>
      </w:pPr>
      <w:r>
        <w:t xml:space="preserve">5.11 Accessibility</w:t>
      </w:r>
    </w:p>
    <w:p>
      <w:pPr>
        <w:pStyle w:val="ListParagraph"/>
        <w:numPr>
          <w:ilvl w:val="0"/>
          <w:numId w:val="1"/>
        </w:numPr>
        <w:spacing w:after="80"/>
      </w:pPr>
      <w:r>
        <w:t xml:space="preserve">Sidebar navigation is a labeled landmark (nav role) with the current page indicated via aria-current</w:t>
      </w:r>
    </w:p>
    <w:p>
      <w:pPr>
        <w:pStyle w:val="ListParagraph"/>
        <w:numPr>
          <w:ilvl w:val="0"/>
          <w:numId w:val="1"/>
        </w:numPr>
        <w:spacing w:after="80"/>
      </w:pPr>
      <w:r>
        <w:t xml:space="preserve">Contextual action card content changes are announced via aria-live polite when they update without a full page reload</w:t>
      </w:r>
    </w:p>
    <w:p>
      <w:pPr>
        <w:pStyle w:val="Heading2"/>
        <w:spacing w:after="150" w:before="300"/>
      </w:pPr>
      <w:r>
        <w:t xml:space="preserve">5.12 Responsive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B2A4A" w:val="clear"/>
            <w:tcMar>
              <w:top w:type="dxa" w:w="80"/>
              <w:left w:type="dxa" w:w="100"/>
              <w:bottom w:type="dxa" w:w="80"/>
              <w:right w:type="dxa" w:w="100"/>
            </w:tcMar>
          </w:tcPr>
          <w:p>
            <w:r>
              <w:rPr>
                <w:b/>
                <w:bCs/>
                <w:color w:val="FFFFFF"/>
                <w:sz w:val="20"/>
                <w:szCs w:val="20"/>
              </w:rPr>
              <w:t xml:space="preserve">Breakpoint</w:t>
            </w:r>
          </w:p>
        </w:tc>
        <w:tc>
          <w:tcPr>
            <w:tcW w:type="dxa" w:w="7550"/>
            <w:shd w:fill="1B2A4A" w:val="clear"/>
            <w:tcMar>
              <w:top w:type="dxa" w:w="80"/>
              <w:left w:type="dxa" w:w="100"/>
              <w:bottom w:type="dxa" w:w="80"/>
              <w:right w:type="dxa" w:w="100"/>
            </w:tcMar>
          </w:tcPr>
          <w:p>
            <w:r>
              <w:rPr>
                <w:b/>
                <w:bCs/>
                <w:color w:val="FFFFFF"/>
                <w:sz w:val="20"/>
                <w:szCs w:val="20"/>
              </w:rPr>
              <w:t xml:space="preserve">Behavior</w:t>
            </w:r>
          </w:p>
        </w:tc>
      </w:tr>
      <w:tr>
        <w:tc>
          <w:tcPr>
            <w:tcW w:type="dxa" w:w="1800"/>
            <w:tcMar>
              <w:top w:type="dxa" w:w="80"/>
              <w:left w:type="dxa" w:w="100"/>
              <w:bottom w:type="dxa" w:w="80"/>
              <w:right w:type="dxa" w:w="100"/>
            </w:tcMar>
          </w:tcPr>
          <w:p>
            <w:r>
              <w:rPr>
                <w:b w:val="false"/>
                <w:bCs w:val="false"/>
                <w:sz w:val="20"/>
                <w:szCs w:val="20"/>
              </w:rPr>
              <w:t xml:space="preserve">Mobile</w:t>
            </w:r>
          </w:p>
        </w:tc>
        <w:tc>
          <w:tcPr>
            <w:tcW w:type="dxa" w:w="7550"/>
            <w:tcMar>
              <w:top w:type="dxa" w:w="80"/>
              <w:left w:type="dxa" w:w="100"/>
              <w:bottom w:type="dxa" w:w="80"/>
              <w:right w:type="dxa" w:w="100"/>
            </w:tcMar>
          </w:tcPr>
          <w:p>
            <w:r>
              <w:rPr>
                <w:b w:val="false"/>
                <w:bCs w:val="false"/>
                <w:sz w:val="20"/>
                <w:szCs w:val="20"/>
              </w:rPr>
              <w:t xml:space="preserve">Sidebar collapses to a bottom tab bar with icon-only navigation; module grid becomes a horizontally scrollable row</w:t>
            </w:r>
          </w:p>
        </w:tc>
      </w:tr>
      <w:tr>
        <w:tc>
          <w:tcPr>
            <w:tcW w:type="dxa" w:w="1800"/>
            <w:tcMar>
              <w:top w:type="dxa" w:w="80"/>
              <w:left w:type="dxa" w:w="100"/>
              <w:bottom w:type="dxa" w:w="80"/>
              <w:right w:type="dxa" w:w="100"/>
            </w:tcMar>
          </w:tcPr>
          <w:p>
            <w:r>
              <w:rPr>
                <w:b w:val="false"/>
                <w:bCs w:val="false"/>
                <w:sz w:val="20"/>
                <w:szCs w:val="20"/>
              </w:rPr>
              <w:t xml:space="preserve">Tablet</w:t>
            </w:r>
          </w:p>
        </w:tc>
        <w:tc>
          <w:tcPr>
            <w:tcW w:type="dxa" w:w="7550"/>
            <w:tcMar>
              <w:top w:type="dxa" w:w="80"/>
              <w:left w:type="dxa" w:w="100"/>
              <w:bottom w:type="dxa" w:w="80"/>
              <w:right w:type="dxa" w:w="100"/>
            </w:tcMar>
          </w:tcPr>
          <w:p>
            <w:r>
              <w:rPr>
                <w:b w:val="false"/>
                <w:bCs w:val="false"/>
                <w:sz w:val="20"/>
                <w:szCs w:val="20"/>
              </w:rPr>
              <w:t xml:space="preserve">Sidebar collapses to icon-only rail, expandable on tap/hover</w:t>
            </w:r>
          </w:p>
        </w:tc>
      </w:tr>
      <w:tr>
        <w:tc>
          <w:tcPr>
            <w:tcW w:type="dxa" w:w="1800"/>
            <w:tcMar>
              <w:top w:type="dxa" w:w="80"/>
              <w:left w:type="dxa" w:w="100"/>
              <w:bottom w:type="dxa" w:w="80"/>
              <w:right w:type="dxa" w:w="100"/>
            </w:tcMar>
          </w:tcPr>
          <w:p>
            <w:r>
              <w:rPr>
                <w:b w:val="false"/>
                <w:bCs w:val="false"/>
                <w:sz w:val="20"/>
                <w:szCs w:val="20"/>
              </w:rPr>
              <w:t xml:space="preserve">Desktop+</w:t>
            </w:r>
          </w:p>
        </w:tc>
        <w:tc>
          <w:tcPr>
            <w:tcW w:type="dxa" w:w="7550"/>
            <w:tcMar>
              <w:top w:type="dxa" w:w="80"/>
              <w:left w:type="dxa" w:w="100"/>
              <w:bottom w:type="dxa" w:w="80"/>
              <w:right w:type="dxa" w:w="100"/>
            </w:tcMar>
          </w:tcPr>
          <w:p>
            <w:r>
              <w:rPr>
                <w:b w:val="false"/>
                <w:bCs w:val="false"/>
                <w:sz w:val="20"/>
                <w:szCs w:val="20"/>
              </w:rPr>
              <w:t xml:space="preserve">Full sidebar with icons and labels persistently visible</w:t>
            </w:r>
          </w:p>
        </w:tc>
      </w:tr>
    </w:tbl>
    <w:p>
      <w:pPr>
        <w:pStyle w:val="Heading2"/>
        <w:spacing w:after="150" w:before="300"/>
      </w:pPr>
      <w:r>
        <w:t xml:space="preserve">5.13 Empty States</w:t>
      </w:r>
    </w:p>
    <w:p>
      <w:pPr>
        <w:spacing w:after="160"/>
        <w:jc w:val="both"/>
      </w:pPr>
      <w:r>
        <w:t xml:space="preserve">New users with no activity see a first-run version of the activity feed: a short onboarding checklist (complete profile, take first swipe session, get first ATS score) in place of the activity list.</w:t>
      </w:r>
    </w:p>
    <w:p>
      <w:pPr>
        <w:pStyle w:val="Heading2"/>
        <w:spacing w:after="150" w:before="300"/>
      </w:pPr>
      <w:r>
        <w:t xml:space="preserve">5.14 Loading States</w:t>
      </w:r>
    </w:p>
    <w:p>
      <w:pPr>
        <w:spacing w:after="160"/>
        <w:jc w:val="both"/>
      </w:pPr>
      <w:r>
        <w:t xml:space="preserve">Dashboard renders its shell (sidebar, greeting) immediately, with the contextual action card and activity feed each showing a skeleton placeholder until their respective data loads (per Volume 6 API), rather than blocking the entire page on the slowest data source.</w:t>
      </w:r>
    </w:p>
    <w:p>
      <w:pPr>
        <w:pStyle w:val="Heading2"/>
        <w:spacing w:after="150" w:before="300"/>
      </w:pPr>
      <w:r>
        <w:t xml:space="preserve">5.15 Validation</w:t>
      </w:r>
    </w:p>
    <w:p>
      <w:pPr>
        <w:pStyle w:val="ListParagraph"/>
        <w:numPr>
          <w:ilvl w:val="0"/>
          <w:numId w:val="1"/>
        </w:numPr>
        <w:spacing w:after="80"/>
      </w:pPr>
      <w:r>
        <w:t xml:space="preserve">Not applicable — Dashboard is primarily a read/navigation surface with no form submission</w:t>
      </w:r>
    </w:p>
    <w:p>
      <w:pPr>
        <w:pStyle w:val="Heading2"/>
        <w:spacing w:after="150" w:before="300"/>
      </w:pPr>
      <w:r>
        <w:t xml:space="preserve">5.16 Acceptance Criteria</w:t>
      </w:r>
    </w:p>
    <w:p>
      <w:pPr>
        <w:pStyle w:val="ListParagraph"/>
        <w:numPr>
          <w:ilvl w:val="0"/>
          <w:numId w:val="1"/>
        </w:numPr>
        <w:spacing w:after="80"/>
      </w:pPr>
      <w:r>
        <w:t xml:space="preserve">Given a user with an incomplete resume, when they land on Dashboard, then the primary contextual card prompts resume completion, not a generic match card</w:t>
      </w:r>
    </w:p>
    <w:p>
      <w:pPr>
        <w:pStyle w:val="ListParagraph"/>
        <w:numPr>
          <w:ilvl w:val="0"/>
          <w:numId w:val="1"/>
        </w:numPr>
        <w:spacing w:after="80"/>
      </w:pPr>
      <w:r>
        <w:t xml:space="preserve">Given a user with a complete profile and new matches, when they land on Dashboard, then the primary contextual card surfaces the new-match count with a direct link into Swipe Feed</w:t>
      </w:r>
    </w:p>
    <w:p>
      <w:pPr>
        <w:pStyle w:val="ListParagraph"/>
        <w:numPr>
          <w:ilvl w:val="0"/>
          <w:numId w:val="1"/>
        </w:numPr>
        <w:spacing w:after="80"/>
      </w:pPr>
      <w:r>
        <w:t xml:space="preserve">Given a recruiter account, when they land on Dashboard, then module shortcuts reflect recruiter modules (Job Postings, Candidate Pipeline, Analytics) rather than candidate modules</w:t>
      </w:r>
    </w:p>
    <w:p>
      <w:pPr>
        <w:pStyle w:val="Heading2"/>
        <w:spacing w:after="150" w:before="300"/>
      </w:pPr>
      <w:r>
        <w:t xml:space="preserve">5.17 Developer Notes</w:t>
      </w:r>
    </w:p>
    <w:p>
      <w:pPr>
        <w:pStyle w:val="ListParagraph"/>
        <w:numPr>
          <w:ilvl w:val="0"/>
          <w:numId w:val="1"/>
        </w:numPr>
        <w:spacing w:after="80"/>
      </w:pPr>
      <w:r>
        <w:t xml:space="preserve">Contextual action card logic must be driven by a single prioritized rules engine (profile completeness &gt; new matches &gt; pending applications &gt; general tips) documented in Volume 6, not by ad hoc frontend conditionals, to keep behavior consistent as new contextual states are added</w:t>
      </w:r>
    </w:p>
    <w:p>
      <w:pPr>
        <w:pStyle w:val="ListParagraph"/>
        <w:numPr>
          <w:ilvl w:val="0"/>
          <w:numId w:val="1"/>
        </w:numPr>
        <w:spacing w:after="80"/>
      </w:pPr>
      <w:r>
        <w:t xml:space="preserve">Dashboard must degrade gracefully if the recommendation/matching service (Volume 7) is slow or unavailable — show cached/last-known match count rather than blocking the shell render</w:t>
      </w:r>
    </w:p>
    <w:p>
      <w:pPr>
        <w:pStyle w:val="Heading1"/>
        <w:spacing w:after="200" w:before="400"/>
      </w:pPr>
      <w:r>
        <w:t xml:space="preserve">6. Page Specification: Swipe Feed</w:t>
      </w:r>
    </w:p>
    <w:p>
      <w:pPr>
        <w:pStyle w:val="Heading2"/>
        <w:spacing w:after="150" w:before="300"/>
      </w:pPr>
      <w:r>
        <w:t xml:space="preserve">6.1 Purpose</w:t>
      </w:r>
    </w:p>
    <w:p>
      <w:pPr>
        <w:spacing w:after="160"/>
        <w:jc w:val="both"/>
      </w:pPr>
      <w:r>
        <w:t xml:space="preserve">Deliver the core discovery experience: a fast, gesture-driven feed of AI-matched job cards that the user can act on with minimal deliberation per card.</w:t>
      </w:r>
    </w:p>
    <w:p>
      <w:pPr>
        <w:pStyle w:val="Heading2"/>
        <w:spacing w:after="150" w:before="300"/>
      </w:pPr>
      <w:r>
        <w:t xml:space="preserve">6.2 Goals</w:t>
      </w:r>
    </w:p>
    <w:p>
      <w:pPr>
        <w:pStyle w:val="ListParagraph"/>
        <w:numPr>
          <w:ilvl w:val="0"/>
          <w:numId w:val="1"/>
        </w:numPr>
        <w:spacing w:after="80"/>
      </w:pPr>
      <w:r>
        <w:t xml:space="preserve">Achieve sub-second perceived load per card to preserve discovery momentum (Volume 1 NFR, Time-to-First-Match)</w:t>
      </w:r>
    </w:p>
    <w:p>
      <w:pPr>
        <w:pStyle w:val="ListParagraph"/>
        <w:numPr>
          <w:ilvl w:val="0"/>
          <w:numId w:val="1"/>
        </w:numPr>
        <w:spacing w:after="80"/>
      </w:pPr>
      <w:r>
        <w:t xml:space="preserve">Make match rationale visible on demand without cluttering the primary card view</w:t>
      </w:r>
    </w:p>
    <w:p>
      <w:pPr>
        <w:pStyle w:val="ListParagraph"/>
        <w:numPr>
          <w:ilvl w:val="0"/>
          <w:numId w:val="1"/>
        </w:numPr>
        <w:spacing w:after="80"/>
      </w:pPr>
      <w:r>
        <w:t xml:space="preserve">Provide keyboard/button equivalents to the swipe gesture for accessibility (Section 1.5)</w:t>
      </w:r>
    </w:p>
    <w:p>
      <w:pPr>
        <w:pStyle w:val="Heading2"/>
        <w:spacing w:after="150" w:before="300"/>
      </w:pPr>
      <w:r>
        <w:t xml:space="preserve">6.3 Layout</w:t>
      </w:r>
    </w:p>
    <w:p>
      <w:pPr>
        <w:spacing w:after="160"/>
        <w:jc w:val="both"/>
      </w:pPr>
      <w:r>
        <w:t xml:space="preserve">Full-height single-card-focus layout: one job card centered in the viewport with the next card peeking behind it. Action buttons (skip, save, apply) below the card as a fallback to gesture. A slim top bar shows filter access and the match-count/session context.</w:t>
      </w:r>
    </w:p>
    <w:p>
      <w:pPr>
        <w:pStyle w:val="Heading2"/>
        <w:spacing w:after="150" w:before="300"/>
      </w:pPr>
      <w:r>
        <w:t xml:space="preserve">6.4 Wireframe Description</w:t>
      </w:r>
    </w:p>
    <w:p>
      <w:pPr>
        <w:spacing w:after="160"/>
        <w:jc w:val="both"/>
      </w:pPr>
      <w:r>
        <w:t xml:space="preserve">Top bar: back/home icon, 'X new matches today' label, filter icon (role type, location, salary range). Center: active job card — company logo, role title (Type-H2), company name and location (Type-Body), match score badge (top-right of card, e.g., '92% Match'), 3–4 key highlight chips (skills matched), and an expandable 'Why this match?' affordance. Bottom: three circular action buttons — Skip (left, red X), Save (up, neutral bookmark), Apply (right, green check) — mirroring swipe directions.</w:t>
      </w:r>
    </w:p>
    <w:p>
      <w:pPr>
        <w:pStyle w:val="Heading2"/>
        <w:spacing w:after="150" w:before="300"/>
      </w:pPr>
      <w:r>
        <w:t xml:space="preserve">6.5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80"/>
              <w:left w:type="dxa" w:w="100"/>
              <w:bottom w:type="dxa" w:w="80"/>
              <w:right w:type="dxa" w:w="100"/>
            </w:tcMar>
          </w:tcPr>
          <w:p>
            <w:r>
              <w:rPr>
                <w:b/>
                <w:bCs/>
                <w:color w:val="FFFFFF"/>
                <w:sz w:val="20"/>
                <w:szCs w:val="20"/>
              </w:rPr>
              <w:t xml:space="preserve">Component</w:t>
            </w:r>
          </w:p>
        </w:tc>
        <w:tc>
          <w:tcPr>
            <w:tcW w:type="dxa" w:w="6750"/>
            <w:shd w:fill="1B2A4A"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Job Card</w:t>
            </w:r>
          </w:p>
        </w:tc>
        <w:tc>
          <w:tcPr>
            <w:tcW w:type="dxa" w:w="6750"/>
            <w:tcMar>
              <w:top w:type="dxa" w:w="80"/>
              <w:left w:type="dxa" w:w="100"/>
              <w:bottom w:type="dxa" w:w="80"/>
              <w:right w:type="dxa" w:w="100"/>
            </w:tcMar>
          </w:tcPr>
          <w:p>
            <w:r>
              <w:rPr>
                <w:b w:val="false"/>
                <w:bCs w:val="false"/>
                <w:sz w:val="20"/>
                <w:szCs w:val="20"/>
              </w:rPr>
              <w:t xml:space="preserve">Primary swipeable card containing role summary and match score</w:t>
            </w:r>
          </w:p>
        </w:tc>
      </w:tr>
      <w:tr>
        <w:tc>
          <w:tcPr>
            <w:tcW w:type="dxa" w:w="2600"/>
            <w:tcMar>
              <w:top w:type="dxa" w:w="80"/>
              <w:left w:type="dxa" w:w="100"/>
              <w:bottom w:type="dxa" w:w="80"/>
              <w:right w:type="dxa" w:w="100"/>
            </w:tcMar>
          </w:tcPr>
          <w:p>
            <w:r>
              <w:rPr>
                <w:b w:val="false"/>
                <w:bCs w:val="false"/>
                <w:sz w:val="20"/>
                <w:szCs w:val="20"/>
              </w:rPr>
              <w:t xml:space="preserve">Match Score Badge</w:t>
            </w:r>
          </w:p>
        </w:tc>
        <w:tc>
          <w:tcPr>
            <w:tcW w:type="dxa" w:w="6750"/>
            <w:tcMar>
              <w:top w:type="dxa" w:w="80"/>
              <w:left w:type="dxa" w:w="100"/>
              <w:bottom w:type="dxa" w:w="80"/>
              <w:right w:type="dxa" w:w="100"/>
            </w:tcMar>
          </w:tcPr>
          <w:p>
            <w:r>
              <w:rPr>
                <w:b w:val="false"/>
                <w:bCs w:val="false"/>
                <w:sz w:val="20"/>
                <w:szCs w:val="20"/>
              </w:rPr>
              <w:t xml:space="preserve">Percentage badge with color coding (Success-Green ≥85%, Teal-500 65–84%, Neutral &lt;65%)</w:t>
            </w:r>
          </w:p>
        </w:tc>
      </w:tr>
      <w:tr>
        <w:tc>
          <w:tcPr>
            <w:tcW w:type="dxa" w:w="2600"/>
            <w:tcMar>
              <w:top w:type="dxa" w:w="80"/>
              <w:left w:type="dxa" w:w="100"/>
              <w:bottom w:type="dxa" w:w="80"/>
              <w:right w:type="dxa" w:w="100"/>
            </w:tcMar>
          </w:tcPr>
          <w:p>
            <w:r>
              <w:rPr>
                <w:b w:val="false"/>
                <w:bCs w:val="false"/>
                <w:sz w:val="20"/>
                <w:szCs w:val="20"/>
              </w:rPr>
              <w:t xml:space="preserve">Why This Match Panel</w:t>
            </w:r>
          </w:p>
        </w:tc>
        <w:tc>
          <w:tcPr>
            <w:tcW w:type="dxa" w:w="6750"/>
            <w:tcMar>
              <w:top w:type="dxa" w:w="80"/>
              <w:left w:type="dxa" w:w="100"/>
              <w:bottom w:type="dxa" w:w="80"/>
              <w:right w:type="dxa" w:w="100"/>
            </w:tcMar>
          </w:tcPr>
          <w:p>
            <w:r>
              <w:rPr>
                <w:b w:val="false"/>
                <w:bCs w:val="false"/>
                <w:sz w:val="20"/>
                <w:szCs w:val="20"/>
              </w:rPr>
              <w:t xml:space="preserve">Expandable panel listing contributing match factors (skills overlap, experience level, location fit)</w:t>
            </w:r>
          </w:p>
        </w:tc>
      </w:tr>
      <w:tr>
        <w:tc>
          <w:tcPr>
            <w:tcW w:type="dxa" w:w="2600"/>
            <w:tcMar>
              <w:top w:type="dxa" w:w="80"/>
              <w:left w:type="dxa" w:w="100"/>
              <w:bottom w:type="dxa" w:w="80"/>
              <w:right w:type="dxa" w:w="100"/>
            </w:tcMar>
          </w:tcPr>
          <w:p>
            <w:r>
              <w:rPr>
                <w:b w:val="false"/>
                <w:bCs w:val="false"/>
                <w:sz w:val="20"/>
                <w:szCs w:val="20"/>
              </w:rPr>
              <w:t xml:space="preserve">Action Button Row</w:t>
            </w:r>
          </w:p>
        </w:tc>
        <w:tc>
          <w:tcPr>
            <w:tcW w:type="dxa" w:w="6750"/>
            <w:tcMar>
              <w:top w:type="dxa" w:w="80"/>
              <w:left w:type="dxa" w:w="100"/>
              <w:bottom w:type="dxa" w:w="80"/>
              <w:right w:type="dxa" w:w="100"/>
            </w:tcMar>
          </w:tcPr>
          <w:p>
            <w:r>
              <w:rPr>
                <w:b w:val="false"/>
                <w:bCs w:val="false"/>
                <w:sz w:val="20"/>
                <w:szCs w:val="20"/>
              </w:rPr>
              <w:t xml:space="preserve">Skip / Save / Apply buttons as a non-gesture alternative</w:t>
            </w:r>
          </w:p>
        </w:tc>
      </w:tr>
      <w:tr>
        <w:tc>
          <w:tcPr>
            <w:tcW w:type="dxa" w:w="2600"/>
            <w:tcMar>
              <w:top w:type="dxa" w:w="80"/>
              <w:left w:type="dxa" w:w="100"/>
              <w:bottom w:type="dxa" w:w="80"/>
              <w:right w:type="dxa" w:w="100"/>
            </w:tcMar>
          </w:tcPr>
          <w:p>
            <w:r>
              <w:rPr>
                <w:b w:val="false"/>
                <w:bCs w:val="false"/>
                <w:sz w:val="20"/>
                <w:szCs w:val="20"/>
              </w:rPr>
              <w:t xml:space="preserve">Filter Sheet</w:t>
            </w:r>
          </w:p>
        </w:tc>
        <w:tc>
          <w:tcPr>
            <w:tcW w:type="dxa" w:w="6750"/>
            <w:tcMar>
              <w:top w:type="dxa" w:w="80"/>
              <w:left w:type="dxa" w:w="100"/>
              <w:bottom w:type="dxa" w:w="80"/>
              <w:right w:type="dxa" w:w="100"/>
            </w:tcMar>
          </w:tcPr>
          <w:p>
            <w:r>
              <w:rPr>
                <w:b w:val="false"/>
                <w:bCs w:val="false"/>
                <w:sz w:val="20"/>
                <w:szCs w:val="20"/>
              </w:rPr>
              <w:t xml:space="preserve">Bottom-sheet/modal for adjusting role type, location, salary, seniority filters</w:t>
            </w:r>
          </w:p>
        </w:tc>
      </w:tr>
    </w:tbl>
    <w:p>
      <w:pPr>
        <w:pStyle w:val="Heading2"/>
        <w:spacing w:after="150" w:before="300"/>
      </w:pPr>
      <w:r>
        <w:t xml:space="preserve">6.6 Typography</w:t>
      </w:r>
    </w:p>
    <w:p>
      <w:pPr>
        <w:spacing w:after="160"/>
        <w:jc w:val="both"/>
      </w:pPr>
      <w:r>
        <w:t xml:space="preserve">Role title Type-H2. Company/location Type-Body. Match score badge uses Type-Label, bold. Highlight chips use Type-Caption.</w:t>
      </w:r>
    </w:p>
    <w:p>
      <w:pPr>
        <w:pStyle w:val="Heading2"/>
        <w:spacing w:after="150" w:before="300"/>
      </w:pPr>
      <w:r>
        <w:t xml:space="preserve">6.7 Spacing</w:t>
      </w:r>
    </w:p>
    <w:p>
      <w:pPr>
        <w:spacing w:after="160"/>
        <w:jc w:val="both"/>
      </w:pPr>
      <w:r>
        <w:t xml:space="preserve">Card padding Space-5. Gap between highlight chips Space-2. Action button row separated from card by Space-6.</w:t>
      </w:r>
    </w:p>
    <w:p>
      <w:pPr>
        <w:pStyle w:val="Heading2"/>
        <w:spacing w:after="150" w:before="300"/>
      </w:pPr>
      <w:r>
        <w:t xml:space="preserve">6.8 Colors</w:t>
      </w:r>
    </w:p>
    <w:p>
      <w:pPr>
        <w:spacing w:after="160"/>
        <w:jc w:val="both"/>
      </w:pPr>
      <w:r>
        <w:t xml:space="preserve">Match score badge color-coded per the three-tier scale above. Card background white with a subtle Neutral-100 border; background behind cards uses a soft Navy-900-to-Teal-500 gradient wash at low opacity.</w:t>
      </w:r>
    </w:p>
    <w:p>
      <w:pPr>
        <w:pStyle w:val="Heading2"/>
        <w:spacing w:after="150" w:before="300"/>
      </w:pPr>
      <w:r>
        <w:t xml:space="preserve">6.9 Animations</w:t>
      </w:r>
    </w:p>
    <w:p>
      <w:pPr>
        <w:pStyle w:val="ListParagraph"/>
        <w:numPr>
          <w:ilvl w:val="0"/>
          <w:numId w:val="1"/>
        </w:numPr>
        <w:spacing w:after="80"/>
      </w:pPr>
      <w:r>
        <w:t xml:space="preserve">Swipe gesture follows finger/cursor position with rotation proportional to horizontal displacement, then completes with a fling animation (200ms) in the swiped direction</w:t>
      </w:r>
    </w:p>
    <w:p>
      <w:pPr>
        <w:pStyle w:val="ListParagraph"/>
        <w:numPr>
          <w:ilvl w:val="0"/>
          <w:numId w:val="1"/>
        </w:numPr>
        <w:spacing w:after="80"/>
      </w:pPr>
      <w:r>
        <w:t xml:space="preserve">Card behind the active card scales up and fades in slightly as the top card is swiped away, to reinforce feed continuity</w:t>
      </w:r>
    </w:p>
    <w:p>
      <w:pPr>
        <w:pStyle w:val="ListParagraph"/>
        <w:numPr>
          <w:ilvl w:val="0"/>
          <w:numId w:val="1"/>
        </w:numPr>
        <w:spacing w:after="80"/>
      </w:pPr>
      <w:r>
        <w:t xml:space="preserve">Action-button taps trigger the same directional fling animation as the equivalent gesture, so keyboard/button users get identical visual feedback</w:t>
      </w:r>
    </w:p>
    <w:p>
      <w:pPr>
        <w:pStyle w:val="Heading2"/>
        <w:spacing w:after="150" w:before="300"/>
      </w:pPr>
      <w:r>
        <w:t xml:space="preserve">6.10 Icons</w:t>
      </w:r>
    </w:p>
    <w:p>
      <w:pPr>
        <w:spacing w:after="160"/>
        <w:jc w:val="both"/>
      </w:pPr>
      <w:r>
        <w:t xml:space="preserve">X icon (skip), bookmark icon (save), checkmark icon (apply), info/lightbulb icon (why this match). All 24px, matching global icon language.</w:t>
      </w:r>
    </w:p>
    <w:p>
      <w:pPr>
        <w:pStyle w:val="Heading2"/>
        <w:spacing w:after="150" w:before="300"/>
      </w:pPr>
      <w:r>
        <w:t xml:space="preserve">6.11 Accessibility</w:t>
      </w:r>
    </w:p>
    <w:p>
      <w:pPr>
        <w:pStyle w:val="ListParagraph"/>
        <w:numPr>
          <w:ilvl w:val="0"/>
          <w:numId w:val="1"/>
        </w:numPr>
        <w:spacing w:after="80"/>
      </w:pPr>
      <w:r>
        <w:t xml:space="preserve">Every swipe action has a fully operable button equivalent (Section 6.5) reachable via keyboard tab order</w:t>
      </w:r>
    </w:p>
    <w:p>
      <w:pPr>
        <w:pStyle w:val="ListParagraph"/>
        <w:numPr>
          <w:ilvl w:val="0"/>
          <w:numId w:val="1"/>
        </w:numPr>
        <w:spacing w:after="80"/>
      </w:pPr>
      <w:r>
        <w:t xml:space="preserve">Match score badge includes a text-equivalent (e.g., aria-label='92 percent match') not conveyed by color alone</w:t>
      </w:r>
    </w:p>
    <w:p>
      <w:pPr>
        <w:pStyle w:val="ListParagraph"/>
        <w:numPr>
          <w:ilvl w:val="0"/>
          <w:numId w:val="1"/>
        </w:numPr>
        <w:spacing w:after="80"/>
      </w:pPr>
      <w:r>
        <w:t xml:space="preserve">'Why this match?' panel is keyboard-expandable and announces its content on expand via aria-live</w:t>
      </w:r>
    </w:p>
    <w:p>
      <w:pPr>
        <w:pStyle w:val="ListParagraph"/>
        <w:numPr>
          <w:ilvl w:val="0"/>
          <w:numId w:val="1"/>
        </w:numPr>
        <w:spacing w:after="80"/>
      </w:pPr>
      <w:r>
        <w:t xml:space="preserve">Card transitions respect prefers-reduced-motion by using a simple cross-fade instead of physics-based fling</w:t>
      </w:r>
    </w:p>
    <w:p>
      <w:pPr>
        <w:pStyle w:val="Heading2"/>
        <w:spacing w:after="150" w:before="300"/>
      </w:pPr>
      <w:r>
        <w:t xml:space="preserve">6.12 Responsive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B2A4A" w:val="clear"/>
            <w:tcMar>
              <w:top w:type="dxa" w:w="80"/>
              <w:left w:type="dxa" w:w="100"/>
              <w:bottom w:type="dxa" w:w="80"/>
              <w:right w:type="dxa" w:w="100"/>
            </w:tcMar>
          </w:tcPr>
          <w:p>
            <w:r>
              <w:rPr>
                <w:b/>
                <w:bCs/>
                <w:color w:val="FFFFFF"/>
                <w:sz w:val="20"/>
                <w:szCs w:val="20"/>
              </w:rPr>
              <w:t xml:space="preserve">Breakpoint</w:t>
            </w:r>
          </w:p>
        </w:tc>
        <w:tc>
          <w:tcPr>
            <w:tcW w:type="dxa" w:w="7550"/>
            <w:shd w:fill="1B2A4A" w:val="clear"/>
            <w:tcMar>
              <w:top w:type="dxa" w:w="80"/>
              <w:left w:type="dxa" w:w="100"/>
              <w:bottom w:type="dxa" w:w="80"/>
              <w:right w:type="dxa" w:w="100"/>
            </w:tcMar>
          </w:tcPr>
          <w:p>
            <w:r>
              <w:rPr>
                <w:b/>
                <w:bCs/>
                <w:color w:val="FFFFFF"/>
                <w:sz w:val="20"/>
                <w:szCs w:val="20"/>
              </w:rPr>
              <w:t xml:space="preserve">Behavior</w:t>
            </w:r>
          </w:p>
        </w:tc>
      </w:tr>
      <w:tr>
        <w:tc>
          <w:tcPr>
            <w:tcW w:type="dxa" w:w="1800"/>
            <w:tcMar>
              <w:top w:type="dxa" w:w="80"/>
              <w:left w:type="dxa" w:w="100"/>
              <w:bottom w:type="dxa" w:w="80"/>
              <w:right w:type="dxa" w:w="100"/>
            </w:tcMar>
          </w:tcPr>
          <w:p>
            <w:r>
              <w:rPr>
                <w:b w:val="false"/>
                <w:bCs w:val="false"/>
                <w:sz w:val="20"/>
                <w:szCs w:val="20"/>
              </w:rPr>
              <w:t xml:space="preserve">Mobile</w:t>
            </w:r>
          </w:p>
        </w:tc>
        <w:tc>
          <w:tcPr>
            <w:tcW w:type="dxa" w:w="7550"/>
            <w:tcMar>
              <w:top w:type="dxa" w:w="80"/>
              <w:left w:type="dxa" w:w="100"/>
              <w:bottom w:type="dxa" w:w="80"/>
              <w:right w:type="dxa" w:w="100"/>
            </w:tcMar>
          </w:tcPr>
          <w:p>
            <w:r>
              <w:rPr>
                <w:b w:val="false"/>
                <w:bCs w:val="false"/>
                <w:sz w:val="20"/>
                <w:szCs w:val="20"/>
              </w:rPr>
              <w:t xml:space="preserve">Full-width single card, gesture-first interaction, action buttons fixed near thumb reach at bottom of screen</w:t>
            </w:r>
          </w:p>
        </w:tc>
      </w:tr>
      <w:tr>
        <w:tc>
          <w:tcPr>
            <w:tcW w:type="dxa" w:w="1800"/>
            <w:tcMar>
              <w:top w:type="dxa" w:w="80"/>
              <w:left w:type="dxa" w:w="100"/>
              <w:bottom w:type="dxa" w:w="80"/>
              <w:right w:type="dxa" w:w="100"/>
            </w:tcMar>
          </w:tcPr>
          <w:p>
            <w:r>
              <w:rPr>
                <w:b w:val="false"/>
                <w:bCs w:val="false"/>
                <w:sz w:val="20"/>
                <w:szCs w:val="20"/>
              </w:rPr>
              <w:t xml:space="preserve">Tablet</w:t>
            </w:r>
          </w:p>
        </w:tc>
        <w:tc>
          <w:tcPr>
            <w:tcW w:type="dxa" w:w="7550"/>
            <w:tcMar>
              <w:top w:type="dxa" w:w="80"/>
              <w:left w:type="dxa" w:w="100"/>
              <w:bottom w:type="dxa" w:w="80"/>
              <w:right w:type="dxa" w:w="100"/>
            </w:tcMar>
          </w:tcPr>
          <w:p>
            <w:r>
              <w:rPr>
                <w:b w:val="false"/>
                <w:bCs w:val="false"/>
                <w:sz w:val="20"/>
                <w:szCs w:val="20"/>
              </w:rPr>
              <w:t xml:space="preserve">Card width capped (~480px) centered; gesture and buttons both available</w:t>
            </w:r>
          </w:p>
        </w:tc>
      </w:tr>
      <w:tr>
        <w:tc>
          <w:tcPr>
            <w:tcW w:type="dxa" w:w="1800"/>
            <w:tcMar>
              <w:top w:type="dxa" w:w="80"/>
              <w:left w:type="dxa" w:w="100"/>
              <w:bottom w:type="dxa" w:w="80"/>
              <w:right w:type="dxa" w:w="100"/>
            </w:tcMar>
          </w:tcPr>
          <w:p>
            <w:r>
              <w:rPr>
                <w:b w:val="false"/>
                <w:bCs w:val="false"/>
                <w:sz w:val="20"/>
                <w:szCs w:val="20"/>
              </w:rPr>
              <w:t xml:space="preserve">Desktop</w:t>
            </w:r>
          </w:p>
        </w:tc>
        <w:tc>
          <w:tcPr>
            <w:tcW w:type="dxa" w:w="7550"/>
            <w:tcMar>
              <w:top w:type="dxa" w:w="80"/>
              <w:left w:type="dxa" w:w="100"/>
              <w:bottom w:type="dxa" w:w="80"/>
              <w:right w:type="dxa" w:w="100"/>
            </w:tcMar>
          </w:tcPr>
          <w:p>
            <w:r>
              <w:rPr>
                <w:b w:val="false"/>
                <w:bCs w:val="false"/>
                <w:sz w:val="20"/>
                <w:szCs w:val="20"/>
              </w:rPr>
              <w:t xml:space="preserve">Card centered with visible keyboard-shortcut hints (arrow keys for skip/apply); mouse-drag supported as gesture equivalent</w:t>
            </w:r>
          </w:p>
        </w:tc>
      </w:tr>
    </w:tbl>
    <w:p>
      <w:pPr>
        <w:pStyle w:val="Heading2"/>
        <w:spacing w:after="150" w:before="300"/>
      </w:pPr>
      <w:r>
        <w:t xml:space="preserve">6.13 Empty States</w:t>
      </w:r>
    </w:p>
    <w:p>
      <w:pPr>
        <w:spacing w:after="160"/>
        <w:jc w:val="both"/>
      </w:pPr>
      <w:r>
        <w:t xml:space="preserve">When no more matches are available in the current filter set, show an illustrated empty state: 'You've seen all your matches for now' with a button to broaden filters and a secondary note that new matches typically arrive within 24 hours.</w:t>
      </w:r>
    </w:p>
    <w:p>
      <w:pPr>
        <w:pStyle w:val="Heading2"/>
        <w:spacing w:after="150" w:before="300"/>
      </w:pPr>
      <w:r>
        <w:t xml:space="preserve">6.14 Loading States</w:t>
      </w:r>
    </w:p>
    <w:p>
      <w:pPr>
        <w:spacing w:after="160"/>
        <w:jc w:val="both"/>
      </w:pPr>
      <w:r>
        <w:t xml:space="preserve">Next 5–10 cards are pre-fetched in the background; if the feed genuinely has no cached cards ready, a single skeleton card (shimmer placeholder in the exact card layout) is shown rather than a generic spinner, to avoid layout shift when real content arrives.</w:t>
      </w:r>
    </w:p>
    <w:p>
      <w:pPr>
        <w:pStyle w:val="Heading2"/>
        <w:spacing w:after="150" w:before="300"/>
      </w:pPr>
      <w:r>
        <w:t xml:space="preserve">6.15 Validation</w:t>
      </w:r>
    </w:p>
    <w:p>
      <w:pPr>
        <w:pStyle w:val="ListParagraph"/>
        <w:numPr>
          <w:ilvl w:val="0"/>
          <w:numId w:val="1"/>
        </w:numPr>
        <w:spacing w:after="80"/>
      </w:pPr>
      <w:r>
        <w:t xml:space="preserve">Not applicable in the form-input sense; the primary constraint is that a swipe action must not be double-counted if a user rapidly repeats a gesture — the frontend must debounce action submission per card</w:t>
      </w:r>
    </w:p>
    <w:p>
      <w:pPr>
        <w:pStyle w:val="Heading2"/>
        <w:spacing w:after="150" w:before="300"/>
      </w:pPr>
      <w:r>
        <w:t xml:space="preserve">6.16 Acceptance Criteria</w:t>
      </w:r>
    </w:p>
    <w:p>
      <w:pPr>
        <w:pStyle w:val="ListParagraph"/>
        <w:numPr>
          <w:ilvl w:val="0"/>
          <w:numId w:val="1"/>
        </w:numPr>
        <w:spacing w:after="80"/>
      </w:pPr>
      <w:r>
        <w:t xml:space="preserve">Given a completed candidate profile, when the Swipe Feed loads, then the first card renders within the Time-to-First-Match target (Volume 1 §6.2, &lt;90s including full session context, &lt;300ms P95 per-card render per NFR)</w:t>
      </w:r>
    </w:p>
    <w:p>
      <w:pPr>
        <w:pStyle w:val="ListParagraph"/>
        <w:numPr>
          <w:ilvl w:val="0"/>
          <w:numId w:val="1"/>
        </w:numPr>
        <w:spacing w:after="80"/>
      </w:pPr>
      <w:r>
        <w:t xml:space="preserve">Given a user swipes right, when the action completes, then the application is recorded and reflected in the Dashboard activity feed and recruiter pipeline (Volume 6 API) without requiring a page refresh</w:t>
      </w:r>
    </w:p>
    <w:p>
      <w:pPr>
        <w:pStyle w:val="ListParagraph"/>
        <w:numPr>
          <w:ilvl w:val="0"/>
          <w:numId w:val="1"/>
        </w:numPr>
        <w:spacing w:after="80"/>
      </w:pPr>
      <w:r>
        <w:t xml:space="preserve">Given a user expands 'Why this match?', when expanded, then at least the top three contributing factors are shown, sourced from the semantic matching engine (Volume 7), not a generic static message</w:t>
      </w:r>
    </w:p>
    <w:p>
      <w:pPr>
        <w:pStyle w:val="Heading2"/>
        <w:spacing w:after="150" w:before="300"/>
      </w:pPr>
      <w:r>
        <w:t xml:space="preserve">6.17 Developer Notes</w:t>
      </w:r>
    </w:p>
    <w:p>
      <w:pPr>
        <w:pStyle w:val="ListParagraph"/>
        <w:numPr>
          <w:ilvl w:val="0"/>
          <w:numId w:val="1"/>
        </w:numPr>
        <w:spacing w:after="80"/>
      </w:pPr>
      <w:r>
        <w:t xml:space="preserve">Swipe Feed must implement optimistic UI updates (advance to next card immediately on gesture completion) with server confirmation reconciled asynchronously; on server rejection (e.g., job closed mid-session), surface a non-blocking toast rather than reverting the card stack visibly</w:t>
      </w:r>
    </w:p>
    <w:p>
      <w:pPr>
        <w:pStyle w:val="ListParagraph"/>
        <w:numPr>
          <w:ilvl w:val="0"/>
          <w:numId w:val="1"/>
        </w:numPr>
        <w:spacing w:after="80"/>
      </w:pPr>
      <w:r>
        <w:t xml:space="preserve">Match score and 'why this match' factors must come from the same matching-engine call (Volume 7) to avoid the two ever disagreeing, which would undermine the explainability principle in Section 1.3</w:t>
      </w:r>
    </w:p>
    <w:p>
      <w:pPr>
        <w:pStyle w:val="Heading1"/>
        <w:spacing w:after="200" w:before="400"/>
      </w:pPr>
      <w:r>
        <w:t xml:space="preserve">7. Page Specification: Resume Analyzer</w:t>
      </w:r>
    </w:p>
    <w:p>
      <w:pPr>
        <w:pStyle w:val="Heading2"/>
        <w:spacing w:after="150" w:before="300"/>
      </w:pPr>
      <w:r>
        <w:t xml:space="preserve">7.1 Purpose</w:t>
      </w:r>
    </w:p>
    <w:p>
      <w:pPr>
        <w:spacing w:after="160"/>
        <w:jc w:val="both"/>
      </w:pPr>
      <w:r>
        <w:t xml:space="preserve">Ingest a user's uploaded resume, parse it into structured data, and present an initial quality/completeness assessment before deeper ATS optimization (Section 8).</w:t>
      </w:r>
    </w:p>
    <w:p>
      <w:pPr>
        <w:pStyle w:val="Heading2"/>
        <w:spacing w:after="150" w:before="300"/>
      </w:pPr>
      <w:r>
        <w:t xml:space="preserve">7.2 Goals</w:t>
      </w:r>
    </w:p>
    <w:p>
      <w:pPr>
        <w:pStyle w:val="ListParagraph"/>
        <w:numPr>
          <w:ilvl w:val="0"/>
          <w:numId w:val="1"/>
        </w:numPr>
        <w:spacing w:after="80"/>
      </w:pPr>
      <w:r>
        <w:t xml:space="preserve">Extract structured fields (contact, experience, education, skills) from an uploaded PDF/DOCX with visible per-field confidence</w:t>
      </w:r>
    </w:p>
    <w:p>
      <w:pPr>
        <w:pStyle w:val="ListParagraph"/>
        <w:numPr>
          <w:ilvl w:val="0"/>
          <w:numId w:val="1"/>
        </w:numPr>
        <w:spacing w:after="80"/>
      </w:pPr>
      <w:r>
        <w:t xml:space="preserve">Let the user correct any misparsed field before it propagates into the ATS engine and job matching</w:t>
      </w:r>
    </w:p>
    <w:p>
      <w:pPr>
        <w:pStyle w:val="ListParagraph"/>
        <w:numPr>
          <w:ilvl w:val="0"/>
          <w:numId w:val="1"/>
        </w:numPr>
        <w:spacing w:after="80"/>
      </w:pPr>
      <w:r>
        <w:t xml:space="preserve">Provide a first-glance quality signal quickly, even before full ATS scoring completes</w:t>
      </w:r>
    </w:p>
    <w:p>
      <w:pPr>
        <w:pStyle w:val="Heading2"/>
        <w:spacing w:after="150" w:before="300"/>
      </w:pPr>
      <w:r>
        <w:t xml:space="preserve">7.3 Layout</w:t>
      </w:r>
    </w:p>
    <w:p>
      <w:pPr>
        <w:spacing w:after="160"/>
        <w:jc w:val="both"/>
      </w:pPr>
      <w:r>
        <w:t xml:space="preserve">Two-panel layout on desktop: left panel shows the original uploaded document (rendered preview), right panel shows the extracted structured fields in an editable form, grouped by section (Contact, Summary, Experience, Education, Skills).</w:t>
      </w:r>
    </w:p>
    <w:p>
      <w:pPr>
        <w:pStyle w:val="Heading2"/>
        <w:spacing w:after="150" w:before="300"/>
      </w:pPr>
      <w:r>
        <w:t xml:space="preserve">7.4 Wireframe Description</w:t>
      </w:r>
    </w:p>
    <w:p>
      <w:pPr>
        <w:spacing w:after="160"/>
        <w:jc w:val="both"/>
      </w:pPr>
      <w:r>
        <w:t xml:space="preserve">Top: upload dropzone (if no resume yet) or 'Replace resume' control (if one exists). Left panel: PDF/DOCX preview with page navigation if multi-page. Right panel: accordion sections per resume category, each field showing extracted value plus a small confidence indicator dot (green/amber/red) and an edit-in-place control. Bottom: 'Continue to ATS Score' primary button.</w:t>
      </w:r>
    </w:p>
    <w:p>
      <w:pPr>
        <w:pStyle w:val="Heading2"/>
        <w:spacing w:after="150" w:before="300"/>
      </w:pPr>
      <w:r>
        <w:t xml:space="preserve">7.5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80"/>
              <w:left w:type="dxa" w:w="100"/>
              <w:bottom w:type="dxa" w:w="80"/>
              <w:right w:type="dxa" w:w="100"/>
            </w:tcMar>
          </w:tcPr>
          <w:p>
            <w:r>
              <w:rPr>
                <w:b/>
                <w:bCs/>
                <w:color w:val="FFFFFF"/>
                <w:sz w:val="20"/>
                <w:szCs w:val="20"/>
              </w:rPr>
              <w:t xml:space="preserve">Component</w:t>
            </w:r>
          </w:p>
        </w:tc>
        <w:tc>
          <w:tcPr>
            <w:tcW w:type="dxa" w:w="6750"/>
            <w:shd w:fill="1B2A4A"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Upload Dropzone</w:t>
            </w:r>
          </w:p>
        </w:tc>
        <w:tc>
          <w:tcPr>
            <w:tcW w:type="dxa" w:w="6750"/>
            <w:tcMar>
              <w:top w:type="dxa" w:w="80"/>
              <w:left w:type="dxa" w:w="100"/>
              <w:bottom w:type="dxa" w:w="80"/>
              <w:right w:type="dxa" w:w="100"/>
            </w:tcMar>
          </w:tcPr>
          <w:p>
            <w:r>
              <w:rPr>
                <w:b w:val="false"/>
                <w:bCs w:val="false"/>
                <w:sz w:val="20"/>
                <w:szCs w:val="20"/>
              </w:rPr>
              <w:t xml:space="preserve">Drag-and-drop or click-to-browse file upload control, accepts PDF/DOCX</w:t>
            </w:r>
          </w:p>
        </w:tc>
      </w:tr>
      <w:tr>
        <w:tc>
          <w:tcPr>
            <w:tcW w:type="dxa" w:w="2600"/>
            <w:tcMar>
              <w:top w:type="dxa" w:w="80"/>
              <w:left w:type="dxa" w:w="100"/>
              <w:bottom w:type="dxa" w:w="80"/>
              <w:right w:type="dxa" w:w="100"/>
            </w:tcMar>
          </w:tcPr>
          <w:p>
            <w:r>
              <w:rPr>
                <w:b w:val="false"/>
                <w:bCs w:val="false"/>
                <w:sz w:val="20"/>
                <w:szCs w:val="20"/>
              </w:rPr>
              <w:t xml:space="preserve">Document Preview Pane</w:t>
            </w:r>
          </w:p>
        </w:tc>
        <w:tc>
          <w:tcPr>
            <w:tcW w:type="dxa" w:w="6750"/>
            <w:tcMar>
              <w:top w:type="dxa" w:w="80"/>
              <w:left w:type="dxa" w:w="100"/>
              <w:bottom w:type="dxa" w:w="80"/>
              <w:right w:type="dxa" w:w="100"/>
            </w:tcMar>
          </w:tcPr>
          <w:p>
            <w:r>
              <w:rPr>
                <w:b w:val="false"/>
                <w:bCs w:val="false"/>
                <w:sz w:val="20"/>
                <w:szCs w:val="20"/>
              </w:rPr>
              <w:t xml:space="preserve">Rendered view of the uploaded file</w:t>
            </w:r>
          </w:p>
        </w:tc>
      </w:tr>
      <w:tr>
        <w:tc>
          <w:tcPr>
            <w:tcW w:type="dxa" w:w="2600"/>
            <w:tcMar>
              <w:top w:type="dxa" w:w="80"/>
              <w:left w:type="dxa" w:w="100"/>
              <w:bottom w:type="dxa" w:w="80"/>
              <w:right w:type="dxa" w:w="100"/>
            </w:tcMar>
          </w:tcPr>
          <w:p>
            <w:r>
              <w:rPr>
                <w:b w:val="false"/>
                <w:bCs w:val="false"/>
                <w:sz w:val="20"/>
                <w:szCs w:val="20"/>
              </w:rPr>
              <w:t xml:space="preserve">Extracted Field Row</w:t>
            </w:r>
          </w:p>
        </w:tc>
        <w:tc>
          <w:tcPr>
            <w:tcW w:type="dxa" w:w="6750"/>
            <w:tcMar>
              <w:top w:type="dxa" w:w="80"/>
              <w:left w:type="dxa" w:w="100"/>
              <w:bottom w:type="dxa" w:w="80"/>
              <w:right w:type="dxa" w:w="100"/>
            </w:tcMar>
          </w:tcPr>
          <w:p>
            <w:r>
              <w:rPr>
                <w:b w:val="false"/>
                <w:bCs w:val="false"/>
                <w:sz w:val="20"/>
                <w:szCs w:val="20"/>
              </w:rPr>
              <w:t xml:space="preserve">Label, extracted value, confidence indicator, edit control</w:t>
            </w:r>
          </w:p>
        </w:tc>
      </w:tr>
      <w:tr>
        <w:tc>
          <w:tcPr>
            <w:tcW w:type="dxa" w:w="2600"/>
            <w:tcMar>
              <w:top w:type="dxa" w:w="80"/>
              <w:left w:type="dxa" w:w="100"/>
              <w:bottom w:type="dxa" w:w="80"/>
              <w:right w:type="dxa" w:w="100"/>
            </w:tcMar>
          </w:tcPr>
          <w:p>
            <w:r>
              <w:rPr>
                <w:b w:val="false"/>
                <w:bCs w:val="false"/>
                <w:sz w:val="20"/>
                <w:szCs w:val="20"/>
              </w:rPr>
              <w:t xml:space="preserve">Section Accordion</w:t>
            </w:r>
          </w:p>
        </w:tc>
        <w:tc>
          <w:tcPr>
            <w:tcW w:type="dxa" w:w="6750"/>
            <w:tcMar>
              <w:top w:type="dxa" w:w="80"/>
              <w:left w:type="dxa" w:w="100"/>
              <w:bottom w:type="dxa" w:w="80"/>
              <w:right w:type="dxa" w:w="100"/>
            </w:tcMar>
          </w:tcPr>
          <w:p>
            <w:r>
              <w:rPr>
                <w:b w:val="false"/>
                <w:bCs w:val="false"/>
                <w:sz w:val="20"/>
                <w:szCs w:val="20"/>
              </w:rPr>
              <w:t xml:space="preserve">Collapsible grouping for Contact / Summary / Experience / Education / Skills</w:t>
            </w:r>
          </w:p>
        </w:tc>
      </w:tr>
      <w:tr>
        <w:tc>
          <w:tcPr>
            <w:tcW w:type="dxa" w:w="2600"/>
            <w:tcMar>
              <w:top w:type="dxa" w:w="80"/>
              <w:left w:type="dxa" w:w="100"/>
              <w:bottom w:type="dxa" w:w="80"/>
              <w:right w:type="dxa" w:w="100"/>
            </w:tcMar>
          </w:tcPr>
          <w:p>
            <w:r>
              <w:rPr>
                <w:b w:val="false"/>
                <w:bCs w:val="false"/>
                <w:sz w:val="20"/>
                <w:szCs w:val="20"/>
              </w:rPr>
              <w:t xml:space="preserve">Confidence Indicator</w:t>
            </w:r>
          </w:p>
        </w:tc>
        <w:tc>
          <w:tcPr>
            <w:tcW w:type="dxa" w:w="6750"/>
            <w:tcMar>
              <w:top w:type="dxa" w:w="80"/>
              <w:left w:type="dxa" w:w="100"/>
              <w:bottom w:type="dxa" w:w="80"/>
              <w:right w:type="dxa" w:w="100"/>
            </w:tcMar>
          </w:tcPr>
          <w:p>
            <w:r>
              <w:rPr>
                <w:b w:val="false"/>
                <w:bCs w:val="false"/>
                <w:sz w:val="20"/>
                <w:szCs w:val="20"/>
              </w:rPr>
              <w:t xml:space="preserve">Small colored dot signaling extraction confidence per field</w:t>
            </w:r>
          </w:p>
        </w:tc>
      </w:tr>
    </w:tbl>
    <w:p>
      <w:pPr>
        <w:pStyle w:val="Heading2"/>
        <w:spacing w:after="150" w:before="300"/>
      </w:pPr>
      <w:r>
        <w:t xml:space="preserve">7.6 Typography</w:t>
      </w:r>
    </w:p>
    <w:p>
      <w:pPr>
        <w:spacing w:after="160"/>
        <w:jc w:val="both"/>
      </w:pPr>
      <w:r>
        <w:t xml:space="preserve">Section accordion titles use Type-H3. Field labels use Type-Label. Extracted values use Type-Body.</w:t>
      </w:r>
    </w:p>
    <w:p>
      <w:pPr>
        <w:pStyle w:val="Heading2"/>
        <w:spacing w:after="150" w:before="300"/>
      </w:pPr>
      <w:r>
        <w:t xml:space="preserve">7.7 Spacing</w:t>
      </w:r>
    </w:p>
    <w:p>
      <w:pPr>
        <w:spacing w:after="160"/>
        <w:jc w:val="both"/>
      </w:pPr>
      <w:r>
        <w:t xml:space="preserve">Two-panel gap Space-6 on desktop. Field rows separated by Space-3 within each accordion section.</w:t>
      </w:r>
    </w:p>
    <w:p>
      <w:pPr>
        <w:pStyle w:val="Heading2"/>
        <w:spacing w:after="150" w:before="300"/>
      </w:pPr>
      <w:r>
        <w:t xml:space="preserve">7.8 Colors</w:t>
      </w:r>
    </w:p>
    <w:p>
      <w:pPr>
        <w:spacing w:after="160"/>
        <w:jc w:val="both"/>
      </w:pPr>
      <w:r>
        <w:t xml:space="preserve">Confidence indicator: Success-Green (high confidence), Warning-Amber (medium, recommend review), Error-Red (low confidence, requires user input). Upload dropzone uses a dashed Teal-500 border in idle state, solid Teal-500 on drag-over.</w:t>
      </w:r>
    </w:p>
    <w:p>
      <w:pPr>
        <w:pStyle w:val="Heading2"/>
        <w:spacing w:after="150" w:before="300"/>
      </w:pPr>
      <w:r>
        <w:t xml:space="preserve">7.9 Animations</w:t>
      </w:r>
    </w:p>
    <w:p>
      <w:pPr>
        <w:pStyle w:val="ListParagraph"/>
        <w:numPr>
          <w:ilvl w:val="0"/>
          <w:numId w:val="1"/>
        </w:numPr>
        <w:spacing w:after="80"/>
      </w:pPr>
      <w:r>
        <w:t xml:space="preserve">Accordion sections expand/collapse with a 150ms height transition</w:t>
      </w:r>
    </w:p>
    <w:p>
      <w:pPr>
        <w:pStyle w:val="ListParagraph"/>
        <w:numPr>
          <w:ilvl w:val="0"/>
          <w:numId w:val="1"/>
        </w:numPr>
        <w:spacing w:after="80"/>
      </w:pPr>
      <w:r>
        <w:t xml:space="preserve">Successful upload triggers a brief progress-bar fill animation before transitioning to the extracted-fields view</w:t>
      </w:r>
    </w:p>
    <w:p>
      <w:pPr>
        <w:pStyle w:val="Heading2"/>
        <w:spacing w:after="150" w:before="300"/>
      </w:pPr>
      <w:r>
        <w:t xml:space="preserve">7.10 Icons</w:t>
      </w:r>
    </w:p>
    <w:p>
      <w:pPr>
        <w:spacing w:after="160"/>
        <w:jc w:val="both"/>
      </w:pPr>
      <w:r>
        <w:t xml:space="preserve">Upload/cloud icon in the dropzone. Pencil icon for inline edit affordance. Checkmark/warning/alert icons paired with confidence indicators for users relying on shape, not just color.</w:t>
      </w:r>
    </w:p>
    <w:p>
      <w:pPr>
        <w:pStyle w:val="Heading2"/>
        <w:spacing w:after="150" w:before="300"/>
      </w:pPr>
      <w:r>
        <w:t xml:space="preserve">7.11 Accessibility</w:t>
      </w:r>
    </w:p>
    <w:p>
      <w:pPr>
        <w:pStyle w:val="ListParagraph"/>
        <w:numPr>
          <w:ilvl w:val="0"/>
          <w:numId w:val="1"/>
        </w:numPr>
        <w:spacing w:after="80"/>
      </w:pPr>
      <w:r>
        <w:t xml:space="preserve">Confidence indicators pair color with an icon and text label (e.g., 'Low confidence — please review') rather than color alone</w:t>
      </w:r>
    </w:p>
    <w:p>
      <w:pPr>
        <w:pStyle w:val="ListParagraph"/>
        <w:numPr>
          <w:ilvl w:val="0"/>
          <w:numId w:val="1"/>
        </w:numPr>
        <w:spacing w:after="80"/>
      </w:pPr>
      <w:r>
        <w:t xml:space="preserve">Upload dropzone is a fully keyboard-operable file input, not a click-only drag target</w:t>
      </w:r>
    </w:p>
    <w:p>
      <w:pPr>
        <w:pStyle w:val="ListParagraph"/>
        <w:numPr>
          <w:ilvl w:val="0"/>
          <w:numId w:val="1"/>
        </w:numPr>
        <w:spacing w:after="80"/>
      </w:pPr>
      <w:r>
        <w:t xml:space="preserve">Document preview pane provides a text-extraction fallback view for screen reader users, since the rendered preview itself is a visual artifact</w:t>
      </w:r>
    </w:p>
    <w:p>
      <w:pPr>
        <w:pStyle w:val="Heading2"/>
        <w:spacing w:after="150" w:before="300"/>
      </w:pPr>
      <w:r>
        <w:t xml:space="preserve">7.12 Responsive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B2A4A" w:val="clear"/>
            <w:tcMar>
              <w:top w:type="dxa" w:w="80"/>
              <w:left w:type="dxa" w:w="100"/>
              <w:bottom w:type="dxa" w:w="80"/>
              <w:right w:type="dxa" w:w="100"/>
            </w:tcMar>
          </w:tcPr>
          <w:p>
            <w:r>
              <w:rPr>
                <w:b/>
                <w:bCs/>
                <w:color w:val="FFFFFF"/>
                <w:sz w:val="20"/>
                <w:szCs w:val="20"/>
              </w:rPr>
              <w:t xml:space="preserve">Breakpoint</w:t>
            </w:r>
          </w:p>
        </w:tc>
        <w:tc>
          <w:tcPr>
            <w:tcW w:type="dxa" w:w="7550"/>
            <w:shd w:fill="1B2A4A" w:val="clear"/>
            <w:tcMar>
              <w:top w:type="dxa" w:w="80"/>
              <w:left w:type="dxa" w:w="100"/>
              <w:bottom w:type="dxa" w:w="80"/>
              <w:right w:type="dxa" w:w="100"/>
            </w:tcMar>
          </w:tcPr>
          <w:p>
            <w:r>
              <w:rPr>
                <w:b/>
                <w:bCs/>
                <w:color w:val="FFFFFF"/>
                <w:sz w:val="20"/>
                <w:szCs w:val="20"/>
              </w:rPr>
              <w:t xml:space="preserve">Behavior</w:t>
            </w:r>
          </w:p>
        </w:tc>
      </w:tr>
      <w:tr>
        <w:tc>
          <w:tcPr>
            <w:tcW w:type="dxa" w:w="1800"/>
            <w:tcMar>
              <w:top w:type="dxa" w:w="80"/>
              <w:left w:type="dxa" w:w="100"/>
              <w:bottom w:type="dxa" w:w="80"/>
              <w:right w:type="dxa" w:w="100"/>
            </w:tcMar>
          </w:tcPr>
          <w:p>
            <w:r>
              <w:rPr>
                <w:b w:val="false"/>
                <w:bCs w:val="false"/>
                <w:sz w:val="20"/>
                <w:szCs w:val="20"/>
              </w:rPr>
              <w:t xml:space="preserve">Mobile</w:t>
            </w:r>
          </w:p>
        </w:tc>
        <w:tc>
          <w:tcPr>
            <w:tcW w:type="dxa" w:w="7550"/>
            <w:tcMar>
              <w:top w:type="dxa" w:w="80"/>
              <w:left w:type="dxa" w:w="100"/>
              <w:bottom w:type="dxa" w:w="80"/>
              <w:right w:type="dxa" w:w="100"/>
            </w:tcMar>
          </w:tcPr>
          <w:p>
            <w:r>
              <w:rPr>
                <w:b w:val="false"/>
                <w:bCs w:val="false"/>
                <w:sz w:val="20"/>
                <w:szCs w:val="20"/>
              </w:rPr>
              <w:t xml:space="preserve">Panels stack vertically: document preview collapses to a thumbnail/expand-on-tap; extracted fields panel takes primary focus</w:t>
            </w:r>
          </w:p>
        </w:tc>
      </w:tr>
      <w:tr>
        <w:tc>
          <w:tcPr>
            <w:tcW w:type="dxa" w:w="1800"/>
            <w:tcMar>
              <w:top w:type="dxa" w:w="80"/>
              <w:left w:type="dxa" w:w="100"/>
              <w:bottom w:type="dxa" w:w="80"/>
              <w:right w:type="dxa" w:w="100"/>
            </w:tcMar>
          </w:tcPr>
          <w:p>
            <w:r>
              <w:rPr>
                <w:b w:val="false"/>
                <w:bCs w:val="false"/>
                <w:sz w:val="20"/>
                <w:szCs w:val="20"/>
              </w:rPr>
              <w:t xml:space="preserve">Tablet</w:t>
            </w:r>
          </w:p>
        </w:tc>
        <w:tc>
          <w:tcPr>
            <w:tcW w:type="dxa" w:w="7550"/>
            <w:tcMar>
              <w:top w:type="dxa" w:w="80"/>
              <w:left w:type="dxa" w:w="100"/>
              <w:bottom w:type="dxa" w:w="80"/>
              <w:right w:type="dxa" w:w="100"/>
            </w:tcMar>
          </w:tcPr>
          <w:p>
            <w:r>
              <w:rPr>
                <w:b w:val="false"/>
                <w:bCs w:val="false"/>
                <w:sz w:val="20"/>
                <w:szCs w:val="20"/>
              </w:rPr>
              <w:t xml:space="preserve">Panels remain side-by-side but narrower; document preview may default collapsed</w:t>
            </w:r>
          </w:p>
        </w:tc>
      </w:tr>
      <w:tr>
        <w:tc>
          <w:tcPr>
            <w:tcW w:type="dxa" w:w="1800"/>
            <w:tcMar>
              <w:top w:type="dxa" w:w="80"/>
              <w:left w:type="dxa" w:w="100"/>
              <w:bottom w:type="dxa" w:w="80"/>
              <w:right w:type="dxa" w:w="100"/>
            </w:tcMar>
          </w:tcPr>
          <w:p>
            <w:r>
              <w:rPr>
                <w:b w:val="false"/>
                <w:bCs w:val="false"/>
                <w:sz w:val="20"/>
                <w:szCs w:val="20"/>
              </w:rPr>
              <w:t xml:space="preserve">Desktop+</w:t>
            </w:r>
          </w:p>
        </w:tc>
        <w:tc>
          <w:tcPr>
            <w:tcW w:type="dxa" w:w="7550"/>
            <w:tcMar>
              <w:top w:type="dxa" w:w="80"/>
              <w:left w:type="dxa" w:w="100"/>
              <w:bottom w:type="dxa" w:w="80"/>
              <w:right w:type="dxa" w:w="100"/>
            </w:tcMar>
          </w:tcPr>
          <w:p>
            <w:r>
              <w:rPr>
                <w:b w:val="false"/>
                <w:bCs w:val="false"/>
                <w:sz w:val="20"/>
                <w:szCs w:val="20"/>
              </w:rPr>
              <w:t xml:space="preserve">Full two-panel side-by-side layout</w:t>
            </w:r>
          </w:p>
        </w:tc>
      </w:tr>
    </w:tbl>
    <w:p>
      <w:pPr>
        <w:pStyle w:val="Heading2"/>
        <w:spacing w:after="150" w:before="300"/>
      </w:pPr>
      <w:r>
        <w:t xml:space="preserve">7.13 Empty States</w:t>
      </w:r>
    </w:p>
    <w:p>
      <w:pPr>
        <w:spacing w:after="160"/>
        <w:jc w:val="both"/>
      </w:pPr>
      <w:r>
        <w:t xml:space="preserve">Before any upload, show the dropzone as the sole element with a short explainer: 'Upload your resume to get started, or build one from scratch' with a secondary link to the Resume Builder (Section 9).</w:t>
      </w:r>
    </w:p>
    <w:p>
      <w:pPr>
        <w:pStyle w:val="Heading2"/>
        <w:spacing w:after="150" w:before="300"/>
      </w:pPr>
      <w:r>
        <w:t xml:space="preserve">7.14 Loading States</w:t>
      </w:r>
    </w:p>
    <w:p>
      <w:pPr>
        <w:spacing w:after="160"/>
        <w:jc w:val="both"/>
      </w:pPr>
      <w:r>
        <w:t xml:space="preserve">During parsing, show a determinate or indeterminate progress indicator over the document preview with the label 'Reading your resume…', and disable the 'Continue' button until parsing completes.</w:t>
      </w:r>
    </w:p>
    <w:p>
      <w:pPr>
        <w:pStyle w:val="Heading2"/>
        <w:spacing w:after="150" w:before="300"/>
      </w:pPr>
      <w:r>
        <w:t xml:space="preserve">7.15 Validation</w:t>
      </w:r>
    </w:p>
    <w:p>
      <w:pPr>
        <w:pStyle w:val="ListParagraph"/>
        <w:numPr>
          <w:ilvl w:val="0"/>
          <w:numId w:val="1"/>
        </w:numPr>
        <w:spacing w:after="80"/>
      </w:pPr>
      <w:r>
        <w:t xml:space="preserve">Accepted file types: PDF, DOCX only; other types rejected with a clear inline error before upload begins</w:t>
      </w:r>
    </w:p>
    <w:p>
      <w:pPr>
        <w:pStyle w:val="ListParagraph"/>
        <w:numPr>
          <w:ilvl w:val="0"/>
          <w:numId w:val="1"/>
        </w:numPr>
        <w:spacing w:after="80"/>
      </w:pPr>
      <w:r>
        <w:t xml:space="preserve">Maximum file size enforced (see Volume 6 API limits); oversized files rejected with a specific error stating the limit</w:t>
      </w:r>
    </w:p>
    <w:p>
      <w:pPr>
        <w:pStyle w:val="ListParagraph"/>
        <w:numPr>
          <w:ilvl w:val="0"/>
          <w:numId w:val="1"/>
        </w:numPr>
        <w:spacing w:after="80"/>
      </w:pPr>
      <w:r>
        <w:t xml:space="preserve">Required fields (name, at least one experience or education entry) must be present before 'Continue to ATS Score' is enabled; missing required fields are highlighted with an inline prompt</w:t>
      </w:r>
    </w:p>
    <w:p>
      <w:pPr>
        <w:pStyle w:val="Heading2"/>
        <w:spacing w:after="150" w:before="300"/>
      </w:pPr>
      <w:r>
        <w:t xml:space="preserve">7.16 Acceptance Criteria</w:t>
      </w:r>
    </w:p>
    <w:p>
      <w:pPr>
        <w:pStyle w:val="ListParagraph"/>
        <w:numPr>
          <w:ilvl w:val="0"/>
          <w:numId w:val="1"/>
        </w:numPr>
        <w:spacing w:after="80"/>
      </w:pPr>
      <w:r>
        <w:t xml:space="preserve">Given a valid PDF/DOCX resume upload, when parsing completes, then structured fields are populated with a per-field confidence indicator, per Volume 1 FR-06</w:t>
      </w:r>
    </w:p>
    <w:p>
      <w:pPr>
        <w:pStyle w:val="ListParagraph"/>
        <w:numPr>
          <w:ilvl w:val="0"/>
          <w:numId w:val="1"/>
        </w:numPr>
        <w:spacing w:after="80"/>
      </w:pPr>
      <w:r>
        <w:t xml:space="preserve">Given a low-confidence field, when the user edits and confirms it, then the confidence indicator updates to reflect user-verified status</w:t>
      </w:r>
    </w:p>
    <w:p>
      <w:pPr>
        <w:pStyle w:val="ListParagraph"/>
        <w:numPr>
          <w:ilvl w:val="0"/>
          <w:numId w:val="1"/>
        </w:numPr>
        <w:spacing w:after="80"/>
      </w:pPr>
      <w:r>
        <w:t xml:space="preserve">Given required fields are missing after parsing, when the user attempts to continue, then they are blocked with a specific message identifying which fields are missing</w:t>
      </w:r>
    </w:p>
    <w:p>
      <w:pPr>
        <w:pStyle w:val="Heading2"/>
        <w:spacing w:after="150" w:before="300"/>
      </w:pPr>
      <w:r>
        <w:t xml:space="preserve">7.17 Developer Notes</w:t>
      </w:r>
    </w:p>
    <w:p>
      <w:pPr>
        <w:pStyle w:val="ListParagraph"/>
        <w:numPr>
          <w:ilvl w:val="0"/>
          <w:numId w:val="1"/>
        </w:numPr>
        <w:spacing w:after="80"/>
      </w:pPr>
      <w:r>
        <w:t xml:space="preserve">Field-level confidence scores must be returned by the Resume Parser service (Volume 7/8) alongside extracted values, not computed client-side, so scoring logic stays centralized and auditable</w:t>
      </w:r>
    </w:p>
    <w:p>
      <w:pPr>
        <w:pStyle w:val="ListParagraph"/>
        <w:numPr>
          <w:ilvl w:val="0"/>
          <w:numId w:val="1"/>
        </w:numPr>
        <w:spacing w:after="80"/>
      </w:pPr>
      <w:r>
        <w:t xml:space="preserve">User edits to low-confidence fields should be captured as labeled training signal (with consent) to improve the parser over time, per the continuous feedback loop principle in Volume 1 §4.2</w:t>
      </w:r>
    </w:p>
    <w:p>
      <w:pPr>
        <w:pStyle w:val="Heading1"/>
        <w:spacing w:after="200" w:before="400"/>
      </w:pPr>
      <w:r>
        <w:t xml:space="preserve">8. Page Specification: ATS Dashboard</w:t>
      </w:r>
    </w:p>
    <w:p>
      <w:pPr>
        <w:pStyle w:val="Heading2"/>
        <w:spacing w:after="150" w:before="300"/>
      </w:pPr>
      <w:r>
        <w:t xml:space="preserve">8.1 Purpose</w:t>
      </w:r>
    </w:p>
    <w:p>
      <w:pPr>
        <w:spacing w:after="160"/>
        <w:jc w:val="both"/>
      </w:pPr>
      <w:r>
        <w:t xml:space="preserve">Present the user's ATS score with a full, explainable breakdown, and surface actionable optimization suggestions tied to specific job descriptions.</w:t>
      </w:r>
    </w:p>
    <w:p>
      <w:pPr>
        <w:pStyle w:val="Heading2"/>
        <w:spacing w:after="150" w:before="300"/>
      </w:pPr>
      <w:r>
        <w:t xml:space="preserve">8.2 Goals</w:t>
      </w:r>
    </w:p>
    <w:p>
      <w:pPr>
        <w:pStyle w:val="ListParagraph"/>
        <w:numPr>
          <w:ilvl w:val="0"/>
          <w:numId w:val="1"/>
        </w:numPr>
        <w:spacing w:after="80"/>
      </w:pPr>
      <w:r>
        <w:t xml:space="preserve">Show a single overall ATS score alongside its contributing category sub-scores, never a bare number (Section 1.3)</w:t>
      </w:r>
    </w:p>
    <w:p>
      <w:pPr>
        <w:pStyle w:val="ListParagraph"/>
        <w:numPr>
          <w:ilvl w:val="0"/>
          <w:numId w:val="1"/>
        </w:numPr>
        <w:spacing w:after="80"/>
      </w:pPr>
      <w:r>
        <w:t xml:space="preserve">Allow the user to compare their resume's fit against a specific target job description</w:t>
      </w:r>
    </w:p>
    <w:p>
      <w:pPr>
        <w:pStyle w:val="ListParagraph"/>
        <w:numPr>
          <w:ilvl w:val="0"/>
          <w:numId w:val="1"/>
        </w:numPr>
        <w:spacing w:after="80"/>
      </w:pPr>
      <w:r>
        <w:t xml:space="preserve">Present AI suggestions with clear before/after impact so users can prioritize edits</w:t>
      </w:r>
    </w:p>
    <w:p>
      <w:pPr>
        <w:pStyle w:val="Heading2"/>
        <w:spacing w:after="150" w:before="300"/>
      </w:pPr>
      <w:r>
        <w:t xml:space="preserve">8.3 Layout</w:t>
      </w:r>
    </w:p>
    <w:p>
      <w:pPr>
        <w:spacing w:after="160"/>
        <w:jc w:val="both"/>
      </w:pPr>
      <w:r>
        <w:t xml:space="preserve">Top summary band with overall score and radial/segmented category breakdown, followed by a tabbed or accordion detail view per category (Keywords, Formatting, Structure, Quantification), followed by a job-description comparison tool and a ranked suggestions list.</w:t>
      </w:r>
    </w:p>
    <w:p>
      <w:pPr>
        <w:pStyle w:val="Heading2"/>
        <w:spacing w:after="150" w:before="300"/>
      </w:pPr>
      <w:r>
        <w:t xml:space="preserve">8.4 Wireframe Description</w:t>
      </w:r>
    </w:p>
    <w:p>
      <w:pPr>
        <w:spacing w:after="160"/>
        <w:jc w:val="both"/>
      </w:pPr>
      <w:r>
        <w:t xml:space="preserve">Top band: large circular score gauge (0–100) center-left, four category mini-bars to the right (Keywords, Formatting, Structure, Quantification) each with its own 0–100 value. Below: 'Compare against a job description' input box where the user pastes/selects a target job. Below that: a ranked list of suggestion cards, each showing the issue, the suggested fix, and the estimated score-point impact, with Accept/Edit/Dismiss controls per Volume 1 FR-09.</w:t>
      </w:r>
    </w:p>
    <w:p>
      <w:pPr>
        <w:pStyle w:val="Heading2"/>
        <w:spacing w:after="150" w:before="300"/>
      </w:pPr>
      <w:r>
        <w:t xml:space="preserve">8.5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80"/>
              <w:left w:type="dxa" w:w="100"/>
              <w:bottom w:type="dxa" w:w="80"/>
              <w:right w:type="dxa" w:w="100"/>
            </w:tcMar>
          </w:tcPr>
          <w:p>
            <w:r>
              <w:rPr>
                <w:b/>
                <w:bCs/>
                <w:color w:val="FFFFFF"/>
                <w:sz w:val="20"/>
                <w:szCs w:val="20"/>
              </w:rPr>
              <w:t xml:space="preserve">Component</w:t>
            </w:r>
          </w:p>
        </w:tc>
        <w:tc>
          <w:tcPr>
            <w:tcW w:type="dxa" w:w="6750"/>
            <w:shd w:fill="1B2A4A"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Score Gauge</w:t>
            </w:r>
          </w:p>
        </w:tc>
        <w:tc>
          <w:tcPr>
            <w:tcW w:type="dxa" w:w="6750"/>
            <w:tcMar>
              <w:top w:type="dxa" w:w="80"/>
              <w:left w:type="dxa" w:w="100"/>
              <w:bottom w:type="dxa" w:w="80"/>
              <w:right w:type="dxa" w:w="100"/>
            </w:tcMar>
          </w:tcPr>
          <w:p>
            <w:r>
              <w:rPr>
                <w:b w:val="false"/>
                <w:bCs w:val="false"/>
                <w:sz w:val="20"/>
                <w:szCs w:val="20"/>
              </w:rPr>
              <w:t xml:space="preserve">Circular/radial gauge displaying the overall 0–100 ATS score with color banding</w:t>
            </w:r>
          </w:p>
        </w:tc>
      </w:tr>
      <w:tr>
        <w:tc>
          <w:tcPr>
            <w:tcW w:type="dxa" w:w="2600"/>
            <w:tcMar>
              <w:top w:type="dxa" w:w="80"/>
              <w:left w:type="dxa" w:w="100"/>
              <w:bottom w:type="dxa" w:w="80"/>
              <w:right w:type="dxa" w:w="100"/>
            </w:tcMar>
          </w:tcPr>
          <w:p>
            <w:r>
              <w:rPr>
                <w:b w:val="false"/>
                <w:bCs w:val="false"/>
                <w:sz w:val="20"/>
                <w:szCs w:val="20"/>
              </w:rPr>
              <w:t xml:space="preserve">Category Mini-Bar</w:t>
            </w:r>
          </w:p>
        </w:tc>
        <w:tc>
          <w:tcPr>
            <w:tcW w:type="dxa" w:w="6750"/>
            <w:tcMar>
              <w:top w:type="dxa" w:w="80"/>
              <w:left w:type="dxa" w:w="100"/>
              <w:bottom w:type="dxa" w:w="80"/>
              <w:right w:type="dxa" w:w="100"/>
            </w:tcMar>
          </w:tcPr>
          <w:p>
            <w:r>
              <w:rPr>
                <w:b w:val="false"/>
                <w:bCs w:val="false"/>
                <w:sz w:val="20"/>
                <w:szCs w:val="20"/>
              </w:rPr>
              <w:t xml:space="preserve">Horizontal bar per sub-category with numeric value</w:t>
            </w:r>
          </w:p>
        </w:tc>
      </w:tr>
      <w:tr>
        <w:tc>
          <w:tcPr>
            <w:tcW w:type="dxa" w:w="2600"/>
            <w:tcMar>
              <w:top w:type="dxa" w:w="80"/>
              <w:left w:type="dxa" w:w="100"/>
              <w:bottom w:type="dxa" w:w="80"/>
              <w:right w:type="dxa" w:w="100"/>
            </w:tcMar>
          </w:tcPr>
          <w:p>
            <w:r>
              <w:rPr>
                <w:b w:val="false"/>
                <w:bCs w:val="false"/>
                <w:sz w:val="20"/>
                <w:szCs w:val="20"/>
              </w:rPr>
              <w:t xml:space="preserve">Job Description Comparator</w:t>
            </w:r>
          </w:p>
        </w:tc>
        <w:tc>
          <w:tcPr>
            <w:tcW w:type="dxa" w:w="6750"/>
            <w:tcMar>
              <w:top w:type="dxa" w:w="80"/>
              <w:left w:type="dxa" w:w="100"/>
              <w:bottom w:type="dxa" w:w="80"/>
              <w:right w:type="dxa" w:w="100"/>
            </w:tcMar>
          </w:tcPr>
          <w:p>
            <w:r>
              <w:rPr>
                <w:b w:val="false"/>
                <w:bCs w:val="false"/>
                <w:sz w:val="20"/>
                <w:szCs w:val="20"/>
              </w:rPr>
              <w:t xml:space="preserve">Text input/selector to compare resume against a specific posting</w:t>
            </w:r>
          </w:p>
        </w:tc>
      </w:tr>
      <w:tr>
        <w:tc>
          <w:tcPr>
            <w:tcW w:type="dxa" w:w="2600"/>
            <w:tcMar>
              <w:top w:type="dxa" w:w="80"/>
              <w:left w:type="dxa" w:w="100"/>
              <w:bottom w:type="dxa" w:w="80"/>
              <w:right w:type="dxa" w:w="100"/>
            </w:tcMar>
          </w:tcPr>
          <w:p>
            <w:r>
              <w:rPr>
                <w:b w:val="false"/>
                <w:bCs w:val="false"/>
                <w:sz w:val="20"/>
                <w:szCs w:val="20"/>
              </w:rPr>
              <w:t xml:space="preserve">Suggestion Card</w:t>
            </w:r>
          </w:p>
        </w:tc>
        <w:tc>
          <w:tcPr>
            <w:tcW w:type="dxa" w:w="6750"/>
            <w:tcMar>
              <w:top w:type="dxa" w:w="80"/>
              <w:left w:type="dxa" w:w="100"/>
              <w:bottom w:type="dxa" w:w="80"/>
              <w:right w:type="dxa" w:w="100"/>
            </w:tcMar>
          </w:tcPr>
          <w:p>
            <w:r>
              <w:rPr>
                <w:b w:val="false"/>
                <w:bCs w:val="false"/>
                <w:sz w:val="20"/>
                <w:szCs w:val="20"/>
              </w:rPr>
              <w:t xml:space="preserve">Individual AI suggestion with issue description, fix, point-impact estimate, and action controls</w:t>
            </w:r>
          </w:p>
        </w:tc>
      </w:tr>
    </w:tbl>
    <w:p>
      <w:pPr>
        <w:pStyle w:val="Heading2"/>
        <w:spacing w:after="150" w:before="300"/>
      </w:pPr>
      <w:r>
        <w:t xml:space="preserve">8.6 Typography</w:t>
      </w:r>
    </w:p>
    <w:p>
      <w:pPr>
        <w:spacing w:after="160"/>
        <w:jc w:val="both"/>
      </w:pPr>
      <w:r>
        <w:t xml:space="preserve">Overall score numeral uses Type-Display within the gauge. Category labels use Type-Label. Suggestion card titles use Type-H3, body text Type-Body.</w:t>
      </w:r>
    </w:p>
    <w:p>
      <w:pPr>
        <w:pStyle w:val="Heading2"/>
        <w:spacing w:after="150" w:before="300"/>
      </w:pPr>
      <w:r>
        <w:t xml:space="preserve">8.7 Spacing</w:t>
      </w:r>
    </w:p>
    <w:p>
      <w:pPr>
        <w:spacing w:after="160"/>
        <w:jc w:val="both"/>
      </w:pPr>
      <w:r>
        <w:t xml:space="preserve">Top band internal padding Space-5. Suggestion cards separated by Space-3 in a vertical list.</w:t>
      </w:r>
    </w:p>
    <w:p>
      <w:pPr>
        <w:pStyle w:val="Heading2"/>
        <w:spacing w:after="150" w:before="300"/>
      </w:pPr>
      <w:r>
        <w:t xml:space="preserve">8.8 Colors</w:t>
      </w:r>
    </w:p>
    <w:p>
      <w:pPr>
        <w:spacing w:after="160"/>
        <w:jc w:val="both"/>
      </w:pPr>
      <w:r>
        <w:t xml:space="preserve">Score gauge and category bars use the three-tier scale: Success-Green ≥85, Warning-Amber 60–84, Error-Red &lt;60, consistent with the Match Score Badge convention in Section 6.8 for visual consistency across the product.</w:t>
      </w:r>
    </w:p>
    <w:p>
      <w:pPr>
        <w:pStyle w:val="Heading2"/>
        <w:spacing w:after="150" w:before="300"/>
      </w:pPr>
      <w:r>
        <w:t xml:space="preserve">8.9 Animations</w:t>
      </w:r>
    </w:p>
    <w:p>
      <w:pPr>
        <w:pStyle w:val="ListParagraph"/>
        <w:numPr>
          <w:ilvl w:val="0"/>
          <w:numId w:val="1"/>
        </w:numPr>
        <w:spacing w:after="80"/>
      </w:pPr>
      <w:r>
        <w:t xml:space="preserve">Score gauge fills from 0 to its value with an ease-out animation (600ms) on first render</w:t>
      </w:r>
    </w:p>
    <w:p>
      <w:pPr>
        <w:pStyle w:val="ListParagraph"/>
        <w:numPr>
          <w:ilvl w:val="0"/>
          <w:numId w:val="1"/>
        </w:numPr>
        <w:spacing w:after="80"/>
      </w:pPr>
      <w:r>
        <w:t xml:space="preserve">Suggestion cards collapse with a fade-and-collapse (150ms) when dismissed or accepted</w:t>
      </w:r>
    </w:p>
    <w:p>
      <w:pPr>
        <w:pStyle w:val="Heading2"/>
        <w:spacing w:after="150" w:before="300"/>
      </w:pPr>
      <w:r>
        <w:t xml:space="preserve">8.10 Icons</w:t>
      </w:r>
    </w:p>
    <w:p>
      <w:pPr>
        <w:spacing w:after="160"/>
        <w:jc w:val="both"/>
      </w:pPr>
      <w:r>
        <w:t xml:space="preserve">Category icons: hash/tag icon (Keywords), document-layout icon (Formatting), list icon (Structure), chart icon (Quantification). Accept (check), Edit (pencil), Dismiss (x) icons on suggestion cards.</w:t>
      </w:r>
    </w:p>
    <w:p>
      <w:pPr>
        <w:pStyle w:val="Heading2"/>
        <w:spacing w:after="150" w:before="300"/>
      </w:pPr>
      <w:r>
        <w:t xml:space="preserve">8.11 Accessibility</w:t>
      </w:r>
    </w:p>
    <w:p>
      <w:pPr>
        <w:pStyle w:val="ListParagraph"/>
        <w:numPr>
          <w:ilvl w:val="0"/>
          <w:numId w:val="1"/>
        </w:numPr>
        <w:spacing w:after="80"/>
      </w:pPr>
      <w:r>
        <w:t xml:space="preserve">Score gauge has a text-equivalent summary (e.g., 'Overall ATS score: 78 out of 100, Good') read by screen readers instead of relying on the visual gauge</w:t>
      </w:r>
    </w:p>
    <w:p>
      <w:pPr>
        <w:pStyle w:val="ListParagraph"/>
        <w:numPr>
          <w:ilvl w:val="0"/>
          <w:numId w:val="1"/>
        </w:numPr>
        <w:spacing w:after="80"/>
      </w:pPr>
      <w:r>
        <w:t xml:space="preserve">Suggestion card point-impact estimates are stated in text ('+4 points'), not conveyed by size/color of a bar alone</w:t>
      </w:r>
    </w:p>
    <w:p>
      <w:pPr>
        <w:pStyle w:val="ListParagraph"/>
        <w:numPr>
          <w:ilvl w:val="0"/>
          <w:numId w:val="1"/>
        </w:numPr>
        <w:spacing w:after="80"/>
      </w:pPr>
      <w:r>
        <w:t xml:space="preserve">All three suggestion actions (Accept/Edit/Dismiss) are independently keyboard-operable, per Volume 1 FR-09</w:t>
      </w:r>
    </w:p>
    <w:p>
      <w:pPr>
        <w:pStyle w:val="Heading2"/>
        <w:spacing w:after="150" w:before="300"/>
      </w:pPr>
      <w:r>
        <w:t xml:space="preserve">8.12 Responsive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B2A4A" w:val="clear"/>
            <w:tcMar>
              <w:top w:type="dxa" w:w="80"/>
              <w:left w:type="dxa" w:w="100"/>
              <w:bottom w:type="dxa" w:w="80"/>
              <w:right w:type="dxa" w:w="100"/>
            </w:tcMar>
          </w:tcPr>
          <w:p>
            <w:r>
              <w:rPr>
                <w:b/>
                <w:bCs/>
                <w:color w:val="FFFFFF"/>
                <w:sz w:val="20"/>
                <w:szCs w:val="20"/>
              </w:rPr>
              <w:t xml:space="preserve">Breakpoint</w:t>
            </w:r>
          </w:p>
        </w:tc>
        <w:tc>
          <w:tcPr>
            <w:tcW w:type="dxa" w:w="7550"/>
            <w:shd w:fill="1B2A4A" w:val="clear"/>
            <w:tcMar>
              <w:top w:type="dxa" w:w="80"/>
              <w:left w:type="dxa" w:w="100"/>
              <w:bottom w:type="dxa" w:w="80"/>
              <w:right w:type="dxa" w:w="100"/>
            </w:tcMar>
          </w:tcPr>
          <w:p>
            <w:r>
              <w:rPr>
                <w:b/>
                <w:bCs/>
                <w:color w:val="FFFFFF"/>
                <w:sz w:val="20"/>
                <w:szCs w:val="20"/>
              </w:rPr>
              <w:t xml:space="preserve">Behavior</w:t>
            </w:r>
          </w:p>
        </w:tc>
      </w:tr>
      <w:tr>
        <w:tc>
          <w:tcPr>
            <w:tcW w:type="dxa" w:w="1800"/>
            <w:tcMar>
              <w:top w:type="dxa" w:w="80"/>
              <w:left w:type="dxa" w:w="100"/>
              <w:bottom w:type="dxa" w:w="80"/>
              <w:right w:type="dxa" w:w="100"/>
            </w:tcMar>
          </w:tcPr>
          <w:p>
            <w:r>
              <w:rPr>
                <w:b w:val="false"/>
                <w:bCs w:val="false"/>
                <w:sz w:val="20"/>
                <w:szCs w:val="20"/>
              </w:rPr>
              <w:t xml:space="preserve">Mobile</w:t>
            </w:r>
          </w:p>
        </w:tc>
        <w:tc>
          <w:tcPr>
            <w:tcW w:type="dxa" w:w="7550"/>
            <w:tcMar>
              <w:top w:type="dxa" w:w="80"/>
              <w:left w:type="dxa" w:w="100"/>
              <w:bottom w:type="dxa" w:w="80"/>
              <w:right w:type="dxa" w:w="100"/>
            </w:tcMar>
          </w:tcPr>
          <w:p>
            <w:r>
              <w:rPr>
                <w:b w:val="false"/>
                <w:bCs w:val="false"/>
                <w:sz w:val="20"/>
                <w:szCs w:val="20"/>
              </w:rPr>
              <w:t xml:space="preserve">Score gauge and category bars stack vertically; suggestion cards remain full-width single column</w:t>
            </w:r>
          </w:p>
        </w:tc>
      </w:tr>
      <w:tr>
        <w:tc>
          <w:tcPr>
            <w:tcW w:type="dxa" w:w="1800"/>
            <w:tcMar>
              <w:top w:type="dxa" w:w="80"/>
              <w:left w:type="dxa" w:w="100"/>
              <w:bottom w:type="dxa" w:w="80"/>
              <w:right w:type="dxa" w:w="100"/>
            </w:tcMar>
          </w:tcPr>
          <w:p>
            <w:r>
              <w:rPr>
                <w:b w:val="false"/>
                <w:bCs w:val="false"/>
                <w:sz w:val="20"/>
                <w:szCs w:val="20"/>
              </w:rPr>
              <w:t xml:space="preserve">Tablet+</w:t>
            </w:r>
          </w:p>
        </w:tc>
        <w:tc>
          <w:tcPr>
            <w:tcW w:type="dxa" w:w="7550"/>
            <w:tcMar>
              <w:top w:type="dxa" w:w="80"/>
              <w:left w:type="dxa" w:w="100"/>
              <w:bottom w:type="dxa" w:w="80"/>
              <w:right w:type="dxa" w:w="100"/>
            </w:tcMar>
          </w:tcPr>
          <w:p>
            <w:r>
              <w:rPr>
                <w:b w:val="false"/>
                <w:bCs w:val="false"/>
                <w:sz w:val="20"/>
                <w:szCs w:val="20"/>
              </w:rPr>
              <w:t xml:space="preserve">Score gauge and category bars sit side-by-side in the summary band</w:t>
            </w:r>
          </w:p>
        </w:tc>
      </w:tr>
    </w:tbl>
    <w:p>
      <w:pPr>
        <w:pStyle w:val="Heading2"/>
        <w:spacing w:after="150" w:before="300"/>
      </w:pPr>
      <w:r>
        <w:t xml:space="preserve">8.13 Empty States</w:t>
      </w:r>
    </w:p>
    <w:p>
      <w:pPr>
        <w:spacing w:after="160"/>
        <w:jc w:val="both"/>
      </w:pPr>
      <w:r>
        <w:t xml:space="preserve">If no ATS score has been computed yet (resume incomplete), show a prompt: 'Complete your resume to see your ATS score' linking back to Resume Analyzer/Builder, in place of the gauge.</w:t>
      </w:r>
    </w:p>
    <w:p>
      <w:pPr>
        <w:pStyle w:val="Heading2"/>
        <w:spacing w:after="150" w:before="300"/>
      </w:pPr>
      <w:r>
        <w:t xml:space="preserve">8.14 Loading States</w:t>
      </w:r>
    </w:p>
    <w:p>
      <w:pPr>
        <w:spacing w:after="160"/>
        <w:jc w:val="both"/>
      </w:pPr>
      <w:r>
        <w:t xml:space="preserve">While a new score is computing (e.g., after edits), the gauge shows an indeterminate spinner state in place of the numeral, and category bars show a shimmer placeholder, per the Volume 1 NFR target of P95 &lt; 2.5s for score computation.</w:t>
      </w:r>
    </w:p>
    <w:p>
      <w:pPr>
        <w:pStyle w:val="Heading2"/>
        <w:spacing w:after="150" w:before="300"/>
      </w:pPr>
      <w:r>
        <w:t xml:space="preserve">8.15 Validation</w:t>
      </w:r>
    </w:p>
    <w:p>
      <w:pPr>
        <w:pStyle w:val="ListParagraph"/>
        <w:numPr>
          <w:ilvl w:val="0"/>
          <w:numId w:val="1"/>
        </w:numPr>
        <w:spacing w:after="80"/>
      </w:pPr>
      <w:r>
        <w:t xml:space="preserve">Job Description Comparator requires non-empty input of a minimum length before enabling the 'Compare' action, to avoid low-quality comparisons against trivial text</w:t>
      </w:r>
    </w:p>
    <w:p>
      <w:pPr>
        <w:pStyle w:val="Heading2"/>
        <w:spacing w:after="150" w:before="300"/>
      </w:pPr>
      <w:r>
        <w:t xml:space="preserve">8.16 Acceptance Criteria</w:t>
      </w:r>
    </w:p>
    <w:p>
      <w:pPr>
        <w:pStyle w:val="ListParagraph"/>
        <w:numPr>
          <w:ilvl w:val="0"/>
          <w:numId w:val="1"/>
        </w:numPr>
        <w:spacing w:after="80"/>
      </w:pPr>
      <w:r>
        <w:t xml:space="preserve">Given a completed resume, when the ATS Dashboard loads, then an overall score and four category sub-scores are displayed, per Volume 1 FR-07</w:t>
      </w:r>
    </w:p>
    <w:p>
      <w:pPr>
        <w:pStyle w:val="ListParagraph"/>
        <w:numPr>
          <w:ilvl w:val="0"/>
          <w:numId w:val="1"/>
        </w:numPr>
        <w:spacing w:after="80"/>
      </w:pPr>
      <w:r>
        <w:t xml:space="preserve">Given a pasted job description, when compared, then suggestions are re-ranked and scored specifically against that job description's requirements, per Volume 1 FR-08</w:t>
      </w:r>
    </w:p>
    <w:p>
      <w:pPr>
        <w:pStyle w:val="ListParagraph"/>
        <w:numPr>
          <w:ilvl w:val="0"/>
          <w:numId w:val="1"/>
        </w:numPr>
        <w:spacing w:after="80"/>
      </w:pPr>
      <w:r>
        <w:t xml:space="preserve">Given a suggestion is accepted, when applied, then the resume content updates and the overall score recalculates to reflect the estimated impact</w:t>
      </w:r>
    </w:p>
    <w:p>
      <w:pPr>
        <w:pStyle w:val="Heading2"/>
        <w:spacing w:after="150" w:before="300"/>
      </w:pPr>
      <w:r>
        <w:t xml:space="preserve">8.17 Developer Notes</w:t>
      </w:r>
    </w:p>
    <w:p>
      <w:pPr>
        <w:pStyle w:val="ListParagraph"/>
        <w:numPr>
          <w:ilvl w:val="0"/>
          <w:numId w:val="1"/>
        </w:numPr>
        <w:spacing w:after="80"/>
      </w:pPr>
      <w:r>
        <w:t xml:space="preserve">Category sub-scores and the overall score must be computed by the same ATS Engine call (Volume 8) to guarantee the displayed breakdown always sums/relates consistently to the total — the frontend must never compute or estimate scores independently</w:t>
      </w:r>
    </w:p>
    <w:p>
      <w:pPr>
        <w:pStyle w:val="ListParagraph"/>
        <w:numPr>
          <w:ilvl w:val="0"/>
          <w:numId w:val="1"/>
        </w:numPr>
        <w:spacing w:after="80"/>
      </w:pPr>
      <w:r>
        <w:t xml:space="preserve">Suggestion point-impact estimates must be computed by re-running the scoring model against the proposed edit, not heuristically guessed, to preserve the truthful-AI principle (Volume 1 §7.1.1)</w:t>
      </w:r>
    </w:p>
    <w:p>
      <w:pPr>
        <w:pStyle w:val="Heading1"/>
        <w:spacing w:after="200" w:before="400"/>
      </w:pPr>
      <w:r>
        <w:t xml:space="preserve">9. Page Specification: Resume Builder</w:t>
      </w:r>
    </w:p>
    <w:p>
      <w:pPr>
        <w:pStyle w:val="Heading2"/>
        <w:spacing w:after="150" w:before="300"/>
      </w:pPr>
      <w:r>
        <w:t xml:space="preserve">9.1 Purpose</w:t>
      </w:r>
    </w:p>
    <w:p>
      <w:pPr>
        <w:spacing w:after="160"/>
        <w:jc w:val="both"/>
      </w:pPr>
      <w:r>
        <w:t xml:space="preserve">Allow users with no existing resume (e.g., students/new graduates) to construct a professional, ATS-ready resume from a guided, section-by-section flow.</w:t>
      </w:r>
    </w:p>
    <w:p>
      <w:pPr>
        <w:pStyle w:val="Heading2"/>
        <w:spacing w:after="150" w:before="300"/>
      </w:pPr>
      <w:r>
        <w:t xml:space="preserve">9.2 Goals</w:t>
      </w:r>
    </w:p>
    <w:p>
      <w:pPr>
        <w:pStyle w:val="ListParagraph"/>
        <w:numPr>
          <w:ilvl w:val="0"/>
          <w:numId w:val="1"/>
        </w:numPr>
        <w:spacing w:after="80"/>
      </w:pPr>
      <w:r>
        <w:t xml:space="preserve">Guide users with limited experience toward strong phrasing for academic projects and limited work history</w:t>
      </w:r>
    </w:p>
    <w:p>
      <w:pPr>
        <w:pStyle w:val="ListParagraph"/>
        <w:numPr>
          <w:ilvl w:val="0"/>
          <w:numId w:val="1"/>
        </w:numPr>
        <w:spacing w:after="80"/>
      </w:pPr>
      <w:r>
        <w:t xml:space="preserve">Provide live ATS scoring feedback as the resume is built, not only after completion</w:t>
      </w:r>
    </w:p>
    <w:p>
      <w:pPr>
        <w:pStyle w:val="ListParagraph"/>
        <w:numPr>
          <w:ilvl w:val="0"/>
          <w:numId w:val="1"/>
        </w:numPr>
        <w:spacing w:after="80"/>
      </w:pPr>
      <w:r>
        <w:t xml:space="preserve">Support export to a polished, ATS-safe document format</w:t>
      </w:r>
    </w:p>
    <w:p>
      <w:pPr>
        <w:pStyle w:val="Heading2"/>
        <w:spacing w:after="150" w:before="300"/>
      </w:pPr>
      <w:r>
        <w:t xml:space="preserve">9.3 Layout</w:t>
      </w:r>
    </w:p>
    <w:p>
      <w:pPr>
        <w:spacing w:after="160"/>
        <w:jc w:val="both"/>
      </w:pPr>
      <w:r>
        <w:t xml:space="preserve">Step-based wizard on the left (Contact → Summary → Experience/Projects → Education → Skills → Review) with a live resume preview on the right that updates as each step is completed.</w:t>
      </w:r>
    </w:p>
    <w:p>
      <w:pPr>
        <w:pStyle w:val="Heading2"/>
        <w:spacing w:after="150" w:before="300"/>
      </w:pPr>
      <w:r>
        <w:t xml:space="preserve">9.4 Wireframe Description</w:t>
      </w:r>
    </w:p>
    <w:p>
      <w:pPr>
        <w:spacing w:after="160"/>
        <w:jc w:val="both"/>
      </w:pPr>
      <w:r>
        <w:t xml:space="preserve">Left: vertical step list with current step highlighted, each step expandable to its form fields. Right: live-rendering resume preview in a clean ATS-safe template, with a small floating ATS score indicator pinned to the top of the preview that updates as fields are filled. Bottom of the wizard: 'Save &amp; Continue' and 'Skip for now' controls per step where applicable.</w:t>
      </w:r>
    </w:p>
    <w:p>
      <w:pPr>
        <w:pStyle w:val="Heading2"/>
        <w:spacing w:after="150" w:before="300"/>
      </w:pPr>
      <w:r>
        <w:t xml:space="preserve">9.5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80"/>
              <w:left w:type="dxa" w:w="100"/>
              <w:bottom w:type="dxa" w:w="80"/>
              <w:right w:type="dxa" w:w="100"/>
            </w:tcMar>
          </w:tcPr>
          <w:p>
            <w:r>
              <w:rPr>
                <w:b/>
                <w:bCs/>
                <w:color w:val="FFFFFF"/>
                <w:sz w:val="20"/>
                <w:szCs w:val="20"/>
              </w:rPr>
              <w:t xml:space="preserve">Component</w:t>
            </w:r>
          </w:p>
        </w:tc>
        <w:tc>
          <w:tcPr>
            <w:tcW w:type="dxa" w:w="6750"/>
            <w:shd w:fill="1B2A4A"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Step List</w:t>
            </w:r>
          </w:p>
        </w:tc>
        <w:tc>
          <w:tcPr>
            <w:tcW w:type="dxa" w:w="6750"/>
            <w:tcMar>
              <w:top w:type="dxa" w:w="80"/>
              <w:left w:type="dxa" w:w="100"/>
              <w:bottom w:type="dxa" w:w="80"/>
              <w:right w:type="dxa" w:w="100"/>
            </w:tcMar>
          </w:tcPr>
          <w:p>
            <w:r>
              <w:rPr>
                <w:b w:val="false"/>
                <w:bCs w:val="false"/>
                <w:sz w:val="20"/>
                <w:szCs w:val="20"/>
              </w:rPr>
              <w:t xml:space="preserve">Vertical wizard navigation with completion checkmarks per step</w:t>
            </w:r>
          </w:p>
        </w:tc>
      </w:tr>
      <w:tr>
        <w:tc>
          <w:tcPr>
            <w:tcW w:type="dxa" w:w="2600"/>
            <w:tcMar>
              <w:top w:type="dxa" w:w="80"/>
              <w:left w:type="dxa" w:w="100"/>
              <w:bottom w:type="dxa" w:w="80"/>
              <w:right w:type="dxa" w:w="100"/>
            </w:tcMar>
          </w:tcPr>
          <w:p>
            <w:r>
              <w:rPr>
                <w:b w:val="false"/>
                <w:bCs w:val="false"/>
                <w:sz w:val="20"/>
                <w:szCs w:val="20"/>
              </w:rPr>
              <w:t xml:space="preserve">Dynamic Form Section</w:t>
            </w:r>
          </w:p>
        </w:tc>
        <w:tc>
          <w:tcPr>
            <w:tcW w:type="dxa" w:w="6750"/>
            <w:tcMar>
              <w:top w:type="dxa" w:w="80"/>
              <w:left w:type="dxa" w:w="100"/>
              <w:bottom w:type="dxa" w:w="80"/>
              <w:right w:type="dxa" w:w="100"/>
            </w:tcMar>
          </w:tcPr>
          <w:p>
            <w:r>
              <w:rPr>
                <w:b w:val="false"/>
                <w:bCs w:val="false"/>
                <w:sz w:val="20"/>
                <w:szCs w:val="20"/>
              </w:rPr>
              <w:t xml:space="preserve">Field set specific to the active step (e.g., repeatable Experience entries)</w:t>
            </w:r>
          </w:p>
        </w:tc>
      </w:tr>
      <w:tr>
        <w:tc>
          <w:tcPr>
            <w:tcW w:type="dxa" w:w="2600"/>
            <w:tcMar>
              <w:top w:type="dxa" w:w="80"/>
              <w:left w:type="dxa" w:w="100"/>
              <w:bottom w:type="dxa" w:w="80"/>
              <w:right w:type="dxa" w:w="100"/>
            </w:tcMar>
          </w:tcPr>
          <w:p>
            <w:r>
              <w:rPr>
                <w:b w:val="false"/>
                <w:bCs w:val="false"/>
                <w:sz w:val="20"/>
                <w:szCs w:val="20"/>
              </w:rPr>
              <w:t xml:space="preserve">Live Preview Pane</w:t>
            </w:r>
          </w:p>
        </w:tc>
        <w:tc>
          <w:tcPr>
            <w:tcW w:type="dxa" w:w="6750"/>
            <w:tcMar>
              <w:top w:type="dxa" w:w="80"/>
              <w:left w:type="dxa" w:w="100"/>
              <w:bottom w:type="dxa" w:w="80"/>
              <w:right w:type="dxa" w:w="100"/>
            </w:tcMar>
          </w:tcPr>
          <w:p>
            <w:r>
              <w:rPr>
                <w:b w:val="false"/>
                <w:bCs w:val="false"/>
                <w:sz w:val="20"/>
                <w:szCs w:val="20"/>
              </w:rPr>
              <w:t xml:space="preserve">Real-time rendered resume reflecting current form state</w:t>
            </w:r>
          </w:p>
        </w:tc>
      </w:tr>
      <w:tr>
        <w:tc>
          <w:tcPr>
            <w:tcW w:type="dxa" w:w="2600"/>
            <w:tcMar>
              <w:top w:type="dxa" w:w="80"/>
              <w:left w:type="dxa" w:w="100"/>
              <w:bottom w:type="dxa" w:w="80"/>
              <w:right w:type="dxa" w:w="100"/>
            </w:tcMar>
          </w:tcPr>
          <w:p>
            <w:r>
              <w:rPr>
                <w:b w:val="false"/>
                <w:bCs w:val="false"/>
                <w:sz w:val="20"/>
                <w:szCs w:val="20"/>
              </w:rPr>
              <w:t xml:space="preserve">Floating Score Chip</w:t>
            </w:r>
          </w:p>
        </w:tc>
        <w:tc>
          <w:tcPr>
            <w:tcW w:type="dxa" w:w="6750"/>
            <w:tcMar>
              <w:top w:type="dxa" w:w="80"/>
              <w:left w:type="dxa" w:w="100"/>
              <w:bottom w:type="dxa" w:w="80"/>
              <w:right w:type="dxa" w:w="100"/>
            </w:tcMar>
          </w:tcPr>
          <w:p>
            <w:r>
              <w:rPr>
                <w:b w:val="false"/>
                <w:bCs w:val="false"/>
                <w:sz w:val="20"/>
                <w:szCs w:val="20"/>
              </w:rPr>
              <w:t xml:space="preserve">Small persistent ATS score indicator visible while building</w:t>
            </w:r>
          </w:p>
        </w:tc>
      </w:tr>
      <w:tr>
        <w:tc>
          <w:tcPr>
            <w:tcW w:type="dxa" w:w="2600"/>
            <w:tcMar>
              <w:top w:type="dxa" w:w="80"/>
              <w:left w:type="dxa" w:w="100"/>
              <w:bottom w:type="dxa" w:w="80"/>
              <w:right w:type="dxa" w:w="100"/>
            </w:tcMar>
          </w:tcPr>
          <w:p>
            <w:r>
              <w:rPr>
                <w:b w:val="false"/>
                <w:bCs w:val="false"/>
                <w:sz w:val="20"/>
                <w:szCs w:val="20"/>
              </w:rPr>
              <w:t xml:space="preserve">AI Phrasing Assist</w:t>
            </w:r>
          </w:p>
        </w:tc>
        <w:tc>
          <w:tcPr>
            <w:tcW w:type="dxa" w:w="6750"/>
            <w:tcMar>
              <w:top w:type="dxa" w:w="80"/>
              <w:left w:type="dxa" w:w="100"/>
              <w:bottom w:type="dxa" w:w="80"/>
              <w:right w:type="dxa" w:w="100"/>
            </w:tcMar>
          </w:tcPr>
          <w:p>
            <w:r>
              <w:rPr>
                <w:b w:val="false"/>
                <w:bCs w:val="false"/>
                <w:sz w:val="20"/>
                <w:szCs w:val="20"/>
              </w:rPr>
              <w:t xml:space="preserve">Inline suggestion control offering to rephrase a bullet point for stronger impact/quantification</w:t>
            </w:r>
          </w:p>
        </w:tc>
      </w:tr>
    </w:tbl>
    <w:p>
      <w:pPr>
        <w:pStyle w:val="Heading2"/>
        <w:spacing w:after="150" w:before="300"/>
      </w:pPr>
      <w:r>
        <w:t xml:space="preserve">9.6 Typography</w:t>
      </w:r>
    </w:p>
    <w:p>
      <w:pPr>
        <w:spacing w:after="160"/>
        <w:jc w:val="both"/>
      </w:pPr>
      <w:r>
        <w:t xml:space="preserve">Step labels use Type-Label. Form field labels Type-Label, input text Type-Body. Live preview uses the actual resume-template typography (defined per template in Volume 3), distinct from app-chrome typography.</w:t>
      </w:r>
    </w:p>
    <w:p>
      <w:pPr>
        <w:pStyle w:val="Heading2"/>
        <w:spacing w:after="150" w:before="300"/>
      </w:pPr>
      <w:r>
        <w:t xml:space="preserve">9.7 Spacing</w:t>
      </w:r>
    </w:p>
    <w:p>
      <w:pPr>
        <w:spacing w:after="160"/>
        <w:jc w:val="both"/>
      </w:pPr>
      <w:r>
        <w:t xml:space="preserve">Wizard step list items separated by Space-3. Form field groups separated by Space-4. Preview pane maintains standard document margins matching real resume export format.</w:t>
      </w:r>
    </w:p>
    <w:p>
      <w:pPr>
        <w:pStyle w:val="Heading2"/>
        <w:spacing w:after="150" w:before="300"/>
      </w:pPr>
      <w:r>
        <w:t xml:space="preserve">9.8 Colors</w:t>
      </w:r>
    </w:p>
    <w:p>
      <w:pPr>
        <w:spacing w:after="160"/>
        <w:jc w:val="both"/>
      </w:pPr>
      <w:r>
        <w:t xml:space="preserve">Floating score chip uses the same three-tier color convention as Section 8 (ATS Dashboard). Active step highlighted with Teal-500 left-border accent.</w:t>
      </w:r>
    </w:p>
    <w:p>
      <w:pPr>
        <w:pStyle w:val="Heading2"/>
        <w:spacing w:after="150" w:before="300"/>
      </w:pPr>
      <w:r>
        <w:t xml:space="preserve">9.9 Animations</w:t>
      </w:r>
    </w:p>
    <w:p>
      <w:pPr>
        <w:pStyle w:val="ListParagraph"/>
        <w:numPr>
          <w:ilvl w:val="0"/>
          <w:numId w:val="1"/>
        </w:numPr>
        <w:spacing w:after="80"/>
      </w:pPr>
      <w:r>
        <w:t xml:space="preserve">Live preview updates with a brief highlight flash (200ms) on the specific section just edited, so users can visually confirm what changed</w:t>
      </w:r>
    </w:p>
    <w:p>
      <w:pPr>
        <w:pStyle w:val="ListParagraph"/>
        <w:numPr>
          <w:ilvl w:val="0"/>
          <w:numId w:val="1"/>
        </w:numPr>
        <w:spacing w:after="80"/>
      </w:pPr>
      <w:r>
        <w:t xml:space="preserve">Step completion checkmark animates in (scale + fade, 150ms) when a step's required fields are satisfied</w:t>
      </w:r>
    </w:p>
    <w:p>
      <w:pPr>
        <w:pStyle w:val="Heading2"/>
        <w:spacing w:after="150" w:before="300"/>
      </w:pPr>
      <w:r>
        <w:t xml:space="preserve">9.10 Icons</w:t>
      </w:r>
    </w:p>
    <w:p>
      <w:pPr>
        <w:spacing w:after="160"/>
        <w:jc w:val="both"/>
      </w:pPr>
      <w:r>
        <w:t xml:space="preserve">Checkmark icon for completed steps. Sparkle/wand icon for AI Phrasing Assist. Plus icon for adding repeatable entries (additional experience/education items).</w:t>
      </w:r>
    </w:p>
    <w:p>
      <w:pPr>
        <w:pStyle w:val="Heading2"/>
        <w:spacing w:after="150" w:before="300"/>
      </w:pPr>
      <w:r>
        <w:t xml:space="preserve">9.11 Accessibility</w:t>
      </w:r>
    </w:p>
    <w:p>
      <w:pPr>
        <w:pStyle w:val="ListParagraph"/>
        <w:numPr>
          <w:ilvl w:val="0"/>
          <w:numId w:val="1"/>
        </w:numPr>
        <w:spacing w:after="80"/>
      </w:pPr>
      <w:r>
        <w:t xml:space="preserve">Step list is navigable via keyboard with clear focus indication; steps are not gated behind mouse-only interaction</w:t>
      </w:r>
    </w:p>
    <w:p>
      <w:pPr>
        <w:pStyle w:val="ListParagraph"/>
        <w:numPr>
          <w:ilvl w:val="0"/>
          <w:numId w:val="1"/>
        </w:numPr>
        <w:spacing w:after="80"/>
      </w:pPr>
      <w:r>
        <w:t xml:space="preserve">AI Phrasing Assist suggestions are presented as text alternatives the user can review before accepting, never auto-applied silently</w:t>
      </w:r>
    </w:p>
    <w:p>
      <w:pPr>
        <w:pStyle w:val="ListParagraph"/>
        <w:numPr>
          <w:ilvl w:val="0"/>
          <w:numId w:val="1"/>
        </w:numPr>
        <w:spacing w:after="80"/>
      </w:pPr>
      <w:r>
        <w:t xml:space="preserve">Live preview pane changes are not the sole feedback mechanism — form-level confirmation (e.g., inline success state) is also provided for screen reader users who may not perceive the visual preview</w:t>
      </w:r>
    </w:p>
    <w:p>
      <w:pPr>
        <w:pStyle w:val="Heading2"/>
        <w:spacing w:after="150" w:before="300"/>
      </w:pPr>
      <w:r>
        <w:t xml:space="preserve">9.12 Responsive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B2A4A" w:val="clear"/>
            <w:tcMar>
              <w:top w:type="dxa" w:w="80"/>
              <w:left w:type="dxa" w:w="100"/>
              <w:bottom w:type="dxa" w:w="80"/>
              <w:right w:type="dxa" w:w="100"/>
            </w:tcMar>
          </w:tcPr>
          <w:p>
            <w:r>
              <w:rPr>
                <w:b/>
                <w:bCs/>
                <w:color w:val="FFFFFF"/>
                <w:sz w:val="20"/>
                <w:szCs w:val="20"/>
              </w:rPr>
              <w:t xml:space="preserve">Breakpoint</w:t>
            </w:r>
          </w:p>
        </w:tc>
        <w:tc>
          <w:tcPr>
            <w:tcW w:type="dxa" w:w="7550"/>
            <w:shd w:fill="1B2A4A" w:val="clear"/>
            <w:tcMar>
              <w:top w:type="dxa" w:w="80"/>
              <w:left w:type="dxa" w:w="100"/>
              <w:bottom w:type="dxa" w:w="80"/>
              <w:right w:type="dxa" w:w="100"/>
            </w:tcMar>
          </w:tcPr>
          <w:p>
            <w:r>
              <w:rPr>
                <w:b/>
                <w:bCs/>
                <w:color w:val="FFFFFF"/>
                <w:sz w:val="20"/>
                <w:szCs w:val="20"/>
              </w:rPr>
              <w:t xml:space="preserve">Behavior</w:t>
            </w:r>
          </w:p>
        </w:tc>
      </w:tr>
      <w:tr>
        <w:tc>
          <w:tcPr>
            <w:tcW w:type="dxa" w:w="1800"/>
            <w:tcMar>
              <w:top w:type="dxa" w:w="80"/>
              <w:left w:type="dxa" w:w="100"/>
              <w:bottom w:type="dxa" w:w="80"/>
              <w:right w:type="dxa" w:w="100"/>
            </w:tcMar>
          </w:tcPr>
          <w:p>
            <w:r>
              <w:rPr>
                <w:b w:val="false"/>
                <w:bCs w:val="false"/>
                <w:sz w:val="20"/>
                <w:szCs w:val="20"/>
              </w:rPr>
              <w:t xml:space="preserve">Mobile</w:t>
            </w:r>
          </w:p>
        </w:tc>
        <w:tc>
          <w:tcPr>
            <w:tcW w:type="dxa" w:w="7550"/>
            <w:tcMar>
              <w:top w:type="dxa" w:w="80"/>
              <w:left w:type="dxa" w:w="100"/>
              <w:bottom w:type="dxa" w:w="80"/>
              <w:right w:type="dxa" w:w="100"/>
            </w:tcMar>
          </w:tcPr>
          <w:p>
            <w:r>
              <w:rPr>
                <w:b w:val="false"/>
                <w:bCs w:val="false"/>
                <w:sz w:val="20"/>
                <w:szCs w:val="20"/>
              </w:rPr>
              <w:t xml:space="preserve">Wizard and preview are presented as separate tabs/views rather than side-by-side, given limited width; user can toggle 'Preview' at any time</w:t>
            </w:r>
          </w:p>
        </w:tc>
      </w:tr>
      <w:tr>
        <w:tc>
          <w:tcPr>
            <w:tcW w:type="dxa" w:w="1800"/>
            <w:tcMar>
              <w:top w:type="dxa" w:w="80"/>
              <w:left w:type="dxa" w:w="100"/>
              <w:bottom w:type="dxa" w:w="80"/>
              <w:right w:type="dxa" w:w="100"/>
            </w:tcMar>
          </w:tcPr>
          <w:p>
            <w:r>
              <w:rPr>
                <w:b w:val="false"/>
                <w:bCs w:val="false"/>
                <w:sz w:val="20"/>
                <w:szCs w:val="20"/>
              </w:rPr>
              <w:t xml:space="preserve">Tablet</w:t>
            </w:r>
          </w:p>
        </w:tc>
        <w:tc>
          <w:tcPr>
            <w:tcW w:type="dxa" w:w="7550"/>
            <w:tcMar>
              <w:top w:type="dxa" w:w="80"/>
              <w:left w:type="dxa" w:w="100"/>
              <w:bottom w:type="dxa" w:w="80"/>
              <w:right w:type="dxa" w:w="100"/>
            </w:tcMar>
          </w:tcPr>
          <w:p>
            <w:r>
              <w:rPr>
                <w:b w:val="false"/>
                <w:bCs w:val="false"/>
                <w:sz w:val="20"/>
                <w:szCs w:val="20"/>
              </w:rPr>
              <w:t xml:space="preserve">Side-by-side layout with a narrower preview pane</w:t>
            </w:r>
          </w:p>
        </w:tc>
      </w:tr>
      <w:tr>
        <w:tc>
          <w:tcPr>
            <w:tcW w:type="dxa" w:w="1800"/>
            <w:tcMar>
              <w:top w:type="dxa" w:w="80"/>
              <w:left w:type="dxa" w:w="100"/>
              <w:bottom w:type="dxa" w:w="80"/>
              <w:right w:type="dxa" w:w="100"/>
            </w:tcMar>
          </w:tcPr>
          <w:p>
            <w:r>
              <w:rPr>
                <w:b w:val="false"/>
                <w:bCs w:val="false"/>
                <w:sz w:val="20"/>
                <w:szCs w:val="20"/>
              </w:rPr>
              <w:t xml:space="preserve">Desktop+</w:t>
            </w:r>
          </w:p>
        </w:tc>
        <w:tc>
          <w:tcPr>
            <w:tcW w:type="dxa" w:w="7550"/>
            <w:tcMar>
              <w:top w:type="dxa" w:w="80"/>
              <w:left w:type="dxa" w:w="100"/>
              <w:bottom w:type="dxa" w:w="80"/>
              <w:right w:type="dxa" w:w="100"/>
            </w:tcMar>
          </w:tcPr>
          <w:p>
            <w:r>
              <w:rPr>
                <w:b w:val="false"/>
                <w:bCs w:val="false"/>
                <w:sz w:val="20"/>
                <w:szCs w:val="20"/>
              </w:rPr>
              <w:t xml:space="preserve">Full side-by-side wizard and live preview</w:t>
            </w:r>
          </w:p>
        </w:tc>
      </w:tr>
    </w:tbl>
    <w:p>
      <w:pPr>
        <w:pStyle w:val="Heading2"/>
        <w:spacing w:after="150" w:before="300"/>
      </w:pPr>
      <w:r>
        <w:t xml:space="preserve">9.13 Empty States</w:t>
      </w:r>
    </w:p>
    <w:p>
      <w:pPr>
        <w:spacing w:after="160"/>
        <w:jc w:val="both"/>
      </w:pPr>
      <w:r>
        <w:t xml:space="preserve">A fresh Resume Builder session begins with the Contact step pre-focused and all other steps shown as empty/incomplete in the step list, with placeholder guidance text in the preview pane (e.g., 'Your resume will appear here as you build it').</w:t>
      </w:r>
    </w:p>
    <w:p>
      <w:pPr>
        <w:pStyle w:val="Heading2"/>
        <w:spacing w:after="150" w:before="300"/>
      </w:pPr>
      <w:r>
        <w:t xml:space="preserve">9.14 Loading States</w:t>
      </w:r>
    </w:p>
    <w:p>
      <w:pPr>
        <w:spacing w:after="160"/>
        <w:jc w:val="both"/>
      </w:pPr>
      <w:r>
        <w:t xml:space="preserve">AI Phrasing Assist shows an inline 'Generating suggestion…' state (small spinner adjacent to the relevant field) while a suggestion is requested, per the Volume 1 NFR target for AI generation latency.</w:t>
      </w:r>
    </w:p>
    <w:p>
      <w:pPr>
        <w:pStyle w:val="Heading2"/>
        <w:spacing w:after="150" w:before="300"/>
      </w:pPr>
      <w:r>
        <w:t xml:space="preserve">9.15 Validation</w:t>
      </w:r>
    </w:p>
    <w:p>
      <w:pPr>
        <w:pStyle w:val="ListParagraph"/>
        <w:numPr>
          <w:ilvl w:val="0"/>
          <w:numId w:val="1"/>
        </w:numPr>
        <w:spacing w:after="80"/>
      </w:pPr>
      <w:r>
        <w:t xml:space="preserve">Contact step requires name and at least one contact method (email or phone) before proceeding</w:t>
      </w:r>
    </w:p>
    <w:p>
      <w:pPr>
        <w:pStyle w:val="ListParagraph"/>
        <w:numPr>
          <w:ilvl w:val="0"/>
          <w:numId w:val="1"/>
        </w:numPr>
        <w:spacing w:after="80"/>
      </w:pPr>
      <w:r>
        <w:t xml:space="preserve">Experience/Projects step requires at least one entry (work experience or academic project) to proceed, accommodating users with no formal work history</w:t>
      </w:r>
    </w:p>
    <w:p>
      <w:pPr>
        <w:pStyle w:val="ListParagraph"/>
        <w:numPr>
          <w:ilvl w:val="0"/>
          <w:numId w:val="1"/>
        </w:numPr>
        <w:spacing w:after="80"/>
      </w:pPr>
      <w:r>
        <w:t xml:space="preserve">Each Experience/Project entry requires a title and at least one description bullet before being counted as complete</w:t>
      </w:r>
    </w:p>
    <w:p>
      <w:pPr>
        <w:pStyle w:val="Heading2"/>
        <w:spacing w:after="150" w:before="300"/>
      </w:pPr>
      <w:r>
        <w:t xml:space="preserve">9.16 Acceptance Criteria</w:t>
      </w:r>
    </w:p>
    <w:p>
      <w:pPr>
        <w:pStyle w:val="ListParagraph"/>
        <w:numPr>
          <w:ilvl w:val="0"/>
          <w:numId w:val="1"/>
        </w:numPr>
        <w:spacing w:after="80"/>
      </w:pPr>
      <w:r>
        <w:t xml:space="preserve">Given a user with no prior resume, when they complete all required wizard steps, then a complete, exportable resume is produced with a computed ATS score, per Volume 1 FR-06 equivalent build path</w:t>
      </w:r>
    </w:p>
    <w:p>
      <w:pPr>
        <w:pStyle w:val="ListParagraph"/>
        <w:numPr>
          <w:ilvl w:val="0"/>
          <w:numId w:val="1"/>
        </w:numPr>
        <w:spacing w:after="80"/>
      </w:pPr>
      <w:r>
        <w:t xml:space="preserve">Given a user requests AI Phrasing Assist on a bullet point, when a suggestion is generated, then it is based only on facts the user has entered for that entry, per Volume 1 §7.1.1</w:t>
      </w:r>
    </w:p>
    <w:p>
      <w:pPr>
        <w:pStyle w:val="ListParagraph"/>
        <w:numPr>
          <w:ilvl w:val="0"/>
          <w:numId w:val="1"/>
        </w:numPr>
        <w:spacing w:after="80"/>
      </w:pPr>
      <w:r>
        <w:t xml:space="preserve">Given the user has not yet completed required fields in the current step, when they attempt 'Save &amp; Continue', then they are blocked with a specific inline validation message</w:t>
      </w:r>
    </w:p>
    <w:p>
      <w:pPr>
        <w:pStyle w:val="Heading2"/>
        <w:spacing w:after="150" w:before="300"/>
      </w:pPr>
      <w:r>
        <w:t xml:space="preserve">9.17 Developer Notes</w:t>
      </w:r>
    </w:p>
    <w:p>
      <w:pPr>
        <w:pStyle w:val="ListParagraph"/>
        <w:numPr>
          <w:ilvl w:val="0"/>
          <w:numId w:val="1"/>
        </w:numPr>
        <w:spacing w:after="80"/>
      </w:pPr>
      <w:r>
        <w:t xml:space="preserve">AI Phrasing Assist must operate as constrained generation over the user's own entered content (rephrase/quantify) and must not introduce new employers, titles, or skills — enforced via the same fact-diff validation used in the AI Resume Optimizer (Volume 7)</w:t>
      </w:r>
    </w:p>
    <w:p>
      <w:pPr>
        <w:pStyle w:val="ListParagraph"/>
        <w:numPr>
          <w:ilvl w:val="0"/>
          <w:numId w:val="1"/>
        </w:numPr>
        <w:spacing w:after="80"/>
      </w:pPr>
      <w:r>
        <w:t xml:space="preserve">The live preview renderer and the final export renderer (Volume 6/Volume 8 export pipeline) must share the same template engine to guarantee what the user sees while building matches the exported document exactly</w:t>
      </w:r>
    </w:p>
    <w:p>
      <w:pPr>
        <w:pStyle w:val="Heading1"/>
        <w:spacing w:after="200" w:before="400"/>
      </w:pPr>
      <w:r>
        <w:t xml:space="preserve">10. Page Specification: Career Coach</w:t>
      </w:r>
    </w:p>
    <w:p>
      <w:pPr>
        <w:pStyle w:val="Heading2"/>
        <w:spacing w:after="150" w:before="300"/>
      </w:pPr>
      <w:r>
        <w:t xml:space="preserve">10.1 Purpose</w:t>
      </w:r>
    </w:p>
    <w:p>
      <w:pPr>
        <w:spacing w:after="160"/>
        <w:jc w:val="both"/>
      </w:pPr>
      <w:r>
        <w:t xml:space="preserve">Provide AI-driven career coaching, interview practice, skill-gap analysis, and roadmap generation in one consolidated workspace.</w:t>
      </w:r>
    </w:p>
    <w:p>
      <w:pPr>
        <w:pStyle w:val="Heading2"/>
        <w:spacing w:after="150" w:before="300"/>
      </w:pPr>
      <w:r>
        <w:t xml:space="preserve">10.2 Goals</w:t>
      </w:r>
    </w:p>
    <w:p>
      <w:pPr>
        <w:pStyle w:val="ListParagraph"/>
        <w:numPr>
          <w:ilvl w:val="0"/>
          <w:numId w:val="1"/>
        </w:numPr>
        <w:spacing w:after="80"/>
      </w:pPr>
      <w:r>
        <w:t xml:space="preserve">Let users select a target role and receive tailored interview questions and coaching content</w:t>
      </w:r>
    </w:p>
    <w:p>
      <w:pPr>
        <w:pStyle w:val="ListParagraph"/>
        <w:numPr>
          <w:ilvl w:val="0"/>
          <w:numId w:val="1"/>
        </w:numPr>
        <w:spacing w:after="80"/>
      </w:pPr>
      <w:r>
        <w:t xml:space="preserve">Present skill gaps and career roadmap steps in a way that feels actionable, not overwhelming</w:t>
      </w:r>
    </w:p>
    <w:p>
      <w:pPr>
        <w:pStyle w:val="ListParagraph"/>
        <w:numPr>
          <w:ilvl w:val="0"/>
          <w:numId w:val="1"/>
        </w:numPr>
        <w:spacing w:after="80"/>
      </w:pPr>
      <w:r>
        <w:t xml:space="preserve">Keep AI feedback framed as developmental guidance, never as a hiring guarantee (Volume 1 FR-12)</w:t>
      </w:r>
    </w:p>
    <w:p>
      <w:pPr>
        <w:pStyle w:val="Heading2"/>
        <w:spacing w:after="150" w:before="300"/>
      </w:pPr>
      <w:r>
        <w:t xml:space="preserve">10.3 Layout</w:t>
      </w:r>
    </w:p>
    <w:p>
      <w:pPr>
        <w:spacing w:after="160"/>
        <w:jc w:val="both"/>
      </w:pPr>
      <w:r>
        <w:t xml:space="preserve">Tabbed workspace: 'Interview Practice', 'Skill Gap', 'Career Roadmap' tabs share a top context bar (target role selector, resume version indicator).</w:t>
      </w:r>
    </w:p>
    <w:p>
      <w:pPr>
        <w:pStyle w:val="Heading2"/>
        <w:spacing w:after="150" w:before="300"/>
      </w:pPr>
      <w:r>
        <w:t xml:space="preserve">10.4 Wireframe Description</w:t>
      </w:r>
    </w:p>
    <w:p>
      <w:pPr>
        <w:spacing w:after="160"/>
        <w:jc w:val="both"/>
      </w:pPr>
      <w:r>
        <w:t xml:space="preserve">Top: target role selector dropdown and a 'based on [Resume Name]' indicator. Tab bar below. Interview Practice tab: question card, text/voice answer input, 'Get Feedback' button, feedback panel below showing structure/relevance/clarity commentary. Skill Gap tab: ranked list of missing/under-evidenced skills with severity indicators. Career Roadmap tab: horizontal or vertical phased timeline of recommended steps with suggested resources.</w:t>
      </w:r>
    </w:p>
    <w:p>
      <w:pPr>
        <w:pStyle w:val="Heading2"/>
        <w:spacing w:after="150" w:before="300"/>
      </w:pPr>
      <w:r>
        <w:t xml:space="preserve">10.5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80"/>
              <w:left w:type="dxa" w:w="100"/>
              <w:bottom w:type="dxa" w:w="80"/>
              <w:right w:type="dxa" w:w="100"/>
            </w:tcMar>
          </w:tcPr>
          <w:p>
            <w:r>
              <w:rPr>
                <w:b/>
                <w:bCs/>
                <w:color w:val="FFFFFF"/>
                <w:sz w:val="20"/>
                <w:szCs w:val="20"/>
              </w:rPr>
              <w:t xml:space="preserve">Component</w:t>
            </w:r>
          </w:p>
        </w:tc>
        <w:tc>
          <w:tcPr>
            <w:tcW w:type="dxa" w:w="6750"/>
            <w:shd w:fill="1B2A4A"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Target Role Selector</w:t>
            </w:r>
          </w:p>
        </w:tc>
        <w:tc>
          <w:tcPr>
            <w:tcW w:type="dxa" w:w="6750"/>
            <w:tcMar>
              <w:top w:type="dxa" w:w="80"/>
              <w:left w:type="dxa" w:w="100"/>
              <w:bottom w:type="dxa" w:w="80"/>
              <w:right w:type="dxa" w:w="100"/>
            </w:tcMar>
          </w:tcPr>
          <w:p>
            <w:r>
              <w:rPr>
                <w:b w:val="false"/>
                <w:bCs w:val="false"/>
                <w:sz w:val="20"/>
                <w:szCs w:val="20"/>
              </w:rPr>
              <w:t xml:space="preserve">Dropdown to choose the role context driving all three tabs</w:t>
            </w:r>
          </w:p>
        </w:tc>
      </w:tr>
      <w:tr>
        <w:tc>
          <w:tcPr>
            <w:tcW w:type="dxa" w:w="2600"/>
            <w:tcMar>
              <w:top w:type="dxa" w:w="80"/>
              <w:left w:type="dxa" w:w="100"/>
              <w:bottom w:type="dxa" w:w="80"/>
              <w:right w:type="dxa" w:w="100"/>
            </w:tcMar>
          </w:tcPr>
          <w:p>
            <w:r>
              <w:rPr>
                <w:b w:val="false"/>
                <w:bCs w:val="false"/>
                <w:sz w:val="20"/>
                <w:szCs w:val="20"/>
              </w:rPr>
              <w:t xml:space="preserve">Question Card</w:t>
            </w:r>
          </w:p>
        </w:tc>
        <w:tc>
          <w:tcPr>
            <w:tcW w:type="dxa" w:w="6750"/>
            <w:tcMar>
              <w:top w:type="dxa" w:w="80"/>
              <w:left w:type="dxa" w:w="100"/>
              <w:bottom w:type="dxa" w:w="80"/>
              <w:right w:type="dxa" w:w="100"/>
            </w:tcMar>
          </w:tcPr>
          <w:p>
            <w:r>
              <w:rPr>
                <w:b w:val="false"/>
                <w:bCs w:val="false"/>
                <w:sz w:val="20"/>
                <w:szCs w:val="20"/>
              </w:rPr>
              <w:t xml:space="preserve">AI-generated interview question with category tag (behavioral/technical)</w:t>
            </w:r>
          </w:p>
        </w:tc>
      </w:tr>
      <w:tr>
        <w:tc>
          <w:tcPr>
            <w:tcW w:type="dxa" w:w="2600"/>
            <w:tcMar>
              <w:top w:type="dxa" w:w="80"/>
              <w:left w:type="dxa" w:w="100"/>
              <w:bottom w:type="dxa" w:w="80"/>
              <w:right w:type="dxa" w:w="100"/>
            </w:tcMar>
          </w:tcPr>
          <w:p>
            <w:r>
              <w:rPr>
                <w:b w:val="false"/>
                <w:bCs w:val="false"/>
                <w:sz w:val="20"/>
                <w:szCs w:val="20"/>
              </w:rPr>
              <w:t xml:space="preserve">Feedback Panel</w:t>
            </w:r>
          </w:p>
        </w:tc>
        <w:tc>
          <w:tcPr>
            <w:tcW w:type="dxa" w:w="6750"/>
            <w:tcMar>
              <w:top w:type="dxa" w:w="80"/>
              <w:left w:type="dxa" w:w="100"/>
              <w:bottom w:type="dxa" w:w="80"/>
              <w:right w:type="dxa" w:w="100"/>
            </w:tcMar>
          </w:tcPr>
          <w:p>
            <w:r>
              <w:rPr>
                <w:b w:val="false"/>
                <w:bCs w:val="false"/>
                <w:sz w:val="20"/>
                <w:szCs w:val="20"/>
              </w:rPr>
              <w:t xml:space="preserve">Structured feedback output: structure, relevance, clarity dimensions</w:t>
            </w:r>
          </w:p>
        </w:tc>
      </w:tr>
      <w:tr>
        <w:tc>
          <w:tcPr>
            <w:tcW w:type="dxa" w:w="2600"/>
            <w:tcMar>
              <w:top w:type="dxa" w:w="80"/>
              <w:left w:type="dxa" w:w="100"/>
              <w:bottom w:type="dxa" w:w="80"/>
              <w:right w:type="dxa" w:w="100"/>
            </w:tcMar>
          </w:tcPr>
          <w:p>
            <w:r>
              <w:rPr>
                <w:b w:val="false"/>
                <w:bCs w:val="false"/>
                <w:sz w:val="20"/>
                <w:szCs w:val="20"/>
              </w:rPr>
              <w:t xml:space="preserve">Skill Gap Row</w:t>
            </w:r>
          </w:p>
        </w:tc>
        <w:tc>
          <w:tcPr>
            <w:tcW w:type="dxa" w:w="6750"/>
            <w:tcMar>
              <w:top w:type="dxa" w:w="80"/>
              <w:left w:type="dxa" w:w="100"/>
              <w:bottom w:type="dxa" w:w="80"/>
              <w:right w:type="dxa" w:w="100"/>
            </w:tcMar>
          </w:tcPr>
          <w:p>
            <w:r>
              <w:rPr>
                <w:b w:val="false"/>
                <w:bCs w:val="false"/>
                <w:sz w:val="20"/>
                <w:szCs w:val="20"/>
              </w:rPr>
              <w:t xml:space="preserve">Skill name, current evidence level, target requirement, severity indicator</w:t>
            </w:r>
          </w:p>
        </w:tc>
      </w:tr>
      <w:tr>
        <w:tc>
          <w:tcPr>
            <w:tcW w:type="dxa" w:w="2600"/>
            <w:tcMar>
              <w:top w:type="dxa" w:w="80"/>
              <w:left w:type="dxa" w:w="100"/>
              <w:bottom w:type="dxa" w:w="80"/>
              <w:right w:type="dxa" w:w="100"/>
            </w:tcMar>
          </w:tcPr>
          <w:p>
            <w:r>
              <w:rPr>
                <w:b w:val="false"/>
                <w:bCs w:val="false"/>
                <w:sz w:val="20"/>
                <w:szCs w:val="20"/>
              </w:rPr>
              <w:t xml:space="preserve">Roadmap Phase Card</w:t>
            </w:r>
          </w:p>
        </w:tc>
        <w:tc>
          <w:tcPr>
            <w:tcW w:type="dxa" w:w="6750"/>
            <w:tcMar>
              <w:top w:type="dxa" w:w="80"/>
              <w:left w:type="dxa" w:w="100"/>
              <w:bottom w:type="dxa" w:w="80"/>
              <w:right w:type="dxa" w:w="100"/>
            </w:tcMar>
          </w:tcPr>
          <w:p>
            <w:r>
              <w:rPr>
                <w:b w:val="false"/>
                <w:bCs w:val="false"/>
                <w:sz w:val="20"/>
                <w:szCs w:val="20"/>
              </w:rPr>
              <w:t xml:space="preserve">Phase title, duration estimate, recommended actions/resources</w:t>
            </w:r>
          </w:p>
        </w:tc>
      </w:tr>
    </w:tbl>
    <w:p>
      <w:pPr>
        <w:pStyle w:val="Heading2"/>
        <w:spacing w:after="150" w:before="300"/>
      </w:pPr>
      <w:r>
        <w:t xml:space="preserve">10.6 Typography</w:t>
      </w:r>
    </w:p>
    <w:p>
      <w:pPr>
        <w:spacing w:after="160"/>
        <w:jc w:val="both"/>
      </w:pPr>
      <w:r>
        <w:t xml:space="preserve">Tab labels use Type-Label. Question card title Type-H3. Feedback panel section headers Type-Label, body Type-Body. Roadmap phase titles Type-H3.</w:t>
      </w:r>
    </w:p>
    <w:p>
      <w:pPr>
        <w:pStyle w:val="Heading2"/>
        <w:spacing w:after="150" w:before="300"/>
      </w:pPr>
      <w:r>
        <w:t xml:space="preserve">10.7 Spacing</w:t>
      </w:r>
    </w:p>
    <w:p>
      <w:pPr>
        <w:spacing w:after="160"/>
        <w:jc w:val="both"/>
      </w:pPr>
      <w:r>
        <w:t xml:space="preserve">Tab content padding Space-5. Skill Gap rows separated by Space-3. Roadmap phase cards separated by Space-5 in sequence.</w:t>
      </w:r>
    </w:p>
    <w:p>
      <w:pPr>
        <w:pStyle w:val="Heading2"/>
        <w:spacing w:after="150" w:before="300"/>
      </w:pPr>
      <w:r>
        <w:t xml:space="preserve">10.8 Colors</w:t>
      </w:r>
    </w:p>
    <w:p>
      <w:pPr>
        <w:spacing w:after="160"/>
        <w:jc w:val="both"/>
      </w:pPr>
      <w:r>
        <w:t xml:space="preserve">Skill gap severity: Error-Red (critical gap), Warning-Amber (moderate gap), Success-Green (sufficiently evidenced). Roadmap phases use a Teal-500 connecting line/timeline indicator.</w:t>
      </w:r>
    </w:p>
    <w:p>
      <w:pPr>
        <w:pStyle w:val="Heading2"/>
        <w:spacing w:after="150" w:before="300"/>
      </w:pPr>
      <w:r>
        <w:t xml:space="preserve">10.9 Animations</w:t>
      </w:r>
    </w:p>
    <w:p>
      <w:pPr>
        <w:pStyle w:val="ListParagraph"/>
        <w:numPr>
          <w:ilvl w:val="0"/>
          <w:numId w:val="1"/>
        </w:numPr>
        <w:spacing w:after="80"/>
      </w:pPr>
      <w:r>
        <w:t xml:space="preserve">Feedback panel content streams in progressively (token-by-token or chunked) rather than appearing all at once, to reduce perceived wait during AI generation</w:t>
      </w:r>
    </w:p>
    <w:p>
      <w:pPr>
        <w:pStyle w:val="ListParagraph"/>
        <w:numPr>
          <w:ilvl w:val="0"/>
          <w:numId w:val="1"/>
        </w:numPr>
        <w:spacing w:after="80"/>
      </w:pPr>
      <w:r>
        <w:t xml:space="preserve">Roadmap phase cards expand to show detail on click with a smooth height transition (150ms)</w:t>
      </w:r>
    </w:p>
    <w:p>
      <w:pPr>
        <w:pStyle w:val="Heading2"/>
        <w:spacing w:after="150" w:before="300"/>
      </w:pPr>
      <w:r>
        <w:t xml:space="preserve">10.10 Icons</w:t>
      </w:r>
    </w:p>
    <w:p>
      <w:pPr>
        <w:spacing w:after="160"/>
        <w:jc w:val="both"/>
      </w:pPr>
      <w:r>
        <w:t xml:space="preserve">Microphone icon for voice answer input. Chat-bubble icon for feedback panel. Warning-triangle for critical skill gaps. Milestone/flag icon for roadmap phases.</w:t>
      </w:r>
    </w:p>
    <w:p>
      <w:pPr>
        <w:pStyle w:val="Heading2"/>
        <w:spacing w:after="150" w:before="300"/>
      </w:pPr>
      <w:r>
        <w:t xml:space="preserve">10.11 Accessibility</w:t>
      </w:r>
    </w:p>
    <w:p>
      <w:pPr>
        <w:pStyle w:val="ListParagraph"/>
        <w:numPr>
          <w:ilvl w:val="0"/>
          <w:numId w:val="1"/>
        </w:numPr>
        <w:spacing w:after="80"/>
      </w:pPr>
      <w:r>
        <w:t xml:space="preserve">Voice answer input has an equivalent text-input path; voice is never the only way to respond</w:t>
      </w:r>
    </w:p>
    <w:p>
      <w:pPr>
        <w:pStyle w:val="ListParagraph"/>
        <w:numPr>
          <w:ilvl w:val="0"/>
          <w:numId w:val="1"/>
        </w:numPr>
        <w:spacing w:after="80"/>
      </w:pPr>
      <w:r>
        <w:t xml:space="preserve">Streamed AI feedback text is exposed to assistive technology as it completes, not only after the full stream finishes</w:t>
      </w:r>
    </w:p>
    <w:p>
      <w:pPr>
        <w:pStyle w:val="ListParagraph"/>
        <w:numPr>
          <w:ilvl w:val="0"/>
          <w:numId w:val="1"/>
        </w:numPr>
        <w:spacing w:after="80"/>
      </w:pPr>
      <w:r>
        <w:t xml:space="preserve">Skill gap severity indicators pair color with text labels ('Critical', 'Moderate', 'Sufficient')</w:t>
      </w:r>
    </w:p>
    <w:p>
      <w:pPr>
        <w:pStyle w:val="Heading2"/>
        <w:spacing w:after="150" w:before="300"/>
      </w:pPr>
      <w:r>
        <w:t xml:space="preserve">10.12 Responsive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B2A4A" w:val="clear"/>
            <w:tcMar>
              <w:top w:type="dxa" w:w="80"/>
              <w:left w:type="dxa" w:w="100"/>
              <w:bottom w:type="dxa" w:w="80"/>
              <w:right w:type="dxa" w:w="100"/>
            </w:tcMar>
          </w:tcPr>
          <w:p>
            <w:r>
              <w:rPr>
                <w:b/>
                <w:bCs/>
                <w:color w:val="FFFFFF"/>
                <w:sz w:val="20"/>
                <w:szCs w:val="20"/>
              </w:rPr>
              <w:t xml:space="preserve">Breakpoint</w:t>
            </w:r>
          </w:p>
        </w:tc>
        <w:tc>
          <w:tcPr>
            <w:tcW w:type="dxa" w:w="7550"/>
            <w:shd w:fill="1B2A4A" w:val="clear"/>
            <w:tcMar>
              <w:top w:type="dxa" w:w="80"/>
              <w:left w:type="dxa" w:w="100"/>
              <w:bottom w:type="dxa" w:w="80"/>
              <w:right w:type="dxa" w:w="100"/>
            </w:tcMar>
          </w:tcPr>
          <w:p>
            <w:r>
              <w:rPr>
                <w:b/>
                <w:bCs/>
                <w:color w:val="FFFFFF"/>
                <w:sz w:val="20"/>
                <w:szCs w:val="20"/>
              </w:rPr>
              <w:t xml:space="preserve">Behavior</w:t>
            </w:r>
          </w:p>
        </w:tc>
      </w:tr>
      <w:tr>
        <w:tc>
          <w:tcPr>
            <w:tcW w:type="dxa" w:w="1800"/>
            <w:tcMar>
              <w:top w:type="dxa" w:w="80"/>
              <w:left w:type="dxa" w:w="100"/>
              <w:bottom w:type="dxa" w:w="80"/>
              <w:right w:type="dxa" w:w="100"/>
            </w:tcMar>
          </w:tcPr>
          <w:p>
            <w:r>
              <w:rPr>
                <w:b w:val="false"/>
                <w:bCs w:val="false"/>
                <w:sz w:val="20"/>
                <w:szCs w:val="20"/>
              </w:rPr>
              <w:t xml:space="preserve">Mobile</w:t>
            </w:r>
          </w:p>
        </w:tc>
        <w:tc>
          <w:tcPr>
            <w:tcW w:type="dxa" w:w="7550"/>
            <w:tcMar>
              <w:top w:type="dxa" w:w="80"/>
              <w:left w:type="dxa" w:w="100"/>
              <w:bottom w:type="dxa" w:w="80"/>
              <w:right w:type="dxa" w:w="100"/>
            </w:tcMar>
          </w:tcPr>
          <w:p>
            <w:r>
              <w:rPr>
                <w:b w:val="false"/>
                <w:bCs w:val="false"/>
                <w:sz w:val="20"/>
                <w:szCs w:val="20"/>
              </w:rPr>
              <w:t xml:space="preserve">Tabs become a horizontally scrollable segment control; roadmap timeline switches from horizontal to vertical</w:t>
            </w:r>
          </w:p>
        </w:tc>
      </w:tr>
      <w:tr>
        <w:tc>
          <w:tcPr>
            <w:tcW w:type="dxa" w:w="1800"/>
            <w:tcMar>
              <w:top w:type="dxa" w:w="80"/>
              <w:left w:type="dxa" w:w="100"/>
              <w:bottom w:type="dxa" w:w="80"/>
              <w:right w:type="dxa" w:w="100"/>
            </w:tcMar>
          </w:tcPr>
          <w:p>
            <w:r>
              <w:rPr>
                <w:b w:val="false"/>
                <w:bCs w:val="false"/>
                <w:sz w:val="20"/>
                <w:szCs w:val="20"/>
              </w:rPr>
              <w:t xml:space="preserve">Tablet+</w:t>
            </w:r>
          </w:p>
        </w:tc>
        <w:tc>
          <w:tcPr>
            <w:tcW w:type="dxa" w:w="7550"/>
            <w:tcMar>
              <w:top w:type="dxa" w:w="80"/>
              <w:left w:type="dxa" w:w="100"/>
              <w:bottom w:type="dxa" w:w="80"/>
              <w:right w:type="dxa" w:w="100"/>
            </w:tcMar>
          </w:tcPr>
          <w:p>
            <w:r>
              <w:rPr>
                <w:b w:val="false"/>
                <w:bCs w:val="false"/>
                <w:sz w:val="20"/>
                <w:szCs w:val="20"/>
              </w:rPr>
              <w:t xml:space="preserve">Full tabbed layout as described in Wireframe Description</w:t>
            </w:r>
          </w:p>
        </w:tc>
      </w:tr>
    </w:tbl>
    <w:p>
      <w:pPr>
        <w:pStyle w:val="Heading2"/>
        <w:spacing w:after="150" w:before="300"/>
      </w:pPr>
      <w:r>
        <w:t xml:space="preserve">10.13 Empty States</w:t>
      </w:r>
    </w:p>
    <w:p>
      <w:pPr>
        <w:spacing w:after="160"/>
        <w:jc w:val="both"/>
      </w:pPr>
      <w:r>
        <w:t xml:space="preserve">If no target role is selected, all three tabs show a prompt to select a target role first, since coaching content is meaningless without that context.</w:t>
      </w:r>
    </w:p>
    <w:p>
      <w:pPr>
        <w:pStyle w:val="Heading2"/>
        <w:spacing w:after="150" w:before="300"/>
      </w:pPr>
      <w:r>
        <w:t xml:space="preserve">10.14 Loading States</w:t>
      </w:r>
    </w:p>
    <w:p>
      <w:pPr>
        <w:spacing w:after="160"/>
        <w:jc w:val="both"/>
      </w:pPr>
      <w:r>
        <w:t xml:space="preserve">Interview question generation and feedback generation both show a labeled 'Thinking…' state with streamed output as available, consistent with the Volume 1 NFR AI-generation latency target and preference for streaming over blocking waits.</w:t>
      </w:r>
    </w:p>
    <w:p>
      <w:pPr>
        <w:pStyle w:val="Heading2"/>
        <w:spacing w:after="150" w:before="300"/>
      </w:pPr>
      <w:r>
        <w:t xml:space="preserve">10.15 Validation</w:t>
      </w:r>
    </w:p>
    <w:p>
      <w:pPr>
        <w:pStyle w:val="ListParagraph"/>
        <w:numPr>
          <w:ilvl w:val="0"/>
          <w:numId w:val="1"/>
        </w:numPr>
        <w:spacing w:after="80"/>
      </w:pPr>
      <w:r>
        <w:t xml:space="preserve">Answer input (text) requires a minimum length before 'Get Feedback' is enabled, to avoid generating feedback on trivially short input</w:t>
      </w:r>
    </w:p>
    <w:p>
      <w:pPr>
        <w:pStyle w:val="Heading2"/>
        <w:spacing w:after="150" w:before="300"/>
      </w:pPr>
      <w:r>
        <w:t xml:space="preserve">10.16 Acceptance Criteria</w:t>
      </w:r>
    </w:p>
    <w:p>
      <w:pPr>
        <w:pStyle w:val="ListParagraph"/>
        <w:numPr>
          <w:ilvl w:val="0"/>
          <w:numId w:val="1"/>
        </w:numPr>
        <w:spacing w:after="80"/>
      </w:pPr>
      <w:r>
        <w:t xml:space="preserve">Given a selected target role, when the user requests interview questions, then role-specific behavioral and technical questions are generated referencing the user's resume, per Volume 1 FR-11</w:t>
      </w:r>
    </w:p>
    <w:p>
      <w:pPr>
        <w:pStyle w:val="ListParagraph"/>
        <w:numPr>
          <w:ilvl w:val="0"/>
          <w:numId w:val="1"/>
        </w:numPr>
        <w:spacing w:after="80"/>
      </w:pPr>
      <w:r>
        <w:t xml:space="preserve">Given a submitted answer, when feedback is generated, then it addresses structure, relevance, and clarity without presenting a pass/fail hiring verdict, per Volume 1 FR-12</w:t>
      </w:r>
    </w:p>
    <w:p>
      <w:pPr>
        <w:pStyle w:val="ListParagraph"/>
        <w:numPr>
          <w:ilvl w:val="0"/>
          <w:numId w:val="1"/>
        </w:numPr>
        <w:spacing w:after="80"/>
      </w:pPr>
      <w:r>
        <w:t xml:space="preserve">Given a skill gap analysis is requested, when complete, then gaps are ranked by relevance to the target role, per Volume 1 FR-13</w:t>
      </w:r>
    </w:p>
    <w:p>
      <w:pPr>
        <w:pStyle w:val="Heading2"/>
        <w:spacing w:after="150" w:before="300"/>
      </w:pPr>
      <w:r>
        <w:t xml:space="preserve">10.17 Developer Notes</w:t>
      </w:r>
    </w:p>
    <w:p>
      <w:pPr>
        <w:pStyle w:val="ListParagraph"/>
        <w:numPr>
          <w:ilvl w:val="0"/>
          <w:numId w:val="1"/>
        </w:numPr>
        <w:spacing w:after="80"/>
      </w:pPr>
      <w:r>
        <w:t xml:space="preserve">All three tabs must share the same target-role context state so switching tabs does not require re-selecting the role, and so skill-gap results and roadmap generation stay consistent with each other</w:t>
      </w:r>
    </w:p>
    <w:p>
      <w:pPr>
        <w:pStyle w:val="ListParagraph"/>
        <w:numPr>
          <w:ilvl w:val="0"/>
          <w:numId w:val="1"/>
        </w:numPr>
        <w:spacing w:after="80"/>
      </w:pPr>
      <w:r>
        <w:t xml:space="preserve">Feedback generation must avoid definitive outcome language ('you will pass', 'you will fail') per Volume 1 §7.1.1 and FR-12 — enforce via prompt constraints and output review in Volume 7</w:t>
      </w:r>
    </w:p>
    <w:p>
      <w:pPr>
        <w:pStyle w:val="Heading1"/>
        <w:spacing w:after="200" w:before="400"/>
      </w:pPr>
      <w:r>
        <w:t xml:space="preserve">11. Page Specification: Recruiter Dashboard</w:t>
      </w:r>
    </w:p>
    <w:p>
      <w:pPr>
        <w:pStyle w:val="Heading2"/>
        <w:spacing w:after="150" w:before="300"/>
      </w:pPr>
      <w:r>
        <w:t xml:space="preserve">11.1 Purpose</w:t>
      </w:r>
    </w:p>
    <w:p>
      <w:pPr>
        <w:spacing w:after="160"/>
        <w:jc w:val="both"/>
      </w:pPr>
      <w:r>
        <w:t xml:space="preserve">Give recruiters a single workspace to post jobs, review AI-ranked candidates with explainable match scores, and manage pipeline actions.</w:t>
      </w:r>
    </w:p>
    <w:p>
      <w:pPr>
        <w:pStyle w:val="Heading2"/>
        <w:spacing w:after="150" w:before="300"/>
      </w:pPr>
      <w:r>
        <w:t xml:space="preserve">11.2 Goals</w:t>
      </w:r>
    </w:p>
    <w:p>
      <w:pPr>
        <w:pStyle w:val="ListParagraph"/>
        <w:numPr>
          <w:ilvl w:val="0"/>
          <w:numId w:val="1"/>
        </w:numPr>
        <w:spacing w:after="80"/>
      </w:pPr>
      <w:r>
        <w:t xml:space="preserve">Surface the highest-fit candidates first with visible, trustworthy match rationale</w:t>
      </w:r>
    </w:p>
    <w:p>
      <w:pPr>
        <w:pStyle w:val="ListParagraph"/>
        <w:numPr>
          <w:ilvl w:val="0"/>
          <w:numId w:val="1"/>
        </w:numPr>
        <w:spacing w:after="80"/>
      </w:pPr>
      <w:r>
        <w:t xml:space="preserve">Make shortlisting/messaging/rejecting fast, keyboard- and bulk-action friendly for high-volume recruiters</w:t>
      </w:r>
    </w:p>
    <w:p>
      <w:pPr>
        <w:pStyle w:val="ListParagraph"/>
        <w:numPr>
          <w:ilvl w:val="0"/>
          <w:numId w:val="1"/>
        </w:numPr>
        <w:spacing w:after="80"/>
      </w:pPr>
      <w:r>
        <w:t xml:space="preserve">Clearly separate active postings from draft/closed postings</w:t>
      </w:r>
    </w:p>
    <w:p>
      <w:pPr>
        <w:pStyle w:val="Heading2"/>
        <w:spacing w:after="150" w:before="300"/>
      </w:pPr>
      <w:r>
        <w:t xml:space="preserve">11.3 Layout</w:t>
      </w:r>
    </w:p>
    <w:p>
      <w:pPr>
        <w:spacing w:after="160"/>
        <w:jc w:val="both"/>
      </w:pPr>
      <w:r>
        <w:t xml:space="preserve">Left sidebar lists job postings (Active, Draft, Closed tabs); selecting a posting opens a main panel with a candidate pipeline in Kanban-style columns (New, Shortlisted, Interviewing, Rejected).</w:t>
      </w:r>
    </w:p>
    <w:p>
      <w:pPr>
        <w:pStyle w:val="Heading2"/>
        <w:spacing w:after="150" w:before="300"/>
      </w:pPr>
      <w:r>
        <w:t xml:space="preserve">11.4 Wireframe Description</w:t>
      </w:r>
    </w:p>
    <w:p>
      <w:pPr>
        <w:spacing w:after="160"/>
        <w:jc w:val="both"/>
      </w:pPr>
      <w:r>
        <w:t xml:space="preserve">Sidebar: 'New Posting' button at top, then a filterable list of postings with applicant counts. Main panel: posting title header with edit/close controls, Kanban board below with draggable candidate cards. Each candidate card shows name/headline, match score badge, and quick-action icons (view profile, shortlist, message, reject).</w:t>
      </w:r>
    </w:p>
    <w:p>
      <w:pPr>
        <w:pStyle w:val="Heading2"/>
        <w:spacing w:after="150" w:before="300"/>
      </w:pPr>
      <w:r>
        <w:t xml:space="preserve">11.5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80"/>
              <w:left w:type="dxa" w:w="100"/>
              <w:bottom w:type="dxa" w:w="80"/>
              <w:right w:type="dxa" w:w="100"/>
            </w:tcMar>
          </w:tcPr>
          <w:p>
            <w:r>
              <w:rPr>
                <w:b/>
                <w:bCs/>
                <w:color w:val="FFFFFF"/>
                <w:sz w:val="20"/>
                <w:szCs w:val="20"/>
              </w:rPr>
              <w:t xml:space="preserve">Component</w:t>
            </w:r>
          </w:p>
        </w:tc>
        <w:tc>
          <w:tcPr>
            <w:tcW w:type="dxa" w:w="6750"/>
            <w:shd w:fill="1B2A4A"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Posting List Item</w:t>
            </w:r>
          </w:p>
        </w:tc>
        <w:tc>
          <w:tcPr>
            <w:tcW w:type="dxa" w:w="6750"/>
            <w:tcMar>
              <w:top w:type="dxa" w:w="80"/>
              <w:left w:type="dxa" w:w="100"/>
              <w:bottom w:type="dxa" w:w="80"/>
              <w:right w:type="dxa" w:w="100"/>
            </w:tcMar>
          </w:tcPr>
          <w:p>
            <w:r>
              <w:rPr>
                <w:b w:val="false"/>
                <w:bCs w:val="false"/>
                <w:sz w:val="20"/>
                <w:szCs w:val="20"/>
              </w:rPr>
              <w:t xml:space="preserve">Job title, status tag, applicant count</w:t>
            </w:r>
          </w:p>
        </w:tc>
      </w:tr>
      <w:tr>
        <w:tc>
          <w:tcPr>
            <w:tcW w:type="dxa" w:w="2600"/>
            <w:tcMar>
              <w:top w:type="dxa" w:w="80"/>
              <w:left w:type="dxa" w:w="100"/>
              <w:bottom w:type="dxa" w:w="80"/>
              <w:right w:type="dxa" w:w="100"/>
            </w:tcMar>
          </w:tcPr>
          <w:p>
            <w:r>
              <w:rPr>
                <w:b w:val="false"/>
                <w:bCs w:val="false"/>
                <w:sz w:val="20"/>
                <w:szCs w:val="20"/>
              </w:rPr>
              <w:t xml:space="preserve">Kanban Column</w:t>
            </w:r>
          </w:p>
        </w:tc>
        <w:tc>
          <w:tcPr>
            <w:tcW w:type="dxa" w:w="6750"/>
            <w:tcMar>
              <w:top w:type="dxa" w:w="80"/>
              <w:left w:type="dxa" w:w="100"/>
              <w:bottom w:type="dxa" w:w="80"/>
              <w:right w:type="dxa" w:w="100"/>
            </w:tcMar>
          </w:tcPr>
          <w:p>
            <w:r>
              <w:rPr>
                <w:b w:val="false"/>
                <w:bCs w:val="false"/>
                <w:sz w:val="20"/>
                <w:szCs w:val="20"/>
              </w:rPr>
              <w:t xml:space="preserve">Pipeline stage container (New / Shortlisted / Interviewing / Rejected)</w:t>
            </w:r>
          </w:p>
        </w:tc>
      </w:tr>
      <w:tr>
        <w:tc>
          <w:tcPr>
            <w:tcW w:type="dxa" w:w="2600"/>
            <w:tcMar>
              <w:top w:type="dxa" w:w="80"/>
              <w:left w:type="dxa" w:w="100"/>
              <w:bottom w:type="dxa" w:w="80"/>
              <w:right w:type="dxa" w:w="100"/>
            </w:tcMar>
          </w:tcPr>
          <w:p>
            <w:r>
              <w:rPr>
                <w:b w:val="false"/>
                <w:bCs w:val="false"/>
                <w:sz w:val="20"/>
                <w:szCs w:val="20"/>
              </w:rPr>
              <w:t xml:space="preserve">Candidate Pipeline Card</w:t>
            </w:r>
          </w:p>
        </w:tc>
        <w:tc>
          <w:tcPr>
            <w:tcW w:type="dxa" w:w="6750"/>
            <w:tcMar>
              <w:top w:type="dxa" w:w="80"/>
              <w:left w:type="dxa" w:w="100"/>
              <w:bottom w:type="dxa" w:w="80"/>
              <w:right w:type="dxa" w:w="100"/>
            </w:tcMar>
          </w:tcPr>
          <w:p>
            <w:r>
              <w:rPr>
                <w:b w:val="false"/>
                <w:bCs w:val="false"/>
                <w:sz w:val="20"/>
                <w:szCs w:val="20"/>
              </w:rPr>
              <w:t xml:space="preserve">Candidate summary with match score and quick actions</w:t>
            </w:r>
          </w:p>
        </w:tc>
      </w:tr>
      <w:tr>
        <w:tc>
          <w:tcPr>
            <w:tcW w:type="dxa" w:w="2600"/>
            <w:tcMar>
              <w:top w:type="dxa" w:w="80"/>
              <w:left w:type="dxa" w:w="100"/>
              <w:bottom w:type="dxa" w:w="80"/>
              <w:right w:type="dxa" w:w="100"/>
            </w:tcMar>
          </w:tcPr>
          <w:p>
            <w:r>
              <w:rPr>
                <w:b w:val="false"/>
                <w:bCs w:val="false"/>
                <w:sz w:val="20"/>
                <w:szCs w:val="20"/>
              </w:rPr>
              <w:t xml:space="preserve">Match Rationale Popover</w:t>
            </w:r>
          </w:p>
        </w:tc>
        <w:tc>
          <w:tcPr>
            <w:tcW w:type="dxa" w:w="6750"/>
            <w:tcMar>
              <w:top w:type="dxa" w:w="80"/>
              <w:left w:type="dxa" w:w="100"/>
              <w:bottom w:type="dxa" w:w="80"/>
              <w:right w:type="dxa" w:w="100"/>
            </w:tcMar>
          </w:tcPr>
          <w:p>
            <w:r>
              <w:rPr>
                <w:b w:val="false"/>
                <w:bCs w:val="false"/>
                <w:sz w:val="20"/>
                <w:szCs w:val="20"/>
              </w:rPr>
              <w:t xml:space="preserve">On-demand panel showing contributing match factors for a candidate, mirroring the candidate-side 'Why this match?' panel (Section 6.4)</w:t>
            </w:r>
          </w:p>
        </w:tc>
      </w:tr>
    </w:tbl>
    <w:p>
      <w:pPr>
        <w:pStyle w:val="Heading2"/>
        <w:spacing w:after="150" w:before="300"/>
      </w:pPr>
      <w:r>
        <w:t xml:space="preserve">11.6 Typography</w:t>
      </w:r>
    </w:p>
    <w:p>
      <w:pPr>
        <w:spacing w:after="160"/>
        <w:jc w:val="both"/>
      </w:pPr>
      <w:r>
        <w:t xml:space="preserve">Posting titles use Type-H3 in the sidebar list. Kanban column headers use Type-Label. Candidate card name uses Type-Body bold, headline uses Type-Caption.</w:t>
      </w:r>
    </w:p>
    <w:p>
      <w:pPr>
        <w:pStyle w:val="Heading2"/>
        <w:spacing w:after="150" w:before="300"/>
      </w:pPr>
      <w:r>
        <w:t xml:space="preserve">11.7 Spacing</w:t>
      </w:r>
    </w:p>
    <w:p>
      <w:pPr>
        <w:spacing w:after="160"/>
        <w:jc w:val="both"/>
      </w:pPr>
      <w:r>
        <w:t xml:space="preserve">Kanban columns separated by Space-5. Candidate cards within a column separated by Space-3.</w:t>
      </w:r>
    </w:p>
    <w:p>
      <w:pPr>
        <w:pStyle w:val="Heading2"/>
        <w:spacing w:after="150" w:before="300"/>
      </w:pPr>
      <w:r>
        <w:t xml:space="preserve">11.8 Colors</w:t>
      </w:r>
    </w:p>
    <w:p>
      <w:pPr>
        <w:spacing w:after="160"/>
        <w:jc w:val="both"/>
      </w:pPr>
      <w:r>
        <w:t xml:space="preserve">Match score badge uses the same three-tier scale as the candidate-side Swipe Feed (Section 6.8) for cross-product consistency. Posting status tags: Success-Green (Active), Neutral (Draft), Neutral-600 (Closed).</w:t>
      </w:r>
    </w:p>
    <w:p>
      <w:pPr>
        <w:pStyle w:val="Heading2"/>
        <w:spacing w:after="150" w:before="300"/>
      </w:pPr>
      <w:r>
        <w:t xml:space="preserve">11.9 Animations</w:t>
      </w:r>
    </w:p>
    <w:p>
      <w:pPr>
        <w:pStyle w:val="ListParagraph"/>
        <w:numPr>
          <w:ilvl w:val="0"/>
          <w:numId w:val="1"/>
        </w:numPr>
        <w:spacing w:after="80"/>
      </w:pPr>
      <w:r>
        <w:t xml:space="preserve">Drag-and-drop of candidate cards between Kanban columns shows a placeholder gap and smooth reflow (150ms) at the drop target</w:t>
      </w:r>
    </w:p>
    <w:p>
      <w:pPr>
        <w:pStyle w:val="ListParagraph"/>
        <w:numPr>
          <w:ilvl w:val="0"/>
          <w:numId w:val="1"/>
        </w:numPr>
        <w:spacing w:after="80"/>
      </w:pPr>
      <w:r>
        <w:t xml:space="preserve">Match Rationale Popover fades/scales in (100ms) from the triggering card</w:t>
      </w:r>
    </w:p>
    <w:p>
      <w:pPr>
        <w:pStyle w:val="Heading2"/>
        <w:spacing w:after="150" w:before="300"/>
      </w:pPr>
      <w:r>
        <w:t xml:space="preserve">11.10 Icons</w:t>
      </w:r>
    </w:p>
    <w:p>
      <w:pPr>
        <w:spacing w:after="160"/>
        <w:jc w:val="both"/>
      </w:pPr>
      <w:r>
        <w:t xml:space="preserve">Eye icon (view profile), star/flag icon (shortlist), chat icon (message), x icon (reject), drag-handle icon on candidate cards.</w:t>
      </w:r>
    </w:p>
    <w:p>
      <w:pPr>
        <w:pStyle w:val="Heading2"/>
        <w:spacing w:after="150" w:before="300"/>
      </w:pPr>
      <w:r>
        <w:t xml:space="preserve">11.11 Accessibility</w:t>
      </w:r>
    </w:p>
    <w:p>
      <w:pPr>
        <w:pStyle w:val="ListParagraph"/>
        <w:numPr>
          <w:ilvl w:val="0"/>
          <w:numId w:val="1"/>
        </w:numPr>
        <w:spacing w:after="80"/>
      </w:pPr>
      <w:r>
        <w:t xml:space="preserve">Kanban drag-and-drop has a keyboard-operable equivalent (e.g., a 'Move to…' menu per card) since drag gestures are not reliably accessible</w:t>
      </w:r>
    </w:p>
    <w:p>
      <w:pPr>
        <w:pStyle w:val="ListParagraph"/>
        <w:numPr>
          <w:ilvl w:val="0"/>
          <w:numId w:val="1"/>
        </w:numPr>
        <w:spacing w:after="80"/>
      </w:pPr>
      <w:r>
        <w:t xml:space="preserve">Match Rationale Popover content is reachable and dismissible via keyboard, and announced via aria-live on open</w:t>
      </w:r>
    </w:p>
    <w:p>
      <w:pPr>
        <w:pStyle w:val="Heading2"/>
        <w:spacing w:after="150" w:before="300"/>
      </w:pPr>
      <w:r>
        <w:t xml:space="preserve">11.12 Responsive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B2A4A" w:val="clear"/>
            <w:tcMar>
              <w:top w:type="dxa" w:w="80"/>
              <w:left w:type="dxa" w:w="100"/>
              <w:bottom w:type="dxa" w:w="80"/>
              <w:right w:type="dxa" w:w="100"/>
            </w:tcMar>
          </w:tcPr>
          <w:p>
            <w:r>
              <w:rPr>
                <w:b/>
                <w:bCs/>
                <w:color w:val="FFFFFF"/>
                <w:sz w:val="20"/>
                <w:szCs w:val="20"/>
              </w:rPr>
              <w:t xml:space="preserve">Breakpoint</w:t>
            </w:r>
          </w:p>
        </w:tc>
        <w:tc>
          <w:tcPr>
            <w:tcW w:type="dxa" w:w="7550"/>
            <w:shd w:fill="1B2A4A" w:val="clear"/>
            <w:tcMar>
              <w:top w:type="dxa" w:w="80"/>
              <w:left w:type="dxa" w:w="100"/>
              <w:bottom w:type="dxa" w:w="80"/>
              <w:right w:type="dxa" w:w="100"/>
            </w:tcMar>
          </w:tcPr>
          <w:p>
            <w:r>
              <w:rPr>
                <w:b/>
                <w:bCs/>
                <w:color w:val="FFFFFF"/>
                <w:sz w:val="20"/>
                <w:szCs w:val="20"/>
              </w:rPr>
              <w:t xml:space="preserve">Behavior</w:t>
            </w:r>
          </w:p>
        </w:tc>
      </w:tr>
      <w:tr>
        <w:tc>
          <w:tcPr>
            <w:tcW w:type="dxa" w:w="1800"/>
            <w:tcMar>
              <w:top w:type="dxa" w:w="80"/>
              <w:left w:type="dxa" w:w="100"/>
              <w:bottom w:type="dxa" w:w="80"/>
              <w:right w:type="dxa" w:w="100"/>
            </w:tcMar>
          </w:tcPr>
          <w:p>
            <w:r>
              <w:rPr>
                <w:b w:val="false"/>
                <w:bCs w:val="false"/>
                <w:sz w:val="20"/>
                <w:szCs w:val="20"/>
              </w:rPr>
              <w:t xml:space="preserve">Mobile</w:t>
            </w:r>
          </w:p>
        </w:tc>
        <w:tc>
          <w:tcPr>
            <w:tcW w:type="dxa" w:w="7550"/>
            <w:tcMar>
              <w:top w:type="dxa" w:w="80"/>
              <w:left w:type="dxa" w:w="100"/>
              <w:bottom w:type="dxa" w:w="80"/>
              <w:right w:type="dxa" w:w="100"/>
            </w:tcMar>
          </w:tcPr>
          <w:p>
            <w:r>
              <w:rPr>
                <w:b w:val="false"/>
                <w:bCs w:val="false"/>
                <w:sz w:val="20"/>
                <w:szCs w:val="20"/>
              </w:rPr>
              <w:t xml:space="preserve">Kanban columns become a horizontally swipeable single-column-at-a-time view rather than all columns visible simultaneously</w:t>
            </w:r>
          </w:p>
        </w:tc>
      </w:tr>
      <w:tr>
        <w:tc>
          <w:tcPr>
            <w:tcW w:type="dxa" w:w="1800"/>
            <w:tcMar>
              <w:top w:type="dxa" w:w="80"/>
              <w:left w:type="dxa" w:w="100"/>
              <w:bottom w:type="dxa" w:w="80"/>
              <w:right w:type="dxa" w:w="100"/>
            </w:tcMar>
          </w:tcPr>
          <w:p>
            <w:r>
              <w:rPr>
                <w:b w:val="false"/>
                <w:bCs w:val="false"/>
                <w:sz w:val="20"/>
                <w:szCs w:val="20"/>
              </w:rPr>
              <w:t xml:space="preserve">Tablet</w:t>
            </w:r>
          </w:p>
        </w:tc>
        <w:tc>
          <w:tcPr>
            <w:tcW w:type="dxa" w:w="7550"/>
            <w:tcMar>
              <w:top w:type="dxa" w:w="80"/>
              <w:left w:type="dxa" w:w="100"/>
              <w:bottom w:type="dxa" w:w="80"/>
              <w:right w:type="dxa" w:w="100"/>
            </w:tcMar>
          </w:tcPr>
          <w:p>
            <w:r>
              <w:rPr>
                <w:b w:val="false"/>
                <w:bCs w:val="false"/>
                <w:sz w:val="20"/>
                <w:szCs w:val="20"/>
              </w:rPr>
              <w:t xml:space="preserve">Two columns visible at once with horizontal scroll for the rest</w:t>
            </w:r>
          </w:p>
        </w:tc>
      </w:tr>
      <w:tr>
        <w:tc>
          <w:tcPr>
            <w:tcW w:type="dxa" w:w="1800"/>
            <w:tcMar>
              <w:top w:type="dxa" w:w="80"/>
              <w:left w:type="dxa" w:w="100"/>
              <w:bottom w:type="dxa" w:w="80"/>
              <w:right w:type="dxa" w:w="100"/>
            </w:tcMar>
          </w:tcPr>
          <w:p>
            <w:r>
              <w:rPr>
                <w:b w:val="false"/>
                <w:bCs w:val="false"/>
                <w:sz w:val="20"/>
                <w:szCs w:val="20"/>
              </w:rPr>
              <w:t xml:space="preserve">Desktop+</w:t>
            </w:r>
          </w:p>
        </w:tc>
        <w:tc>
          <w:tcPr>
            <w:tcW w:type="dxa" w:w="7550"/>
            <w:tcMar>
              <w:top w:type="dxa" w:w="80"/>
              <w:left w:type="dxa" w:w="100"/>
              <w:bottom w:type="dxa" w:w="80"/>
              <w:right w:type="dxa" w:w="100"/>
            </w:tcMar>
          </w:tcPr>
          <w:p>
            <w:r>
              <w:rPr>
                <w:b w:val="false"/>
                <w:bCs w:val="false"/>
                <w:sz w:val="20"/>
                <w:szCs w:val="20"/>
              </w:rPr>
              <w:t xml:space="preserve">All four Kanban columns visible simultaneously</w:t>
            </w:r>
          </w:p>
        </w:tc>
      </w:tr>
    </w:tbl>
    <w:p>
      <w:pPr>
        <w:pStyle w:val="Heading2"/>
        <w:spacing w:after="150" w:before="300"/>
      </w:pPr>
      <w:r>
        <w:t xml:space="preserve">11.13 Empty States</w:t>
      </w:r>
    </w:p>
    <w:p>
      <w:pPr>
        <w:spacing w:after="160"/>
        <w:jc w:val="both"/>
      </w:pPr>
      <w:r>
        <w:t xml:space="preserve">A posting with zero applicants shows an empty 'New' column with guidance ('Candidates will appear here as they apply or match') rather than an empty board with no explanation.</w:t>
      </w:r>
    </w:p>
    <w:p>
      <w:pPr>
        <w:pStyle w:val="Heading2"/>
        <w:spacing w:after="150" w:before="300"/>
      </w:pPr>
      <w:r>
        <w:t xml:space="preserve">11.14 Loading States</w:t>
      </w:r>
    </w:p>
    <w:p>
      <w:pPr>
        <w:spacing w:after="160"/>
        <w:jc w:val="both"/>
      </w:pPr>
      <w:r>
        <w:t xml:space="preserve">Candidate cards load progressively as the ranked pool is computed; a skeleton card placeholder is shown for cards still being scored, consistent with the Volume 1 NFR for match computation latency.</w:t>
      </w:r>
    </w:p>
    <w:p>
      <w:pPr>
        <w:pStyle w:val="Heading2"/>
        <w:spacing w:after="150" w:before="300"/>
      </w:pPr>
      <w:r>
        <w:t xml:space="preserve">11.15 Validation</w:t>
      </w:r>
    </w:p>
    <w:p>
      <w:pPr>
        <w:pStyle w:val="ListParagraph"/>
        <w:numPr>
          <w:ilvl w:val="0"/>
          <w:numId w:val="1"/>
        </w:numPr>
        <w:spacing w:after="80"/>
      </w:pPr>
      <w:r>
        <w:t xml:space="preserve">'New Posting' flow validates required fields (title, description, requirements, location) before a posting can be published, mirroring Volume 1 FR-15</w:t>
      </w:r>
    </w:p>
    <w:p>
      <w:pPr>
        <w:pStyle w:val="Heading2"/>
        <w:spacing w:after="150" w:before="300"/>
      </w:pPr>
      <w:r>
        <w:t xml:space="preserve">11.16 Acceptance Criteria</w:t>
      </w:r>
    </w:p>
    <w:p>
      <w:pPr>
        <w:pStyle w:val="ListParagraph"/>
        <w:numPr>
          <w:ilvl w:val="0"/>
          <w:numId w:val="1"/>
        </w:numPr>
        <w:spacing w:after="80"/>
      </w:pPr>
      <w:r>
        <w:t xml:space="preserve">Given an active posting with applicants, when the recruiter opens the pipeline, then candidates are ranked by match score with rationale available on demand, per Volume 1 FR-16</w:t>
      </w:r>
    </w:p>
    <w:p>
      <w:pPr>
        <w:pStyle w:val="ListParagraph"/>
        <w:numPr>
          <w:ilvl w:val="0"/>
          <w:numId w:val="1"/>
        </w:numPr>
        <w:spacing w:after="80"/>
      </w:pPr>
      <w:r>
        <w:t xml:space="preserve">Given a recruiter drags a candidate card to a new column, when dropped, then the candidate's status updates and the candidate receives a notification where applicable, per Volume 1 FR-17</w:t>
      </w:r>
    </w:p>
    <w:p>
      <w:pPr>
        <w:pStyle w:val="ListParagraph"/>
        <w:numPr>
          <w:ilvl w:val="0"/>
          <w:numId w:val="1"/>
        </w:numPr>
        <w:spacing w:after="80"/>
      </w:pPr>
      <w:r>
        <w:t xml:space="preserve">Given a posting is closed, when viewed, then it moves out of the Active list and becomes read-only in the Closed list</w:t>
      </w:r>
    </w:p>
    <w:p>
      <w:pPr>
        <w:pStyle w:val="Heading2"/>
        <w:spacing w:after="150" w:before="300"/>
      </w:pPr>
      <w:r>
        <w:t xml:space="preserve">11.17 Developer Notes</w:t>
      </w:r>
    </w:p>
    <w:p>
      <w:pPr>
        <w:pStyle w:val="ListParagraph"/>
        <w:numPr>
          <w:ilvl w:val="0"/>
          <w:numId w:val="1"/>
        </w:numPr>
        <w:spacing w:after="80"/>
      </w:pPr>
      <w:r>
        <w:t xml:space="preserve">Candidate ranking and rationale must be sourced from the same matching pipeline used in the candidate-side Swipe Feed (Volume 7), per the Volume 1 §8.4 'closed loop' differentiation requirement — this is not a separate recruiter-only scoring system</w:t>
      </w:r>
    </w:p>
    <w:p>
      <w:pPr>
        <w:pStyle w:val="ListParagraph"/>
        <w:numPr>
          <w:ilvl w:val="0"/>
          <w:numId w:val="1"/>
        </w:numPr>
        <w:spacing w:after="80"/>
      </w:pPr>
      <w:r>
        <w:t xml:space="preserve">Bulk actions (multi-select shortlist/reject) should be supported for high-volume recruiter personas (Karan, Volume 1 §12) without requiring per-card interaction</w:t>
      </w:r>
    </w:p>
    <w:p>
      <w:pPr>
        <w:pStyle w:val="Heading1"/>
        <w:spacing w:after="200" w:before="400"/>
      </w:pPr>
      <w:r>
        <w:t xml:space="preserve">12. Page Specification: Admin Dashboard</w:t>
      </w:r>
    </w:p>
    <w:p>
      <w:pPr>
        <w:pStyle w:val="Heading2"/>
        <w:spacing w:after="150" w:before="300"/>
      </w:pPr>
      <w:r>
        <w:t xml:space="preserve">12.1 Purpose</w:t>
      </w:r>
    </w:p>
    <w:p>
      <w:pPr>
        <w:spacing w:after="160"/>
        <w:jc w:val="both"/>
      </w:pPr>
      <w:r>
        <w:t xml:space="preserve">Give platform administrators tools for trust &amp; safety moderation, recruiter verification, and platform health oversight, as detailed operationally in Volume 14.</w:t>
      </w:r>
    </w:p>
    <w:p>
      <w:pPr>
        <w:pStyle w:val="Heading2"/>
        <w:spacing w:after="150" w:before="300"/>
      </w:pPr>
      <w:r>
        <w:t xml:space="preserve">12.2 Goals</w:t>
      </w:r>
    </w:p>
    <w:p>
      <w:pPr>
        <w:pStyle w:val="ListParagraph"/>
        <w:numPr>
          <w:ilvl w:val="0"/>
          <w:numId w:val="1"/>
        </w:numPr>
        <w:spacing w:after="80"/>
      </w:pPr>
      <w:r>
        <w:t xml:space="preserve">Enable fast review and resolution of flagged content (job postings, resumes, messages)</w:t>
      </w:r>
    </w:p>
    <w:p>
      <w:pPr>
        <w:pStyle w:val="ListParagraph"/>
        <w:numPr>
          <w:ilvl w:val="0"/>
          <w:numId w:val="1"/>
        </w:numPr>
        <w:spacing w:after="80"/>
      </w:pPr>
      <w:r>
        <w:t xml:space="preserve">Provide a queue-based workflow for recruiter identity verification</w:t>
      </w:r>
    </w:p>
    <w:p>
      <w:pPr>
        <w:pStyle w:val="ListParagraph"/>
        <w:numPr>
          <w:ilvl w:val="0"/>
          <w:numId w:val="1"/>
        </w:numPr>
        <w:spacing w:after="80"/>
      </w:pPr>
      <w:r>
        <w:t xml:space="preserve">Surface platform health signals (error rates, AI trust metrics from Volume 1 §6.4) in one place</w:t>
      </w:r>
    </w:p>
    <w:p>
      <w:pPr>
        <w:pStyle w:val="Heading2"/>
        <w:spacing w:after="150" w:before="300"/>
      </w:pPr>
      <w:r>
        <w:t xml:space="preserve">12.3 Layout</w:t>
      </w:r>
    </w:p>
    <w:p>
      <w:pPr>
        <w:spacing w:after="160"/>
        <w:jc w:val="both"/>
      </w:pPr>
      <w:r>
        <w:t xml:space="preserve">Left navigation for admin modules (Moderation Queue, Recruiter Verification, User Management, Platform Health). Main panel is queue/table-based for each module.</w:t>
      </w:r>
    </w:p>
    <w:p>
      <w:pPr>
        <w:pStyle w:val="Heading2"/>
        <w:spacing w:after="150" w:before="300"/>
      </w:pPr>
      <w:r>
        <w:t xml:space="preserve">12.4 Wireframe Description</w:t>
      </w:r>
    </w:p>
    <w:p>
      <w:pPr>
        <w:spacing w:after="160"/>
        <w:jc w:val="both"/>
      </w:pPr>
      <w:r>
        <w:t xml:space="preserve">Moderation Queue: table of flagged items with type, flagged reason, reporter, timestamp, and action buttons (Approve, Remove, Escalate). Recruiter Verification: queue of pending recruiter accounts with submitted business documentation preview and Approve/Reject/Request-More-Info actions. Platform Health: a metrics summary panel (AI hallucination rate, uptime, error rates) pulling from Volume 1 §6.4 trust metrics.</w:t>
      </w:r>
    </w:p>
    <w:p>
      <w:pPr>
        <w:pStyle w:val="Heading2"/>
        <w:spacing w:after="150" w:before="300"/>
      </w:pPr>
      <w:r>
        <w:t xml:space="preserve">12.5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80"/>
              <w:left w:type="dxa" w:w="100"/>
              <w:bottom w:type="dxa" w:w="80"/>
              <w:right w:type="dxa" w:w="100"/>
            </w:tcMar>
          </w:tcPr>
          <w:p>
            <w:r>
              <w:rPr>
                <w:b/>
                <w:bCs/>
                <w:color w:val="FFFFFF"/>
                <w:sz w:val="20"/>
                <w:szCs w:val="20"/>
              </w:rPr>
              <w:t xml:space="preserve">Component</w:t>
            </w:r>
          </w:p>
        </w:tc>
        <w:tc>
          <w:tcPr>
            <w:tcW w:type="dxa" w:w="6750"/>
            <w:shd w:fill="1B2A4A"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Moderation Queue Table</w:t>
            </w:r>
          </w:p>
        </w:tc>
        <w:tc>
          <w:tcPr>
            <w:tcW w:type="dxa" w:w="6750"/>
            <w:tcMar>
              <w:top w:type="dxa" w:w="80"/>
              <w:left w:type="dxa" w:w="100"/>
              <w:bottom w:type="dxa" w:w="80"/>
              <w:right w:type="dxa" w:w="100"/>
            </w:tcMar>
          </w:tcPr>
          <w:p>
            <w:r>
              <w:rPr>
                <w:b w:val="false"/>
                <w:bCs w:val="false"/>
                <w:sz w:val="20"/>
                <w:szCs w:val="20"/>
              </w:rPr>
              <w:t xml:space="preserve">Sortable/filterable table of flagged content items</w:t>
            </w:r>
          </w:p>
        </w:tc>
      </w:tr>
      <w:tr>
        <w:tc>
          <w:tcPr>
            <w:tcW w:type="dxa" w:w="2600"/>
            <w:tcMar>
              <w:top w:type="dxa" w:w="80"/>
              <w:left w:type="dxa" w:w="100"/>
              <w:bottom w:type="dxa" w:w="80"/>
              <w:right w:type="dxa" w:w="100"/>
            </w:tcMar>
          </w:tcPr>
          <w:p>
            <w:r>
              <w:rPr>
                <w:b w:val="false"/>
                <w:bCs w:val="false"/>
                <w:sz w:val="20"/>
                <w:szCs w:val="20"/>
              </w:rPr>
              <w:t xml:space="preserve">Verification Review Card</w:t>
            </w:r>
          </w:p>
        </w:tc>
        <w:tc>
          <w:tcPr>
            <w:tcW w:type="dxa" w:w="6750"/>
            <w:tcMar>
              <w:top w:type="dxa" w:w="80"/>
              <w:left w:type="dxa" w:w="100"/>
              <w:bottom w:type="dxa" w:w="80"/>
              <w:right w:type="dxa" w:w="100"/>
            </w:tcMar>
          </w:tcPr>
          <w:p>
            <w:r>
              <w:rPr>
                <w:b w:val="false"/>
                <w:bCs w:val="false"/>
                <w:sz w:val="20"/>
                <w:szCs w:val="20"/>
              </w:rPr>
              <w:t xml:space="preserve">Recruiter submission details with document preview and decision controls</w:t>
            </w:r>
          </w:p>
        </w:tc>
      </w:tr>
      <w:tr>
        <w:tc>
          <w:tcPr>
            <w:tcW w:type="dxa" w:w="2600"/>
            <w:tcMar>
              <w:top w:type="dxa" w:w="80"/>
              <w:left w:type="dxa" w:w="100"/>
              <w:bottom w:type="dxa" w:w="80"/>
              <w:right w:type="dxa" w:w="100"/>
            </w:tcMar>
          </w:tcPr>
          <w:p>
            <w:r>
              <w:rPr>
                <w:b w:val="false"/>
                <w:bCs w:val="false"/>
                <w:sz w:val="20"/>
                <w:szCs w:val="20"/>
              </w:rPr>
              <w:t xml:space="preserve">Platform Health Metric Tile</w:t>
            </w:r>
          </w:p>
        </w:tc>
        <w:tc>
          <w:tcPr>
            <w:tcW w:type="dxa" w:w="6750"/>
            <w:tcMar>
              <w:top w:type="dxa" w:w="80"/>
              <w:left w:type="dxa" w:w="100"/>
              <w:bottom w:type="dxa" w:w="80"/>
              <w:right w:type="dxa" w:w="100"/>
            </w:tcMar>
          </w:tcPr>
          <w:p>
            <w:r>
              <w:rPr>
                <w:b w:val="false"/>
                <w:bCs w:val="false"/>
                <w:sz w:val="20"/>
                <w:szCs w:val="20"/>
              </w:rPr>
              <w:t xml:space="preserve">Single-metric summary card with current value and trend indicator</w:t>
            </w:r>
          </w:p>
        </w:tc>
      </w:tr>
      <w:tr>
        <w:tc>
          <w:tcPr>
            <w:tcW w:type="dxa" w:w="2600"/>
            <w:tcMar>
              <w:top w:type="dxa" w:w="80"/>
              <w:left w:type="dxa" w:w="100"/>
              <w:bottom w:type="dxa" w:w="80"/>
              <w:right w:type="dxa" w:w="100"/>
            </w:tcMar>
          </w:tcPr>
          <w:p>
            <w:r>
              <w:rPr>
                <w:b w:val="false"/>
                <w:bCs w:val="false"/>
                <w:sz w:val="20"/>
                <w:szCs w:val="20"/>
              </w:rPr>
              <w:t xml:space="preserve">Audit Log Panel</w:t>
            </w:r>
          </w:p>
        </w:tc>
        <w:tc>
          <w:tcPr>
            <w:tcW w:type="dxa" w:w="6750"/>
            <w:tcMar>
              <w:top w:type="dxa" w:w="80"/>
              <w:left w:type="dxa" w:w="100"/>
              <w:bottom w:type="dxa" w:w="80"/>
              <w:right w:type="dxa" w:w="100"/>
            </w:tcMar>
          </w:tcPr>
          <w:p>
            <w:r>
              <w:rPr>
                <w:b w:val="false"/>
                <w:bCs w:val="false"/>
                <w:sz w:val="20"/>
                <w:szCs w:val="20"/>
              </w:rPr>
              <w:t xml:space="preserve">Chronological record of admin actions taken, per Volume 10 audit logging requirement</w:t>
            </w:r>
          </w:p>
        </w:tc>
      </w:tr>
    </w:tbl>
    <w:p>
      <w:pPr>
        <w:pStyle w:val="Heading2"/>
        <w:spacing w:after="150" w:before="300"/>
      </w:pPr>
      <w:r>
        <w:t xml:space="preserve">12.6 Typography</w:t>
      </w:r>
    </w:p>
    <w:p>
      <w:pPr>
        <w:spacing w:after="160"/>
        <w:jc w:val="both"/>
      </w:pPr>
      <w:r>
        <w:t xml:space="preserve">Table headers use Type-Label. Table cell content Type-Body. Metric tile values use Type-H1 with Type-Caption trend labels.</w:t>
      </w:r>
    </w:p>
    <w:p>
      <w:pPr>
        <w:pStyle w:val="Heading2"/>
        <w:spacing w:after="150" w:before="300"/>
      </w:pPr>
      <w:r>
        <w:t xml:space="preserve">12.7 Spacing</w:t>
      </w:r>
    </w:p>
    <w:p>
      <w:pPr>
        <w:spacing w:after="160"/>
        <w:jc w:val="both"/>
      </w:pPr>
      <w:r>
        <w:t xml:space="preserve">Table row height consistent at Space-6 minimum for touch/click target size. Metric tiles arranged in a grid with Space-5 gaps.</w:t>
      </w:r>
    </w:p>
    <w:p>
      <w:pPr>
        <w:pStyle w:val="Heading2"/>
        <w:spacing w:after="150" w:before="300"/>
      </w:pPr>
      <w:r>
        <w:t xml:space="preserve">12.8 Colors</w:t>
      </w:r>
    </w:p>
    <w:p>
      <w:pPr>
        <w:spacing w:after="160"/>
        <w:jc w:val="both"/>
      </w:pPr>
      <w:r>
        <w:t xml:space="preserve">Flagged-severity indicators: Error-Red (high severity), Warning-Amber (medium), Neutral (low). Metric tile trend arrows use Success-Green (improving) / Error-Red (degrading).</w:t>
      </w:r>
    </w:p>
    <w:p>
      <w:pPr>
        <w:pStyle w:val="Heading2"/>
        <w:spacing w:after="150" w:before="300"/>
      </w:pPr>
      <w:r>
        <w:t xml:space="preserve">12.9 Animations</w:t>
      </w:r>
    </w:p>
    <w:p>
      <w:pPr>
        <w:pStyle w:val="ListParagraph"/>
        <w:numPr>
          <w:ilvl w:val="0"/>
          <w:numId w:val="1"/>
        </w:numPr>
        <w:spacing w:after="80"/>
      </w:pPr>
      <w:r>
        <w:t xml:space="preserve">Row removal after an action (Approve/Remove) animates with a collapse-and-fade (150ms) rather than an abrupt disappearance</w:t>
      </w:r>
    </w:p>
    <w:p>
      <w:pPr>
        <w:pStyle w:val="Heading2"/>
        <w:spacing w:after="150" w:before="300"/>
      </w:pPr>
      <w:r>
        <w:t xml:space="preserve">12.10 Icons</w:t>
      </w:r>
    </w:p>
    <w:p>
      <w:pPr>
        <w:spacing w:after="160"/>
        <w:jc w:val="both"/>
      </w:pPr>
      <w:r>
        <w:t xml:space="preserve">Flag icon for moderation items, shield/checkmark for verification approval, alert-triangle for escalation, clock icon for audit log entries.</w:t>
      </w:r>
    </w:p>
    <w:p>
      <w:pPr>
        <w:pStyle w:val="Heading2"/>
        <w:spacing w:after="150" w:before="300"/>
      </w:pPr>
      <w:r>
        <w:t xml:space="preserve">12.11 Accessibility</w:t>
      </w:r>
    </w:p>
    <w:p>
      <w:pPr>
        <w:pStyle w:val="ListParagraph"/>
        <w:numPr>
          <w:ilvl w:val="0"/>
          <w:numId w:val="1"/>
        </w:numPr>
        <w:spacing w:after="80"/>
      </w:pPr>
      <w:r>
        <w:t xml:space="preserve">All table actions are operable via keyboard, with clear focus order through rows and action buttons</w:t>
      </w:r>
    </w:p>
    <w:p>
      <w:pPr>
        <w:pStyle w:val="ListParagraph"/>
        <w:numPr>
          <w:ilvl w:val="0"/>
          <w:numId w:val="1"/>
        </w:numPr>
        <w:spacing w:after="80"/>
      </w:pPr>
      <w:r>
        <w:t xml:space="preserve">Decision actions (Approve/Reject/Remove) require an explicit confirmation step to prevent accidental destructive actions, announced via a modal dialog with proper focus trapping</w:t>
      </w:r>
    </w:p>
    <w:p>
      <w:pPr>
        <w:pStyle w:val="Heading2"/>
        <w:spacing w:after="150" w:before="300"/>
      </w:pPr>
      <w:r>
        <w:t xml:space="preserve">12.12 Responsive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B2A4A" w:val="clear"/>
            <w:tcMar>
              <w:top w:type="dxa" w:w="80"/>
              <w:left w:type="dxa" w:w="100"/>
              <w:bottom w:type="dxa" w:w="80"/>
              <w:right w:type="dxa" w:w="100"/>
            </w:tcMar>
          </w:tcPr>
          <w:p>
            <w:r>
              <w:rPr>
                <w:b/>
                <w:bCs/>
                <w:color w:val="FFFFFF"/>
                <w:sz w:val="20"/>
                <w:szCs w:val="20"/>
              </w:rPr>
              <w:t xml:space="preserve">Breakpoint</w:t>
            </w:r>
          </w:p>
        </w:tc>
        <w:tc>
          <w:tcPr>
            <w:tcW w:type="dxa" w:w="7550"/>
            <w:shd w:fill="1B2A4A" w:val="clear"/>
            <w:tcMar>
              <w:top w:type="dxa" w:w="80"/>
              <w:left w:type="dxa" w:w="100"/>
              <w:bottom w:type="dxa" w:w="80"/>
              <w:right w:type="dxa" w:w="100"/>
            </w:tcMar>
          </w:tcPr>
          <w:p>
            <w:r>
              <w:rPr>
                <w:b/>
                <w:bCs/>
                <w:color w:val="FFFFFF"/>
                <w:sz w:val="20"/>
                <w:szCs w:val="20"/>
              </w:rPr>
              <w:t xml:space="preserve">Behavior</w:t>
            </w:r>
          </w:p>
        </w:tc>
      </w:tr>
      <w:tr>
        <w:tc>
          <w:tcPr>
            <w:tcW w:type="dxa" w:w="1800"/>
            <w:tcMar>
              <w:top w:type="dxa" w:w="80"/>
              <w:left w:type="dxa" w:w="100"/>
              <w:bottom w:type="dxa" w:w="80"/>
              <w:right w:type="dxa" w:w="100"/>
            </w:tcMar>
          </w:tcPr>
          <w:p>
            <w:r>
              <w:rPr>
                <w:b w:val="false"/>
                <w:bCs w:val="false"/>
                <w:sz w:val="20"/>
                <w:szCs w:val="20"/>
              </w:rPr>
              <w:t xml:space="preserve">Tablet+</w:t>
            </w:r>
          </w:p>
        </w:tc>
        <w:tc>
          <w:tcPr>
            <w:tcW w:type="dxa" w:w="7550"/>
            <w:tcMar>
              <w:top w:type="dxa" w:w="80"/>
              <w:left w:type="dxa" w:w="100"/>
              <w:bottom w:type="dxa" w:w="80"/>
              <w:right w:type="dxa" w:w="100"/>
            </w:tcMar>
          </w:tcPr>
          <w:p>
            <w:r>
              <w:rPr>
                <w:b w:val="false"/>
                <w:bCs w:val="false"/>
                <w:sz w:val="20"/>
                <w:szCs w:val="20"/>
              </w:rPr>
              <w:t xml:space="preserve">Admin Dashboard is designed primarily for desktop/tablet administrative use; mobile support is limited to read-only monitoring views, not full moderation actions</w:t>
            </w:r>
          </w:p>
        </w:tc>
      </w:tr>
    </w:tbl>
    <w:p>
      <w:pPr>
        <w:pStyle w:val="Heading2"/>
        <w:spacing w:after="150" w:before="300"/>
      </w:pPr>
      <w:r>
        <w:t xml:space="preserve">12.13 Empty States</w:t>
      </w:r>
    </w:p>
    <w:p>
      <w:pPr>
        <w:spacing w:after="160"/>
        <w:jc w:val="both"/>
      </w:pPr>
      <w:r>
        <w:t xml:space="preserve">An empty Moderation Queue displays 'No items require review' rather than a blank table, to positively confirm the queue was checked and is genuinely empty.</w:t>
      </w:r>
    </w:p>
    <w:p>
      <w:pPr>
        <w:pStyle w:val="Heading2"/>
        <w:spacing w:after="150" w:before="300"/>
      </w:pPr>
      <w:r>
        <w:t xml:space="preserve">12.14 Loading States</w:t>
      </w:r>
    </w:p>
    <w:p>
      <w:pPr>
        <w:spacing w:after="160"/>
        <w:jc w:val="both"/>
      </w:pPr>
      <w:r>
        <w:t xml:space="preserve">Tables show skeleton rows while queue data loads; Platform Health tiles show a neutral placeholder value (em dash) rather than a stale or zero value while metrics are being computed.</w:t>
      </w:r>
    </w:p>
    <w:p>
      <w:pPr>
        <w:pStyle w:val="Heading2"/>
        <w:spacing w:after="150" w:before="300"/>
      </w:pPr>
      <w:r>
        <w:t xml:space="preserve">12.15 Validation</w:t>
      </w:r>
    </w:p>
    <w:p>
      <w:pPr>
        <w:pStyle w:val="ListParagraph"/>
        <w:numPr>
          <w:ilvl w:val="0"/>
          <w:numId w:val="1"/>
        </w:numPr>
        <w:spacing w:after="80"/>
      </w:pPr>
      <w:r>
        <w:t xml:space="preserve">Rejection/removal actions require a reason to be selected from a controlled list (or free-text minimum length) before submission, to support the audit log requirement in Volume 10</w:t>
      </w:r>
    </w:p>
    <w:p>
      <w:pPr>
        <w:pStyle w:val="Heading2"/>
        <w:spacing w:after="150" w:before="300"/>
      </w:pPr>
      <w:r>
        <w:t xml:space="preserve">12.16 Acceptance Criteria</w:t>
      </w:r>
    </w:p>
    <w:p>
      <w:pPr>
        <w:pStyle w:val="ListParagraph"/>
        <w:numPr>
          <w:ilvl w:val="0"/>
          <w:numId w:val="1"/>
        </w:numPr>
        <w:spacing w:after="80"/>
      </w:pPr>
      <w:r>
        <w:t xml:space="preserve">Given a flagged item in the moderation queue, when an admin takes an action, then the item is removed from the active queue and the action is recorded in the audit log with admin identity and timestamp</w:t>
      </w:r>
    </w:p>
    <w:p>
      <w:pPr>
        <w:pStyle w:val="ListParagraph"/>
        <w:numPr>
          <w:ilvl w:val="0"/>
          <w:numId w:val="1"/>
        </w:numPr>
        <w:spacing w:after="80"/>
      </w:pPr>
      <w:r>
        <w:t xml:space="preserve">Given a pending recruiter verification, when approved, then the recruiter account gains job-posting capability immediately, per Volume 1 §13.2 Stage 1</w:t>
      </w:r>
    </w:p>
    <w:p>
      <w:pPr>
        <w:pStyle w:val="ListParagraph"/>
        <w:numPr>
          <w:ilvl w:val="0"/>
          <w:numId w:val="1"/>
        </w:numPr>
        <w:spacing w:after="80"/>
      </w:pPr>
      <w:r>
        <w:t xml:space="preserve">Given the Platform Health panel, when opened, then it reflects current values for the trust metrics defined in Volume 1 §6.4, not cached values older than the defined refresh interval</w:t>
      </w:r>
    </w:p>
    <w:p>
      <w:pPr>
        <w:pStyle w:val="Heading2"/>
        <w:spacing w:after="150" w:before="300"/>
      </w:pPr>
      <w:r>
        <w:t xml:space="preserve">12.17 Developer Notes</w:t>
      </w:r>
    </w:p>
    <w:p>
      <w:pPr>
        <w:pStyle w:val="ListParagraph"/>
        <w:numPr>
          <w:ilvl w:val="0"/>
          <w:numId w:val="1"/>
        </w:numPr>
        <w:spacing w:after="80"/>
      </w:pPr>
      <w:r>
        <w:t xml:space="preserve">All admin actions must write to an immutable audit log per Volume 10 Security Architecture; the Admin Dashboard UI must never permit an action without a corresponding audit entry</w:t>
      </w:r>
    </w:p>
    <w:p>
      <w:pPr>
        <w:pStyle w:val="ListParagraph"/>
        <w:numPr>
          <w:ilvl w:val="0"/>
          <w:numId w:val="1"/>
        </w:numPr>
        <w:spacing w:after="80"/>
      </w:pPr>
      <w:r>
        <w:t xml:space="preserve">Admin Dashboard access must be gated by role-based access control (Volume 4/10) distinct from candidate/recruiter authentication</w:t>
      </w:r>
    </w:p>
    <w:p>
      <w:pPr>
        <w:pStyle w:val="Heading1"/>
        <w:spacing w:after="200" w:before="400"/>
      </w:pPr>
      <w:r>
        <w:t xml:space="preserve">13. Page Specification: Analytics</w:t>
      </w:r>
    </w:p>
    <w:p>
      <w:pPr>
        <w:pStyle w:val="Heading2"/>
        <w:spacing w:after="150" w:before="300"/>
      </w:pPr>
      <w:r>
        <w:t xml:space="preserve">13.1 Purpose</w:t>
      </w:r>
    </w:p>
    <w:p>
      <w:pPr>
        <w:spacing w:after="160"/>
        <w:jc w:val="both"/>
      </w:pPr>
      <w:r>
        <w:t xml:space="preserve">Provide candidates and recruiters with real-time visibility into their funnel performance (Volume 1 differentiator: Real-time Career Analytics).</w:t>
      </w:r>
    </w:p>
    <w:p>
      <w:pPr>
        <w:pStyle w:val="Heading2"/>
        <w:spacing w:after="150" w:before="300"/>
      </w:pPr>
      <w:r>
        <w:t xml:space="preserve">13.2 Goals</w:t>
      </w:r>
    </w:p>
    <w:p>
      <w:pPr>
        <w:pStyle w:val="ListParagraph"/>
        <w:numPr>
          <w:ilvl w:val="0"/>
          <w:numId w:val="1"/>
        </w:numPr>
        <w:spacing w:after="80"/>
      </w:pPr>
      <w:r>
        <w:t xml:space="preserve">Give candidates visibility into their application funnel (matches → applications → responses → interviews)</w:t>
      </w:r>
    </w:p>
    <w:p>
      <w:pPr>
        <w:pStyle w:val="ListParagraph"/>
        <w:numPr>
          <w:ilvl w:val="0"/>
          <w:numId w:val="1"/>
        </w:numPr>
        <w:spacing w:after="80"/>
      </w:pPr>
      <w:r>
        <w:t xml:space="preserve">Give recruiters visibility into posting performance (views → applications → shortlists → hires)</w:t>
      </w:r>
    </w:p>
    <w:p>
      <w:pPr>
        <w:pStyle w:val="ListParagraph"/>
        <w:numPr>
          <w:ilvl w:val="0"/>
          <w:numId w:val="1"/>
        </w:numPr>
        <w:spacing w:after="80"/>
      </w:pPr>
      <w:r>
        <w:t xml:space="preserve">Present trends over time, not just point-in-time snapshots</w:t>
      </w:r>
    </w:p>
    <w:p>
      <w:pPr>
        <w:pStyle w:val="Heading2"/>
        <w:spacing w:after="150" w:before="300"/>
      </w:pPr>
      <w:r>
        <w:t xml:space="preserve">13.3 Layout</w:t>
      </w:r>
    </w:p>
    <w:p>
      <w:pPr>
        <w:spacing w:after="160"/>
        <w:jc w:val="both"/>
      </w:pPr>
      <w:r>
        <w:t xml:space="preserve">Top summary metric row (key numbers), followed by a funnel visualization, followed by a trend chart over a selectable time range.</w:t>
      </w:r>
    </w:p>
    <w:p>
      <w:pPr>
        <w:pStyle w:val="Heading2"/>
        <w:spacing w:after="150" w:before="300"/>
      </w:pPr>
      <w:r>
        <w:t xml:space="preserve">13.4 Wireframe Description</w:t>
      </w:r>
    </w:p>
    <w:p>
      <w:pPr>
        <w:spacing w:after="160"/>
        <w:jc w:val="both"/>
      </w:pPr>
      <w:r>
        <w:t xml:space="preserve">Summary row: 3–4 key metric tiles relevant to the audience (candidate: matches this week, applications, response rate; recruiter: views, applications, fill rate). Below: funnel diagram showing stage-by-stage drop-off. Below: line/bar trend chart with a time-range selector (7 days / 30 days / 90 days).</w:t>
      </w:r>
    </w:p>
    <w:p>
      <w:pPr>
        <w:pStyle w:val="Heading2"/>
        <w:spacing w:after="150" w:before="300"/>
      </w:pPr>
      <w:r>
        <w:t xml:space="preserve">13.5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80"/>
              <w:left w:type="dxa" w:w="100"/>
              <w:bottom w:type="dxa" w:w="80"/>
              <w:right w:type="dxa" w:w="100"/>
            </w:tcMar>
          </w:tcPr>
          <w:p>
            <w:r>
              <w:rPr>
                <w:b/>
                <w:bCs/>
                <w:color w:val="FFFFFF"/>
                <w:sz w:val="20"/>
                <w:szCs w:val="20"/>
              </w:rPr>
              <w:t xml:space="preserve">Component</w:t>
            </w:r>
          </w:p>
        </w:tc>
        <w:tc>
          <w:tcPr>
            <w:tcW w:type="dxa" w:w="6750"/>
            <w:shd w:fill="1B2A4A"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Metric Summary Tile</w:t>
            </w:r>
          </w:p>
        </w:tc>
        <w:tc>
          <w:tcPr>
            <w:tcW w:type="dxa" w:w="6750"/>
            <w:tcMar>
              <w:top w:type="dxa" w:w="80"/>
              <w:left w:type="dxa" w:w="100"/>
              <w:bottom w:type="dxa" w:w="80"/>
              <w:right w:type="dxa" w:w="100"/>
            </w:tcMar>
          </w:tcPr>
          <w:p>
            <w:r>
              <w:rPr>
                <w:b w:val="false"/>
                <w:bCs w:val="false"/>
                <w:sz w:val="20"/>
                <w:szCs w:val="20"/>
              </w:rPr>
              <w:t xml:space="preserve">Single KPI with current value and period-over-period change</w:t>
            </w:r>
          </w:p>
        </w:tc>
      </w:tr>
      <w:tr>
        <w:tc>
          <w:tcPr>
            <w:tcW w:type="dxa" w:w="2600"/>
            <w:tcMar>
              <w:top w:type="dxa" w:w="80"/>
              <w:left w:type="dxa" w:w="100"/>
              <w:bottom w:type="dxa" w:w="80"/>
              <w:right w:type="dxa" w:w="100"/>
            </w:tcMar>
          </w:tcPr>
          <w:p>
            <w:r>
              <w:rPr>
                <w:b w:val="false"/>
                <w:bCs w:val="false"/>
                <w:sz w:val="20"/>
                <w:szCs w:val="20"/>
              </w:rPr>
              <w:t xml:space="preserve">Funnel Chart</w:t>
            </w:r>
          </w:p>
        </w:tc>
        <w:tc>
          <w:tcPr>
            <w:tcW w:type="dxa" w:w="6750"/>
            <w:tcMar>
              <w:top w:type="dxa" w:w="80"/>
              <w:left w:type="dxa" w:w="100"/>
              <w:bottom w:type="dxa" w:w="80"/>
              <w:right w:type="dxa" w:w="100"/>
            </w:tcMar>
          </w:tcPr>
          <w:p>
            <w:r>
              <w:rPr>
                <w:b w:val="false"/>
                <w:bCs w:val="false"/>
                <w:sz w:val="20"/>
                <w:szCs w:val="20"/>
              </w:rPr>
              <w:t xml:space="preserve">Stage-by-stage visualization of conversion and drop-off</w:t>
            </w:r>
          </w:p>
        </w:tc>
      </w:tr>
      <w:tr>
        <w:tc>
          <w:tcPr>
            <w:tcW w:type="dxa" w:w="2600"/>
            <w:tcMar>
              <w:top w:type="dxa" w:w="80"/>
              <w:left w:type="dxa" w:w="100"/>
              <w:bottom w:type="dxa" w:w="80"/>
              <w:right w:type="dxa" w:w="100"/>
            </w:tcMar>
          </w:tcPr>
          <w:p>
            <w:r>
              <w:rPr>
                <w:b w:val="false"/>
                <w:bCs w:val="false"/>
                <w:sz w:val="20"/>
                <w:szCs w:val="20"/>
              </w:rPr>
              <w:t xml:space="preserve">Trend Chart</w:t>
            </w:r>
          </w:p>
        </w:tc>
        <w:tc>
          <w:tcPr>
            <w:tcW w:type="dxa" w:w="6750"/>
            <w:tcMar>
              <w:top w:type="dxa" w:w="80"/>
              <w:left w:type="dxa" w:w="100"/>
              <w:bottom w:type="dxa" w:w="80"/>
              <w:right w:type="dxa" w:w="100"/>
            </w:tcMar>
          </w:tcPr>
          <w:p>
            <w:r>
              <w:rPr>
                <w:b w:val="false"/>
                <w:bCs w:val="false"/>
                <w:sz w:val="20"/>
                <w:szCs w:val="20"/>
              </w:rPr>
              <w:t xml:space="preserve">Time-series chart with selectable range</w:t>
            </w:r>
          </w:p>
        </w:tc>
      </w:tr>
      <w:tr>
        <w:tc>
          <w:tcPr>
            <w:tcW w:type="dxa" w:w="2600"/>
            <w:tcMar>
              <w:top w:type="dxa" w:w="80"/>
              <w:left w:type="dxa" w:w="100"/>
              <w:bottom w:type="dxa" w:w="80"/>
              <w:right w:type="dxa" w:w="100"/>
            </w:tcMar>
          </w:tcPr>
          <w:p>
            <w:r>
              <w:rPr>
                <w:b w:val="false"/>
                <w:bCs w:val="false"/>
                <w:sz w:val="20"/>
                <w:szCs w:val="20"/>
              </w:rPr>
              <w:t xml:space="preserve">Time Range Selector</w:t>
            </w:r>
          </w:p>
        </w:tc>
        <w:tc>
          <w:tcPr>
            <w:tcW w:type="dxa" w:w="6750"/>
            <w:tcMar>
              <w:top w:type="dxa" w:w="80"/>
              <w:left w:type="dxa" w:w="100"/>
              <w:bottom w:type="dxa" w:w="80"/>
              <w:right w:type="dxa" w:w="100"/>
            </w:tcMar>
          </w:tcPr>
          <w:p>
            <w:r>
              <w:rPr>
                <w:b w:val="false"/>
                <w:bCs w:val="false"/>
                <w:sz w:val="20"/>
                <w:szCs w:val="20"/>
              </w:rPr>
              <w:t xml:space="preserve">Segmented control for 7/30/90-day views</w:t>
            </w:r>
          </w:p>
        </w:tc>
      </w:tr>
    </w:tbl>
    <w:p>
      <w:pPr>
        <w:pStyle w:val="Heading2"/>
        <w:spacing w:after="150" w:before="300"/>
      </w:pPr>
      <w:r>
        <w:t xml:space="preserve">13.6 Typography</w:t>
      </w:r>
    </w:p>
    <w:p>
      <w:pPr>
        <w:spacing w:after="160"/>
        <w:jc w:val="both"/>
      </w:pPr>
      <w:r>
        <w:t xml:space="preserve">Metric tile values use Type-H1; labels use Type-Caption. Chart axis labels use Type-Caption. Funnel stage labels use Type-Label.</w:t>
      </w:r>
    </w:p>
    <w:p>
      <w:pPr>
        <w:pStyle w:val="Heading2"/>
        <w:spacing w:after="150" w:before="300"/>
      </w:pPr>
      <w:r>
        <w:t xml:space="preserve">13.7 Spacing</w:t>
      </w:r>
    </w:p>
    <w:p>
      <w:pPr>
        <w:spacing w:after="160"/>
        <w:jc w:val="both"/>
      </w:pPr>
      <w:r>
        <w:t xml:space="preserve">Metric tiles arranged in a responsive grid with Space-5 gaps. Chart container padding Space-5.</w:t>
      </w:r>
    </w:p>
    <w:p>
      <w:pPr>
        <w:pStyle w:val="Heading2"/>
        <w:spacing w:after="150" w:before="300"/>
      </w:pPr>
      <w:r>
        <w:t xml:space="preserve">13.8 Colors</w:t>
      </w:r>
    </w:p>
    <w:p>
      <w:pPr>
        <w:spacing w:after="160"/>
        <w:jc w:val="both"/>
      </w:pPr>
      <w:r>
        <w:t xml:space="preserve">Funnel stages use a graduated Teal-500 tint scale (darkest at the top/widest stage, lighter toward narrower stages). Trend chart uses Navy-900 for the primary line/bars, Teal-500 for a comparison/secondary series where applicable.</w:t>
      </w:r>
    </w:p>
    <w:p>
      <w:pPr>
        <w:pStyle w:val="Heading2"/>
        <w:spacing w:after="150" w:before="300"/>
      </w:pPr>
      <w:r>
        <w:t xml:space="preserve">13.9 Animations</w:t>
      </w:r>
    </w:p>
    <w:p>
      <w:pPr>
        <w:pStyle w:val="ListParagraph"/>
        <w:numPr>
          <w:ilvl w:val="0"/>
          <w:numId w:val="1"/>
        </w:numPr>
        <w:spacing w:after="80"/>
      </w:pPr>
      <w:r>
        <w:t xml:space="preserve">Metric tiles count up from zero to their value on first render (400ms)</w:t>
      </w:r>
    </w:p>
    <w:p>
      <w:pPr>
        <w:pStyle w:val="ListParagraph"/>
        <w:numPr>
          <w:ilvl w:val="0"/>
          <w:numId w:val="1"/>
        </w:numPr>
        <w:spacing w:after="80"/>
      </w:pPr>
      <w:r>
        <w:t xml:space="preserve">Funnel chart segments animate their width/height on load (300ms staggered by stage)</w:t>
      </w:r>
    </w:p>
    <w:p>
      <w:pPr>
        <w:pStyle w:val="ListParagraph"/>
        <w:numPr>
          <w:ilvl w:val="0"/>
          <w:numId w:val="1"/>
        </w:numPr>
        <w:spacing w:after="80"/>
      </w:pPr>
      <w:r>
        <w:t xml:space="preserve">Trend chart re-renders with a smooth transition (200ms) when the time range selector changes, rather than an abrupt redraw</w:t>
      </w:r>
    </w:p>
    <w:p>
      <w:pPr>
        <w:pStyle w:val="Heading2"/>
        <w:spacing w:after="150" w:before="300"/>
      </w:pPr>
      <w:r>
        <w:t xml:space="preserve">13.10 Icons</w:t>
      </w:r>
    </w:p>
    <w:p>
      <w:pPr>
        <w:spacing w:after="160"/>
        <w:jc w:val="both"/>
      </w:pPr>
      <w:r>
        <w:t xml:space="preserve">Trend arrows (up/down) on metric tiles. Funnel icon in the section header. Calendar icon on the time range selector.</w:t>
      </w:r>
    </w:p>
    <w:p>
      <w:pPr>
        <w:pStyle w:val="Heading2"/>
        <w:spacing w:after="150" w:before="300"/>
      </w:pPr>
      <w:r>
        <w:t xml:space="preserve">13.11 Accessibility</w:t>
      </w:r>
    </w:p>
    <w:p>
      <w:pPr>
        <w:pStyle w:val="ListParagraph"/>
        <w:numPr>
          <w:ilvl w:val="0"/>
          <w:numId w:val="1"/>
        </w:numPr>
        <w:spacing w:after="80"/>
      </w:pPr>
      <w:r>
        <w:t xml:space="preserve">All chart data is available in an accessible tabular format as an alternative to the visual chart (e.g., a 'View as table' toggle)</w:t>
      </w:r>
    </w:p>
    <w:p>
      <w:pPr>
        <w:pStyle w:val="ListParagraph"/>
        <w:numPr>
          <w:ilvl w:val="0"/>
          <w:numId w:val="1"/>
        </w:numPr>
        <w:spacing w:after="80"/>
      </w:pPr>
      <w:r>
        <w:t xml:space="preserve">Metric tile trend direction is conveyed with both an icon and a text label ('+12% vs last week'), not color/arrow alone</w:t>
      </w:r>
    </w:p>
    <w:p>
      <w:pPr>
        <w:pStyle w:val="Heading2"/>
        <w:spacing w:after="150" w:before="300"/>
      </w:pPr>
      <w:r>
        <w:t xml:space="preserve">13.12 Responsive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B2A4A" w:val="clear"/>
            <w:tcMar>
              <w:top w:type="dxa" w:w="80"/>
              <w:left w:type="dxa" w:w="100"/>
              <w:bottom w:type="dxa" w:w="80"/>
              <w:right w:type="dxa" w:w="100"/>
            </w:tcMar>
          </w:tcPr>
          <w:p>
            <w:r>
              <w:rPr>
                <w:b/>
                <w:bCs/>
                <w:color w:val="FFFFFF"/>
                <w:sz w:val="20"/>
                <w:szCs w:val="20"/>
              </w:rPr>
              <w:t xml:space="preserve">Breakpoint</w:t>
            </w:r>
          </w:p>
        </w:tc>
        <w:tc>
          <w:tcPr>
            <w:tcW w:type="dxa" w:w="7550"/>
            <w:shd w:fill="1B2A4A" w:val="clear"/>
            <w:tcMar>
              <w:top w:type="dxa" w:w="80"/>
              <w:left w:type="dxa" w:w="100"/>
              <w:bottom w:type="dxa" w:w="80"/>
              <w:right w:type="dxa" w:w="100"/>
            </w:tcMar>
          </w:tcPr>
          <w:p>
            <w:r>
              <w:rPr>
                <w:b/>
                <w:bCs/>
                <w:color w:val="FFFFFF"/>
                <w:sz w:val="20"/>
                <w:szCs w:val="20"/>
              </w:rPr>
              <w:t xml:space="preserve">Behavior</w:t>
            </w:r>
          </w:p>
        </w:tc>
      </w:tr>
      <w:tr>
        <w:tc>
          <w:tcPr>
            <w:tcW w:type="dxa" w:w="1800"/>
            <w:tcMar>
              <w:top w:type="dxa" w:w="80"/>
              <w:left w:type="dxa" w:w="100"/>
              <w:bottom w:type="dxa" w:w="80"/>
              <w:right w:type="dxa" w:w="100"/>
            </w:tcMar>
          </w:tcPr>
          <w:p>
            <w:r>
              <w:rPr>
                <w:b w:val="false"/>
                <w:bCs w:val="false"/>
                <w:sz w:val="20"/>
                <w:szCs w:val="20"/>
              </w:rPr>
              <w:t xml:space="preserve">Mobile</w:t>
            </w:r>
          </w:p>
        </w:tc>
        <w:tc>
          <w:tcPr>
            <w:tcW w:type="dxa" w:w="7550"/>
            <w:tcMar>
              <w:top w:type="dxa" w:w="80"/>
              <w:left w:type="dxa" w:w="100"/>
              <w:bottom w:type="dxa" w:w="80"/>
              <w:right w:type="dxa" w:w="100"/>
            </w:tcMar>
          </w:tcPr>
          <w:p>
            <w:r>
              <w:rPr>
                <w:b w:val="false"/>
                <w:bCs w:val="false"/>
                <w:sz w:val="20"/>
                <w:szCs w:val="20"/>
              </w:rPr>
              <w:t xml:space="preserve">Metric tiles stack 2-up; funnel chart switches to a vertical stacked-bar representation; trend chart remains scrollable horizontally if needed</w:t>
            </w:r>
          </w:p>
        </w:tc>
      </w:tr>
      <w:tr>
        <w:tc>
          <w:tcPr>
            <w:tcW w:type="dxa" w:w="1800"/>
            <w:tcMar>
              <w:top w:type="dxa" w:w="80"/>
              <w:left w:type="dxa" w:w="100"/>
              <w:bottom w:type="dxa" w:w="80"/>
              <w:right w:type="dxa" w:w="100"/>
            </w:tcMar>
          </w:tcPr>
          <w:p>
            <w:r>
              <w:rPr>
                <w:b w:val="false"/>
                <w:bCs w:val="false"/>
                <w:sz w:val="20"/>
                <w:szCs w:val="20"/>
              </w:rPr>
              <w:t xml:space="preserve">Tablet+</w:t>
            </w:r>
          </w:p>
        </w:tc>
        <w:tc>
          <w:tcPr>
            <w:tcW w:type="dxa" w:w="7550"/>
            <w:tcMar>
              <w:top w:type="dxa" w:w="80"/>
              <w:left w:type="dxa" w:w="100"/>
              <w:bottom w:type="dxa" w:w="80"/>
              <w:right w:type="dxa" w:w="100"/>
            </w:tcMar>
          </w:tcPr>
          <w:p>
            <w:r>
              <w:rPr>
                <w:b w:val="false"/>
                <w:bCs w:val="false"/>
                <w:sz w:val="20"/>
                <w:szCs w:val="20"/>
              </w:rPr>
              <w:t xml:space="preserve">Full grid and horizontal funnel/trend layout as described</w:t>
            </w:r>
          </w:p>
        </w:tc>
      </w:tr>
    </w:tbl>
    <w:p>
      <w:pPr>
        <w:pStyle w:val="Heading2"/>
        <w:spacing w:after="150" w:before="300"/>
      </w:pPr>
      <w:r>
        <w:t xml:space="preserve">13.13 Empty States</w:t>
      </w:r>
    </w:p>
    <w:p>
      <w:pPr>
        <w:spacing w:after="160"/>
        <w:jc w:val="both"/>
      </w:pPr>
      <w:r>
        <w:t xml:space="preserve">New accounts with insufficient activity history show a message ('Analytics will appear once you have activity') in place of charts, rather than rendering charts with all-zero, potentially confusing data.</w:t>
      </w:r>
    </w:p>
    <w:p>
      <w:pPr>
        <w:pStyle w:val="Heading2"/>
        <w:spacing w:after="150" w:before="300"/>
      </w:pPr>
      <w:r>
        <w:t xml:space="preserve">13.14 Loading States</w:t>
      </w:r>
    </w:p>
    <w:p>
      <w:pPr>
        <w:spacing w:after="160"/>
        <w:jc w:val="both"/>
      </w:pPr>
      <w:r>
        <w:t xml:space="preserve">Metric tiles and charts each show independent skeleton/shimmer placeholders and load progressively rather than blocking on the full analytics payload, consistent with the Dashboard loading pattern (Section 5.14).</w:t>
      </w:r>
    </w:p>
    <w:p>
      <w:pPr>
        <w:pStyle w:val="Heading2"/>
        <w:spacing w:after="150" w:before="300"/>
      </w:pPr>
      <w:r>
        <w:t xml:space="preserve">13.15 Validation</w:t>
      </w:r>
    </w:p>
    <w:p>
      <w:pPr>
        <w:pStyle w:val="ListParagraph"/>
        <w:numPr>
          <w:ilvl w:val="0"/>
          <w:numId w:val="1"/>
        </w:numPr>
        <w:spacing w:after="80"/>
      </w:pPr>
      <w:r>
        <w:t xml:space="preserve">Not applicable — Analytics is a read-only reporting surface with no form submission beyond the time-range selector</w:t>
      </w:r>
    </w:p>
    <w:p>
      <w:pPr>
        <w:pStyle w:val="Heading2"/>
        <w:spacing w:after="150" w:before="300"/>
      </w:pPr>
      <w:r>
        <w:t xml:space="preserve">13.16 Acceptance Criteria</w:t>
      </w:r>
    </w:p>
    <w:p>
      <w:pPr>
        <w:pStyle w:val="ListParagraph"/>
        <w:numPr>
          <w:ilvl w:val="0"/>
          <w:numId w:val="1"/>
        </w:numPr>
        <w:spacing w:after="80"/>
      </w:pPr>
      <w:r>
        <w:t xml:space="preserve">Given sufficient activity history, when the Analytics page loads, then real-time funnel metrics render per Volume 1 FR-19, within the defined API latency SLA (Volume 6)</w:t>
      </w:r>
    </w:p>
    <w:p>
      <w:pPr>
        <w:pStyle w:val="ListParagraph"/>
        <w:numPr>
          <w:ilvl w:val="0"/>
          <w:numId w:val="1"/>
        </w:numPr>
        <w:spacing w:after="80"/>
      </w:pPr>
      <w:r>
        <w:t xml:space="preserve">Given the user changes the time range selector, when changed, then both the funnel and trend chart update to reflect the newly selected range</w:t>
      </w:r>
    </w:p>
    <w:p>
      <w:pPr>
        <w:pStyle w:val="Heading2"/>
        <w:spacing w:after="150" w:before="300"/>
      </w:pPr>
      <w:r>
        <w:t xml:space="preserve">13.17 Developer Notes</w:t>
      </w:r>
    </w:p>
    <w:p>
      <w:pPr>
        <w:pStyle w:val="ListParagraph"/>
        <w:numPr>
          <w:ilvl w:val="0"/>
          <w:numId w:val="1"/>
        </w:numPr>
        <w:spacing w:after="80"/>
      </w:pPr>
      <w:r>
        <w:t xml:space="preserve">Analytics data must be served from a read-optimized aggregation layer (Volume 4/5) rather than computed live from raw event tables on every page load, to meet real-time responsiveness targets at scale</w:t>
      </w:r>
    </w:p>
    <w:p>
      <w:pPr>
        <w:pStyle w:val="ListParagraph"/>
        <w:numPr>
          <w:ilvl w:val="0"/>
          <w:numId w:val="1"/>
        </w:numPr>
        <w:spacing w:after="80"/>
      </w:pPr>
      <w:r>
        <w:t xml:space="preserve">Candidate and recruiter analytics share the same charting components but bind to different metric definitions (Volume 6 API); avoid duplicating chart-rendering logic per audience</w:t>
      </w:r>
    </w:p>
    <w:p>
      <w:pPr>
        <w:pStyle w:val="Heading1"/>
        <w:spacing w:after="200" w:before="400"/>
      </w:pPr>
      <w:r>
        <w:t xml:space="preserve">14. Page Specification: Notifications</w:t>
      </w:r>
    </w:p>
    <w:p>
      <w:pPr>
        <w:pStyle w:val="Heading2"/>
        <w:spacing w:after="150" w:before="300"/>
      </w:pPr>
      <w:r>
        <w:t xml:space="preserve">14.1 Purpose</w:t>
      </w:r>
    </w:p>
    <w:p>
      <w:pPr>
        <w:spacing w:after="160"/>
        <w:jc w:val="both"/>
      </w:pPr>
      <w:r>
        <w:t xml:space="preserve">Centralize all system-generated alerts (new matches, application status changes, messages, verification updates) in one reviewable list, in addition to push/email delivery.</w:t>
      </w:r>
    </w:p>
    <w:p>
      <w:pPr>
        <w:pStyle w:val="Heading2"/>
        <w:spacing w:after="150" w:before="300"/>
      </w:pPr>
      <w:r>
        <w:t xml:space="preserve">14.2 Goals</w:t>
      </w:r>
    </w:p>
    <w:p>
      <w:pPr>
        <w:pStyle w:val="ListParagraph"/>
        <w:numPr>
          <w:ilvl w:val="0"/>
          <w:numId w:val="1"/>
        </w:numPr>
        <w:spacing w:after="80"/>
      </w:pPr>
      <w:r>
        <w:t xml:space="preserve">Give users a single place to review everything they may have missed via push/email</w:t>
      </w:r>
    </w:p>
    <w:p>
      <w:pPr>
        <w:pStyle w:val="ListParagraph"/>
        <w:numPr>
          <w:ilvl w:val="0"/>
          <w:numId w:val="1"/>
        </w:numPr>
        <w:spacing w:after="80"/>
      </w:pPr>
      <w:r>
        <w:t xml:space="preserve">Clearly distinguish read from unread items and allow bulk mark-as-read</w:t>
      </w:r>
    </w:p>
    <w:p>
      <w:pPr>
        <w:pStyle w:val="ListParagraph"/>
        <w:numPr>
          <w:ilvl w:val="0"/>
          <w:numId w:val="1"/>
        </w:numPr>
        <w:spacing w:after="80"/>
      </w:pPr>
      <w:r>
        <w:t xml:space="preserve">Route each notification directly to its relevant context (e.g., a match notification opens Swipe Feed at that job)</w:t>
      </w:r>
    </w:p>
    <w:p>
      <w:pPr>
        <w:pStyle w:val="Heading2"/>
        <w:spacing w:after="150" w:before="300"/>
      </w:pPr>
      <w:r>
        <w:t xml:space="preserve">14.3 Layout</w:t>
      </w:r>
    </w:p>
    <w:p>
      <w:pPr>
        <w:spacing w:after="160"/>
        <w:jc w:val="both"/>
      </w:pPr>
      <w:r>
        <w:t xml:space="preserve">Single-column list, grouped by recency (Today, This Week, Earlier), with a filter control for notification type (Matches, Applications, Messages, System).</w:t>
      </w:r>
    </w:p>
    <w:p>
      <w:pPr>
        <w:pStyle w:val="Heading2"/>
        <w:spacing w:after="150" w:before="300"/>
      </w:pPr>
      <w:r>
        <w:t xml:space="preserve">14.4 Wireframe Description</w:t>
      </w:r>
    </w:p>
    <w:p>
      <w:pPr>
        <w:spacing w:after="160"/>
        <w:jc w:val="both"/>
      </w:pPr>
      <w:r>
        <w:t xml:space="preserve">Top: 'Notifications' title with 'Mark all as read' action and a type filter dropdown. Below: grouped list sections with notification rows — icon by type, message text, timestamp, unread indicator dot.</w:t>
      </w:r>
    </w:p>
    <w:p>
      <w:pPr>
        <w:pStyle w:val="Heading2"/>
        <w:spacing w:after="150" w:before="300"/>
      </w:pPr>
      <w:r>
        <w:t xml:space="preserve">14.5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80"/>
              <w:left w:type="dxa" w:w="100"/>
              <w:bottom w:type="dxa" w:w="80"/>
              <w:right w:type="dxa" w:w="100"/>
            </w:tcMar>
          </w:tcPr>
          <w:p>
            <w:r>
              <w:rPr>
                <w:b/>
                <w:bCs/>
                <w:color w:val="FFFFFF"/>
                <w:sz w:val="20"/>
                <w:szCs w:val="20"/>
              </w:rPr>
              <w:t xml:space="preserve">Component</w:t>
            </w:r>
          </w:p>
        </w:tc>
        <w:tc>
          <w:tcPr>
            <w:tcW w:type="dxa" w:w="6750"/>
            <w:shd w:fill="1B2A4A"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Notification Row</w:t>
            </w:r>
          </w:p>
        </w:tc>
        <w:tc>
          <w:tcPr>
            <w:tcW w:type="dxa" w:w="6750"/>
            <w:tcMar>
              <w:top w:type="dxa" w:w="80"/>
              <w:left w:type="dxa" w:w="100"/>
              <w:bottom w:type="dxa" w:w="80"/>
              <w:right w:type="dxa" w:w="100"/>
            </w:tcMar>
          </w:tcPr>
          <w:p>
            <w:r>
              <w:rPr>
                <w:b w:val="false"/>
                <w:bCs w:val="false"/>
                <w:sz w:val="20"/>
                <w:szCs w:val="20"/>
              </w:rPr>
              <w:t xml:space="preserve">Icon, message text, timestamp, unread indicator, click-through target</w:t>
            </w:r>
          </w:p>
        </w:tc>
      </w:tr>
      <w:tr>
        <w:tc>
          <w:tcPr>
            <w:tcW w:type="dxa" w:w="2600"/>
            <w:tcMar>
              <w:top w:type="dxa" w:w="80"/>
              <w:left w:type="dxa" w:w="100"/>
              <w:bottom w:type="dxa" w:w="80"/>
              <w:right w:type="dxa" w:w="100"/>
            </w:tcMar>
          </w:tcPr>
          <w:p>
            <w:r>
              <w:rPr>
                <w:b w:val="false"/>
                <w:bCs w:val="false"/>
                <w:sz w:val="20"/>
                <w:szCs w:val="20"/>
              </w:rPr>
              <w:t xml:space="preserve">Group Header</w:t>
            </w:r>
          </w:p>
        </w:tc>
        <w:tc>
          <w:tcPr>
            <w:tcW w:type="dxa" w:w="6750"/>
            <w:tcMar>
              <w:top w:type="dxa" w:w="80"/>
              <w:left w:type="dxa" w:w="100"/>
              <w:bottom w:type="dxa" w:w="80"/>
              <w:right w:type="dxa" w:w="100"/>
            </w:tcMar>
          </w:tcPr>
          <w:p>
            <w:r>
              <w:rPr>
                <w:b w:val="false"/>
                <w:bCs w:val="false"/>
                <w:sz w:val="20"/>
                <w:szCs w:val="20"/>
              </w:rPr>
              <w:t xml:space="preserve">Date-group label (Today / This Week / Earlier)</w:t>
            </w:r>
          </w:p>
        </w:tc>
      </w:tr>
      <w:tr>
        <w:tc>
          <w:tcPr>
            <w:tcW w:type="dxa" w:w="2600"/>
            <w:tcMar>
              <w:top w:type="dxa" w:w="80"/>
              <w:left w:type="dxa" w:w="100"/>
              <w:bottom w:type="dxa" w:w="80"/>
              <w:right w:type="dxa" w:w="100"/>
            </w:tcMar>
          </w:tcPr>
          <w:p>
            <w:r>
              <w:rPr>
                <w:b w:val="false"/>
                <w:bCs w:val="false"/>
                <w:sz w:val="20"/>
                <w:szCs w:val="20"/>
              </w:rPr>
              <w:t xml:space="preserve">Type Filter</w:t>
            </w:r>
          </w:p>
        </w:tc>
        <w:tc>
          <w:tcPr>
            <w:tcW w:type="dxa" w:w="6750"/>
            <w:tcMar>
              <w:top w:type="dxa" w:w="80"/>
              <w:left w:type="dxa" w:w="100"/>
              <w:bottom w:type="dxa" w:w="80"/>
              <w:right w:type="dxa" w:w="100"/>
            </w:tcMar>
          </w:tcPr>
          <w:p>
            <w:r>
              <w:rPr>
                <w:b w:val="false"/>
                <w:bCs w:val="false"/>
                <w:sz w:val="20"/>
                <w:szCs w:val="20"/>
              </w:rPr>
              <w:t xml:space="preserve">Dropdown or chip-based filter by notification category</w:t>
            </w:r>
          </w:p>
        </w:tc>
      </w:tr>
      <w:tr>
        <w:tc>
          <w:tcPr>
            <w:tcW w:type="dxa" w:w="2600"/>
            <w:tcMar>
              <w:top w:type="dxa" w:w="80"/>
              <w:left w:type="dxa" w:w="100"/>
              <w:bottom w:type="dxa" w:w="80"/>
              <w:right w:type="dxa" w:w="100"/>
            </w:tcMar>
          </w:tcPr>
          <w:p>
            <w:r>
              <w:rPr>
                <w:b w:val="false"/>
                <w:bCs w:val="false"/>
                <w:sz w:val="20"/>
                <w:szCs w:val="20"/>
              </w:rPr>
              <w:t xml:space="preserve">Mark-All-Read Action</w:t>
            </w:r>
          </w:p>
        </w:tc>
        <w:tc>
          <w:tcPr>
            <w:tcW w:type="dxa" w:w="6750"/>
            <w:tcMar>
              <w:top w:type="dxa" w:w="80"/>
              <w:left w:type="dxa" w:w="100"/>
              <w:bottom w:type="dxa" w:w="80"/>
              <w:right w:type="dxa" w:w="100"/>
            </w:tcMar>
          </w:tcPr>
          <w:p>
            <w:r>
              <w:rPr>
                <w:b w:val="false"/>
                <w:bCs w:val="false"/>
                <w:sz w:val="20"/>
                <w:szCs w:val="20"/>
              </w:rPr>
              <w:t xml:space="preserve">Bulk action clearing unread state for all visible notifications</w:t>
            </w:r>
          </w:p>
        </w:tc>
      </w:tr>
    </w:tbl>
    <w:p>
      <w:pPr>
        <w:pStyle w:val="Heading2"/>
        <w:spacing w:after="150" w:before="300"/>
      </w:pPr>
      <w:r>
        <w:t xml:space="preserve">14.6 Typography</w:t>
      </w:r>
    </w:p>
    <w:p>
      <w:pPr>
        <w:spacing w:after="160"/>
        <w:jc w:val="both"/>
      </w:pPr>
      <w:r>
        <w:t xml:space="preserve">Group headers use Type-Label uppercase. Notification message text uses Type-Body; unread items use bold weight to differentiate from read items. Timestamps use Type-Caption.</w:t>
      </w:r>
    </w:p>
    <w:p>
      <w:pPr>
        <w:pStyle w:val="Heading2"/>
        <w:spacing w:after="150" w:before="300"/>
      </w:pPr>
      <w:r>
        <w:t xml:space="preserve">14.7 Spacing</w:t>
      </w:r>
    </w:p>
    <w:p>
      <w:pPr>
        <w:spacing w:after="160"/>
        <w:jc w:val="both"/>
      </w:pPr>
      <w:r>
        <w:t xml:space="preserve">Notification rows separated by a thin Neutral-200 divider; row internal padding Space-3.</w:t>
      </w:r>
    </w:p>
    <w:p>
      <w:pPr>
        <w:pStyle w:val="Heading2"/>
        <w:spacing w:after="150" w:before="300"/>
      </w:pPr>
      <w:r>
        <w:t xml:space="preserve">14.8 Colors</w:t>
      </w:r>
    </w:p>
    <w:p>
      <w:pPr>
        <w:spacing w:after="160"/>
        <w:jc w:val="both"/>
      </w:pPr>
      <w:r>
        <w:t xml:space="preserve">Unread indicator dot uses Teal-500. Notification type icons are tinted per category (Gold-500 for match, Success-Green for application progress, Navy-900 for messages, Neutral-600 for system).</w:t>
      </w:r>
    </w:p>
    <w:p>
      <w:pPr>
        <w:pStyle w:val="Heading2"/>
        <w:spacing w:after="150" w:before="300"/>
      </w:pPr>
      <w:r>
        <w:t xml:space="preserve">14.9 Animations</w:t>
      </w:r>
    </w:p>
    <w:p>
      <w:pPr>
        <w:pStyle w:val="ListParagraph"/>
        <w:numPr>
          <w:ilvl w:val="0"/>
          <w:numId w:val="1"/>
        </w:numPr>
        <w:spacing w:after="80"/>
      </w:pPr>
      <w:r>
        <w:t xml:space="preserve">New real-time notifications insert at the top of the 'Today' group with a brief highlight fade (200ms) rather than appearing abruptly</w:t>
      </w:r>
    </w:p>
    <w:p>
      <w:pPr>
        <w:pStyle w:val="ListParagraph"/>
        <w:numPr>
          <w:ilvl w:val="0"/>
          <w:numId w:val="1"/>
        </w:numPr>
        <w:spacing w:after="80"/>
      </w:pPr>
      <w:r>
        <w:t xml:space="preserve">Mark-as-read transitions the row from bold to regular weight with a 100ms fade</w:t>
      </w:r>
    </w:p>
    <w:p>
      <w:pPr>
        <w:pStyle w:val="Heading2"/>
        <w:spacing w:after="150" w:before="300"/>
      </w:pPr>
      <w:r>
        <w:t xml:space="preserve">14.10 Icons</w:t>
      </w:r>
    </w:p>
    <w:p>
      <w:pPr>
        <w:spacing w:after="160"/>
        <w:jc w:val="both"/>
      </w:pPr>
      <w:r>
        <w:t xml:space="preserve">Star/match icon, briefcase/application icon, chat-bubble/message icon, gear/system icon — one per notification category, consistent with icon usage elsewhere in the product.</w:t>
      </w:r>
    </w:p>
    <w:p>
      <w:pPr>
        <w:pStyle w:val="Heading2"/>
        <w:spacing w:after="150" w:before="300"/>
      </w:pPr>
      <w:r>
        <w:t xml:space="preserve">14.11 Accessibility</w:t>
      </w:r>
    </w:p>
    <w:p>
      <w:pPr>
        <w:pStyle w:val="ListParagraph"/>
        <w:numPr>
          <w:ilvl w:val="0"/>
          <w:numId w:val="1"/>
        </w:numPr>
        <w:spacing w:after="80"/>
      </w:pPr>
      <w:r>
        <w:t xml:space="preserve">Unread state is conveyed via both visual weight and an explicit 'unread' accessible label, not the dot indicator alone</w:t>
      </w:r>
    </w:p>
    <w:p>
      <w:pPr>
        <w:pStyle w:val="ListParagraph"/>
        <w:numPr>
          <w:ilvl w:val="0"/>
          <w:numId w:val="1"/>
        </w:numPr>
        <w:spacing w:after="80"/>
      </w:pPr>
      <w:r>
        <w:t xml:space="preserve">Notification list is a properly labeled list landmark with each row keyboard-focusable and activatable via Enter</w:t>
      </w:r>
    </w:p>
    <w:p>
      <w:pPr>
        <w:pStyle w:val="Heading2"/>
        <w:spacing w:after="150" w:before="300"/>
      </w:pPr>
      <w:r>
        <w:t xml:space="preserve">14.12 Responsive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B2A4A" w:val="clear"/>
            <w:tcMar>
              <w:top w:type="dxa" w:w="80"/>
              <w:left w:type="dxa" w:w="100"/>
              <w:bottom w:type="dxa" w:w="80"/>
              <w:right w:type="dxa" w:w="100"/>
            </w:tcMar>
          </w:tcPr>
          <w:p>
            <w:r>
              <w:rPr>
                <w:b/>
                <w:bCs/>
                <w:color w:val="FFFFFF"/>
                <w:sz w:val="20"/>
                <w:szCs w:val="20"/>
              </w:rPr>
              <w:t xml:space="preserve">Breakpoint</w:t>
            </w:r>
          </w:p>
        </w:tc>
        <w:tc>
          <w:tcPr>
            <w:tcW w:type="dxa" w:w="7550"/>
            <w:shd w:fill="1B2A4A" w:val="clear"/>
            <w:tcMar>
              <w:top w:type="dxa" w:w="80"/>
              <w:left w:type="dxa" w:w="100"/>
              <w:bottom w:type="dxa" w:w="80"/>
              <w:right w:type="dxa" w:w="100"/>
            </w:tcMar>
          </w:tcPr>
          <w:p>
            <w:r>
              <w:rPr>
                <w:b/>
                <w:bCs/>
                <w:color w:val="FFFFFF"/>
                <w:sz w:val="20"/>
                <w:szCs w:val="20"/>
              </w:rPr>
              <w:t xml:space="preserve">Behavior</w:t>
            </w:r>
          </w:p>
        </w:tc>
      </w:tr>
      <w:tr>
        <w:tc>
          <w:tcPr>
            <w:tcW w:type="dxa" w:w="1800"/>
            <w:tcMar>
              <w:top w:type="dxa" w:w="80"/>
              <w:left w:type="dxa" w:w="100"/>
              <w:bottom w:type="dxa" w:w="80"/>
              <w:right w:type="dxa" w:w="100"/>
            </w:tcMar>
          </w:tcPr>
          <w:p>
            <w:r>
              <w:rPr>
                <w:b w:val="false"/>
                <w:bCs w:val="false"/>
                <w:sz w:val="20"/>
                <w:szCs w:val="20"/>
              </w:rPr>
              <w:t xml:space="preserve">Mobile</w:t>
            </w:r>
          </w:p>
        </w:tc>
        <w:tc>
          <w:tcPr>
            <w:tcW w:type="dxa" w:w="7550"/>
            <w:tcMar>
              <w:top w:type="dxa" w:w="80"/>
              <w:left w:type="dxa" w:w="100"/>
              <w:bottom w:type="dxa" w:w="80"/>
              <w:right w:type="dxa" w:w="100"/>
            </w:tcMar>
          </w:tcPr>
          <w:p>
            <w:r>
              <w:rPr>
                <w:b w:val="false"/>
                <w:bCs w:val="false"/>
                <w:sz w:val="20"/>
                <w:szCs w:val="20"/>
              </w:rPr>
              <w:t xml:space="preserve">Full-width single column, type filter collapses into a bottom-sheet selector</w:t>
            </w:r>
          </w:p>
        </w:tc>
      </w:tr>
      <w:tr>
        <w:tc>
          <w:tcPr>
            <w:tcW w:type="dxa" w:w="1800"/>
            <w:tcMar>
              <w:top w:type="dxa" w:w="80"/>
              <w:left w:type="dxa" w:w="100"/>
              <w:bottom w:type="dxa" w:w="80"/>
              <w:right w:type="dxa" w:w="100"/>
            </w:tcMar>
          </w:tcPr>
          <w:p>
            <w:r>
              <w:rPr>
                <w:b w:val="false"/>
                <w:bCs w:val="false"/>
                <w:sz w:val="20"/>
                <w:szCs w:val="20"/>
              </w:rPr>
              <w:t xml:space="preserve">Tablet+</w:t>
            </w:r>
          </w:p>
        </w:tc>
        <w:tc>
          <w:tcPr>
            <w:tcW w:type="dxa" w:w="7550"/>
            <w:tcMar>
              <w:top w:type="dxa" w:w="80"/>
              <w:left w:type="dxa" w:w="100"/>
              <w:bottom w:type="dxa" w:w="80"/>
              <w:right w:type="dxa" w:w="100"/>
            </w:tcMar>
          </w:tcPr>
          <w:p>
            <w:r>
              <w:rPr>
                <w:b w:val="false"/>
                <w:bCs w:val="false"/>
                <w:sz w:val="20"/>
                <w:szCs w:val="20"/>
              </w:rPr>
              <w:t xml:space="preserve">Same single-column list with type filter as an inline dropdown</w:t>
            </w:r>
          </w:p>
        </w:tc>
      </w:tr>
    </w:tbl>
    <w:p>
      <w:pPr>
        <w:pStyle w:val="Heading2"/>
        <w:spacing w:after="150" w:before="300"/>
      </w:pPr>
      <w:r>
        <w:t xml:space="preserve">14.13 Empty States</w:t>
      </w:r>
    </w:p>
    <w:p>
      <w:pPr>
        <w:spacing w:after="160"/>
        <w:jc w:val="both"/>
      </w:pPr>
      <w:r>
        <w:t xml:space="preserve">No notifications yet shows 'You're all caught up' with a simple illustration, rather than an empty list with only group headers.</w:t>
      </w:r>
    </w:p>
    <w:p>
      <w:pPr>
        <w:pStyle w:val="Heading2"/>
        <w:spacing w:after="150" w:before="300"/>
      </w:pPr>
      <w:r>
        <w:t xml:space="preserve">14.14 Loading States</w:t>
      </w:r>
    </w:p>
    <w:p>
      <w:pPr>
        <w:spacing w:after="160"/>
        <w:jc w:val="both"/>
      </w:pPr>
      <w:r>
        <w:t xml:space="preserve">Initial load shows 4–6 skeleton rows; real-time delivery of new notifications does not require a loading state since it streams in incrementally.</w:t>
      </w:r>
    </w:p>
    <w:p>
      <w:pPr>
        <w:pStyle w:val="Heading2"/>
        <w:spacing w:after="150" w:before="300"/>
      </w:pPr>
      <w:r>
        <w:t xml:space="preserve">14.15 Validation</w:t>
      </w:r>
    </w:p>
    <w:p>
      <w:pPr>
        <w:pStyle w:val="ListParagraph"/>
        <w:numPr>
          <w:ilvl w:val="0"/>
          <w:numId w:val="1"/>
        </w:numPr>
        <w:spacing w:after="80"/>
      </w:pPr>
      <w:r>
        <w:t xml:space="preserve">Not applicable — read-only list with bulk-action controls only</w:t>
      </w:r>
    </w:p>
    <w:p>
      <w:pPr>
        <w:pStyle w:val="Heading2"/>
        <w:spacing w:after="150" w:before="300"/>
      </w:pPr>
      <w:r>
        <w:t xml:space="preserve">14.16 Acceptance Criteria</w:t>
      </w:r>
    </w:p>
    <w:p>
      <w:pPr>
        <w:pStyle w:val="ListParagraph"/>
        <w:numPr>
          <w:ilvl w:val="0"/>
          <w:numId w:val="1"/>
        </w:numPr>
        <w:spacing w:after="80"/>
      </w:pPr>
      <w:r>
        <w:t xml:space="preserve">Given a new match, application update, or message occurs, when generated, then a corresponding notification appears in this list in addition to any push/email delivery, per Volume 1 FR-18</w:t>
      </w:r>
    </w:p>
    <w:p>
      <w:pPr>
        <w:pStyle w:val="ListParagraph"/>
        <w:numPr>
          <w:ilvl w:val="0"/>
          <w:numId w:val="1"/>
        </w:numPr>
        <w:spacing w:after="80"/>
      </w:pPr>
      <w:r>
        <w:t xml:space="preserve">Given a user clicks a notification, when clicked, then they are routed directly to the relevant context (specific job card, application status, or conversation)</w:t>
      </w:r>
    </w:p>
    <w:p>
      <w:pPr>
        <w:pStyle w:val="Heading2"/>
        <w:spacing w:after="150" w:before="300"/>
      </w:pPr>
      <w:r>
        <w:t xml:space="preserve">14.17 Developer Notes</w:t>
      </w:r>
    </w:p>
    <w:p>
      <w:pPr>
        <w:pStyle w:val="ListParagraph"/>
        <w:numPr>
          <w:ilvl w:val="0"/>
          <w:numId w:val="1"/>
        </w:numPr>
        <w:spacing w:after="80"/>
      </w:pPr>
      <w:r>
        <w:t xml:space="preserve">Notification delivery (in-app, push, email) must be driven by a single event-driven notification service (Volume 4/6) so the in-app list, push payloads, and email content never drift out of sync</w:t>
      </w:r>
    </w:p>
    <w:p>
      <w:pPr>
        <w:pStyle w:val="ListParagraph"/>
        <w:numPr>
          <w:ilvl w:val="0"/>
          <w:numId w:val="1"/>
        </w:numPr>
        <w:spacing w:after="80"/>
      </w:pPr>
      <w:r>
        <w:t xml:space="preserve">Read/unread state must sync across devices/sessions in real time, not be stored purely client-side</w:t>
      </w:r>
    </w:p>
    <w:p>
      <w:pPr>
        <w:pStyle w:val="Heading1"/>
        <w:spacing w:after="200" w:before="400"/>
      </w:pPr>
      <w:r>
        <w:t xml:space="preserve">15. Page Specification: Profile</w:t>
      </w:r>
    </w:p>
    <w:p>
      <w:pPr>
        <w:pStyle w:val="Heading2"/>
        <w:spacing w:after="150" w:before="300"/>
      </w:pPr>
      <w:r>
        <w:t xml:space="preserve">15.1 Purpose</w:t>
      </w:r>
    </w:p>
    <w:p>
      <w:pPr>
        <w:spacing w:after="160"/>
        <w:jc w:val="both"/>
      </w:pPr>
      <w:r>
        <w:t xml:space="preserve">Serve as the user's public/professional profile view — the resume-derived identity surface shown to recruiters (for candidates) or the company profile shown to candidates (for recruiters).</w:t>
      </w:r>
    </w:p>
    <w:p>
      <w:pPr>
        <w:pStyle w:val="Heading2"/>
        <w:spacing w:after="150" w:before="300"/>
      </w:pPr>
      <w:r>
        <w:t xml:space="preserve">15.2 Goals</w:t>
      </w:r>
    </w:p>
    <w:p>
      <w:pPr>
        <w:pStyle w:val="ListParagraph"/>
        <w:numPr>
          <w:ilvl w:val="0"/>
          <w:numId w:val="1"/>
        </w:numPr>
        <w:spacing w:after="80"/>
      </w:pPr>
      <w:r>
        <w:t xml:space="preserve">Present a clean, professional summary derived from the user's resume/company data</w:t>
      </w:r>
    </w:p>
    <w:p>
      <w:pPr>
        <w:pStyle w:val="ListParagraph"/>
        <w:numPr>
          <w:ilvl w:val="0"/>
          <w:numId w:val="1"/>
        </w:numPr>
        <w:spacing w:after="80"/>
      </w:pPr>
      <w:r>
        <w:t xml:space="preserve">Give users control over what is visible to the other side of the marketplace (privacy controls per Volume 1 §7.1.4)</w:t>
      </w:r>
    </w:p>
    <w:p>
      <w:pPr>
        <w:pStyle w:val="ListParagraph"/>
        <w:numPr>
          <w:ilvl w:val="0"/>
          <w:numId w:val="1"/>
        </w:numPr>
        <w:spacing w:after="80"/>
      </w:pPr>
      <w:r>
        <w:t xml:space="preserve">Keep the profile in sync with the underlying resume/company data rather than requiring duplicate entry</w:t>
      </w:r>
    </w:p>
    <w:p>
      <w:pPr>
        <w:pStyle w:val="Heading2"/>
        <w:spacing w:after="150" w:before="300"/>
      </w:pPr>
      <w:r>
        <w:t xml:space="preserve">15.3 Layout</w:t>
      </w:r>
    </w:p>
    <w:p>
      <w:pPr>
        <w:spacing w:after="160"/>
        <w:jc w:val="both"/>
      </w:pPr>
      <w:r>
        <w:t xml:space="preserve">Header band (photo/logo, name/title or company name, key summary line) followed by structured sections mirroring resume/company data (Experience, Education, Skills for candidates; About, Open Roles, Culture for recruiters/companies).</w:t>
      </w:r>
    </w:p>
    <w:p>
      <w:pPr>
        <w:pStyle w:val="Heading2"/>
        <w:spacing w:after="150" w:before="300"/>
      </w:pPr>
      <w:r>
        <w:t xml:space="preserve">15.4 Wireframe Description</w:t>
      </w:r>
    </w:p>
    <w:p>
      <w:pPr>
        <w:spacing w:after="160"/>
        <w:jc w:val="both"/>
      </w:pPr>
      <w:r>
        <w:t xml:space="preserve">Header: avatar/logo, name/title, location, a visibility toggle indicating what recruiters/candidates can currently see. Below: sectioned content blocks matching the underlying data model, each with an 'Edit' affordance routing to the relevant source (Resume Builder for candidates, Company Settings for recruiters).</w:t>
      </w:r>
    </w:p>
    <w:p>
      <w:pPr>
        <w:pStyle w:val="Heading2"/>
        <w:spacing w:after="150" w:before="300"/>
      </w:pPr>
      <w:r>
        <w:t xml:space="preserve">15.5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80"/>
              <w:left w:type="dxa" w:w="100"/>
              <w:bottom w:type="dxa" w:w="80"/>
              <w:right w:type="dxa" w:w="100"/>
            </w:tcMar>
          </w:tcPr>
          <w:p>
            <w:r>
              <w:rPr>
                <w:b/>
                <w:bCs/>
                <w:color w:val="FFFFFF"/>
                <w:sz w:val="20"/>
                <w:szCs w:val="20"/>
              </w:rPr>
              <w:t xml:space="preserve">Component</w:t>
            </w:r>
          </w:p>
        </w:tc>
        <w:tc>
          <w:tcPr>
            <w:tcW w:type="dxa" w:w="6750"/>
            <w:shd w:fill="1B2A4A"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Profile Header</w:t>
            </w:r>
          </w:p>
        </w:tc>
        <w:tc>
          <w:tcPr>
            <w:tcW w:type="dxa" w:w="6750"/>
            <w:tcMar>
              <w:top w:type="dxa" w:w="80"/>
              <w:left w:type="dxa" w:w="100"/>
              <w:bottom w:type="dxa" w:w="80"/>
              <w:right w:type="dxa" w:w="100"/>
            </w:tcMar>
          </w:tcPr>
          <w:p>
            <w:r>
              <w:rPr>
                <w:b w:val="false"/>
                <w:bCs w:val="false"/>
                <w:sz w:val="20"/>
                <w:szCs w:val="20"/>
              </w:rPr>
              <w:t xml:space="preserve">Avatar/logo, name/title, summary line, visibility indicator</w:t>
            </w:r>
          </w:p>
        </w:tc>
      </w:tr>
      <w:tr>
        <w:tc>
          <w:tcPr>
            <w:tcW w:type="dxa" w:w="2600"/>
            <w:tcMar>
              <w:top w:type="dxa" w:w="80"/>
              <w:left w:type="dxa" w:w="100"/>
              <w:bottom w:type="dxa" w:w="80"/>
              <w:right w:type="dxa" w:w="100"/>
            </w:tcMar>
          </w:tcPr>
          <w:p>
            <w:r>
              <w:rPr>
                <w:b w:val="false"/>
                <w:bCs w:val="false"/>
                <w:sz w:val="20"/>
                <w:szCs w:val="20"/>
              </w:rPr>
              <w:t xml:space="preserve">Section Block</w:t>
            </w:r>
          </w:p>
        </w:tc>
        <w:tc>
          <w:tcPr>
            <w:tcW w:type="dxa" w:w="6750"/>
            <w:tcMar>
              <w:top w:type="dxa" w:w="80"/>
              <w:left w:type="dxa" w:w="100"/>
              <w:bottom w:type="dxa" w:w="80"/>
              <w:right w:type="dxa" w:w="100"/>
            </w:tcMar>
          </w:tcPr>
          <w:p>
            <w:r>
              <w:rPr>
                <w:b w:val="false"/>
                <w:bCs w:val="false"/>
                <w:sz w:val="20"/>
                <w:szCs w:val="20"/>
              </w:rPr>
              <w:t xml:space="preserve">Structured content block (Experience, Education, Skills, or company equivalents)</w:t>
            </w:r>
          </w:p>
        </w:tc>
      </w:tr>
      <w:tr>
        <w:tc>
          <w:tcPr>
            <w:tcW w:type="dxa" w:w="2600"/>
            <w:tcMar>
              <w:top w:type="dxa" w:w="80"/>
              <w:left w:type="dxa" w:w="100"/>
              <w:bottom w:type="dxa" w:w="80"/>
              <w:right w:type="dxa" w:w="100"/>
            </w:tcMar>
          </w:tcPr>
          <w:p>
            <w:r>
              <w:rPr>
                <w:b w:val="false"/>
                <w:bCs w:val="false"/>
                <w:sz w:val="20"/>
                <w:szCs w:val="20"/>
              </w:rPr>
              <w:t xml:space="preserve">Visibility Toggle</w:t>
            </w:r>
          </w:p>
        </w:tc>
        <w:tc>
          <w:tcPr>
            <w:tcW w:type="dxa" w:w="6750"/>
            <w:tcMar>
              <w:top w:type="dxa" w:w="80"/>
              <w:left w:type="dxa" w:w="100"/>
              <w:bottom w:type="dxa" w:w="80"/>
              <w:right w:type="dxa" w:w="100"/>
            </w:tcMar>
          </w:tcPr>
          <w:p>
            <w:r>
              <w:rPr>
                <w:b w:val="false"/>
                <w:bCs w:val="false"/>
                <w:sz w:val="20"/>
                <w:szCs w:val="20"/>
              </w:rPr>
              <w:t xml:space="preserve">Control indicating/adjusting what is visible to the other marketplace side</w:t>
            </w:r>
          </w:p>
        </w:tc>
      </w:tr>
      <w:tr>
        <w:tc>
          <w:tcPr>
            <w:tcW w:type="dxa" w:w="2600"/>
            <w:tcMar>
              <w:top w:type="dxa" w:w="80"/>
              <w:left w:type="dxa" w:w="100"/>
              <w:bottom w:type="dxa" w:w="80"/>
              <w:right w:type="dxa" w:w="100"/>
            </w:tcMar>
          </w:tcPr>
          <w:p>
            <w:r>
              <w:rPr>
                <w:b w:val="false"/>
                <w:bCs w:val="false"/>
                <w:sz w:val="20"/>
                <w:szCs w:val="20"/>
              </w:rPr>
              <w:t xml:space="preserve">Edit Affordance</w:t>
            </w:r>
          </w:p>
        </w:tc>
        <w:tc>
          <w:tcPr>
            <w:tcW w:type="dxa" w:w="6750"/>
            <w:tcMar>
              <w:top w:type="dxa" w:w="80"/>
              <w:left w:type="dxa" w:w="100"/>
              <w:bottom w:type="dxa" w:w="80"/>
              <w:right w:type="dxa" w:w="100"/>
            </w:tcMar>
          </w:tcPr>
          <w:p>
            <w:r>
              <w:rPr>
                <w:b w:val="false"/>
                <w:bCs w:val="false"/>
                <w:sz w:val="20"/>
                <w:szCs w:val="20"/>
              </w:rPr>
              <w:t xml:space="preserve">Link routing to the authoritative source of each section's data</w:t>
            </w:r>
          </w:p>
        </w:tc>
      </w:tr>
    </w:tbl>
    <w:p>
      <w:pPr>
        <w:pStyle w:val="Heading2"/>
        <w:spacing w:after="150" w:before="300"/>
      </w:pPr>
      <w:r>
        <w:t xml:space="preserve">15.6 Typography</w:t>
      </w:r>
    </w:p>
    <w:p>
      <w:pPr>
        <w:spacing w:after="160"/>
        <w:jc w:val="both"/>
      </w:pPr>
      <w:r>
        <w:t xml:space="preserve">Name/title uses Type-H1. Section headers use Type-H2. Section body content uses Type-Body.</w:t>
      </w:r>
    </w:p>
    <w:p>
      <w:pPr>
        <w:pStyle w:val="Heading2"/>
        <w:spacing w:after="150" w:before="300"/>
      </w:pPr>
      <w:r>
        <w:t xml:space="preserve">15.7 Spacing</w:t>
      </w:r>
    </w:p>
    <w:p>
      <w:pPr>
        <w:spacing w:after="160"/>
        <w:jc w:val="both"/>
      </w:pPr>
      <w:r>
        <w:t xml:space="preserve">Header band bottom margin Space-6. Section blocks separated by Space-6.</w:t>
      </w:r>
    </w:p>
    <w:p>
      <w:pPr>
        <w:pStyle w:val="Heading2"/>
        <w:spacing w:after="150" w:before="300"/>
      </w:pPr>
      <w:r>
        <w:t xml:space="preserve">15.8 Colors</w:t>
      </w:r>
    </w:p>
    <w:p>
      <w:pPr>
        <w:spacing w:after="160"/>
        <w:jc w:val="both"/>
      </w:pPr>
      <w:r>
        <w:t xml:space="preserve">Visibility toggle uses Success-Green (visible) / Neutral-500 (hidden) states with explicit text labels alongside color.</w:t>
      </w:r>
    </w:p>
    <w:p>
      <w:pPr>
        <w:pStyle w:val="Heading2"/>
        <w:spacing w:after="150" w:before="300"/>
      </w:pPr>
      <w:r>
        <w:t xml:space="preserve">15.9 Animations</w:t>
      </w:r>
    </w:p>
    <w:p>
      <w:pPr>
        <w:pStyle w:val="ListParagraph"/>
        <w:numPr>
          <w:ilvl w:val="0"/>
          <w:numId w:val="1"/>
        </w:numPr>
        <w:spacing w:after="80"/>
      </w:pPr>
      <w:r>
        <w:t xml:space="preserve">Section edit affordance reveals on hover/focus with a 100ms fade rather than being permanently visible, to keep the read view clean</w:t>
      </w:r>
    </w:p>
    <w:p>
      <w:pPr>
        <w:pStyle w:val="Heading2"/>
        <w:spacing w:after="150" w:before="300"/>
      </w:pPr>
      <w:r>
        <w:t xml:space="preserve">15.10 Icons</w:t>
      </w:r>
    </w:p>
    <w:p>
      <w:pPr>
        <w:spacing w:after="160"/>
        <w:jc w:val="both"/>
      </w:pPr>
      <w:r>
        <w:t xml:space="preserve">Pencil icon for edit affordances. Eye/eye-off icon for visibility toggle. Location pin icon next to location text.</w:t>
      </w:r>
    </w:p>
    <w:p>
      <w:pPr>
        <w:pStyle w:val="Heading2"/>
        <w:spacing w:after="150" w:before="300"/>
      </w:pPr>
      <w:r>
        <w:t xml:space="preserve">15.11 Accessibility</w:t>
      </w:r>
    </w:p>
    <w:p>
      <w:pPr>
        <w:pStyle w:val="ListParagraph"/>
        <w:numPr>
          <w:ilvl w:val="0"/>
          <w:numId w:val="1"/>
        </w:numPr>
        <w:spacing w:after="80"/>
      </w:pPr>
      <w:r>
        <w:t xml:space="preserve">Visibility toggle state is announced clearly via text, not icon/color alone</w:t>
      </w:r>
    </w:p>
    <w:p>
      <w:pPr>
        <w:pStyle w:val="ListParagraph"/>
        <w:numPr>
          <w:ilvl w:val="0"/>
          <w:numId w:val="1"/>
        </w:numPr>
        <w:spacing w:after="80"/>
      </w:pPr>
      <w:r>
        <w:t xml:space="preserve">Profile sections use proper heading hierarchy so screen reader users can navigate by section</w:t>
      </w:r>
    </w:p>
    <w:p>
      <w:pPr>
        <w:pStyle w:val="Heading2"/>
        <w:spacing w:after="150" w:before="300"/>
      </w:pPr>
      <w:r>
        <w:t xml:space="preserve">15.12 Responsive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B2A4A" w:val="clear"/>
            <w:tcMar>
              <w:top w:type="dxa" w:w="80"/>
              <w:left w:type="dxa" w:w="100"/>
              <w:bottom w:type="dxa" w:w="80"/>
              <w:right w:type="dxa" w:w="100"/>
            </w:tcMar>
          </w:tcPr>
          <w:p>
            <w:r>
              <w:rPr>
                <w:b/>
                <w:bCs/>
                <w:color w:val="FFFFFF"/>
                <w:sz w:val="20"/>
                <w:szCs w:val="20"/>
              </w:rPr>
              <w:t xml:space="preserve">Breakpoint</w:t>
            </w:r>
          </w:p>
        </w:tc>
        <w:tc>
          <w:tcPr>
            <w:tcW w:type="dxa" w:w="7550"/>
            <w:shd w:fill="1B2A4A" w:val="clear"/>
            <w:tcMar>
              <w:top w:type="dxa" w:w="80"/>
              <w:left w:type="dxa" w:w="100"/>
              <w:bottom w:type="dxa" w:w="80"/>
              <w:right w:type="dxa" w:w="100"/>
            </w:tcMar>
          </w:tcPr>
          <w:p>
            <w:r>
              <w:rPr>
                <w:b/>
                <w:bCs/>
                <w:color w:val="FFFFFF"/>
                <w:sz w:val="20"/>
                <w:szCs w:val="20"/>
              </w:rPr>
              <w:t xml:space="preserve">Behavior</w:t>
            </w:r>
          </w:p>
        </w:tc>
      </w:tr>
      <w:tr>
        <w:tc>
          <w:tcPr>
            <w:tcW w:type="dxa" w:w="1800"/>
            <w:tcMar>
              <w:top w:type="dxa" w:w="80"/>
              <w:left w:type="dxa" w:w="100"/>
              <w:bottom w:type="dxa" w:w="80"/>
              <w:right w:type="dxa" w:w="100"/>
            </w:tcMar>
          </w:tcPr>
          <w:p>
            <w:r>
              <w:rPr>
                <w:b w:val="false"/>
                <w:bCs w:val="false"/>
                <w:sz w:val="20"/>
                <w:szCs w:val="20"/>
              </w:rPr>
              <w:t xml:space="preserve">Mobile</w:t>
            </w:r>
          </w:p>
        </w:tc>
        <w:tc>
          <w:tcPr>
            <w:tcW w:type="dxa" w:w="7550"/>
            <w:tcMar>
              <w:top w:type="dxa" w:w="80"/>
              <w:left w:type="dxa" w:w="100"/>
              <w:bottom w:type="dxa" w:w="80"/>
              <w:right w:type="dxa" w:w="100"/>
            </w:tcMar>
          </w:tcPr>
          <w:p>
            <w:r>
              <w:rPr>
                <w:b w:val="false"/>
                <w:bCs w:val="false"/>
                <w:sz w:val="20"/>
                <w:szCs w:val="20"/>
              </w:rPr>
              <w:t xml:space="preserve">Header band stacks avatar above text; section blocks remain single-column</w:t>
            </w:r>
          </w:p>
        </w:tc>
      </w:tr>
      <w:tr>
        <w:tc>
          <w:tcPr>
            <w:tcW w:type="dxa" w:w="1800"/>
            <w:tcMar>
              <w:top w:type="dxa" w:w="80"/>
              <w:left w:type="dxa" w:w="100"/>
              <w:bottom w:type="dxa" w:w="80"/>
              <w:right w:type="dxa" w:w="100"/>
            </w:tcMar>
          </w:tcPr>
          <w:p>
            <w:r>
              <w:rPr>
                <w:b w:val="false"/>
                <w:bCs w:val="false"/>
                <w:sz w:val="20"/>
                <w:szCs w:val="20"/>
              </w:rPr>
              <w:t xml:space="preserve">Tablet+</w:t>
            </w:r>
          </w:p>
        </w:tc>
        <w:tc>
          <w:tcPr>
            <w:tcW w:type="dxa" w:w="7550"/>
            <w:tcMar>
              <w:top w:type="dxa" w:w="80"/>
              <w:left w:type="dxa" w:w="100"/>
              <w:bottom w:type="dxa" w:w="80"/>
              <w:right w:type="dxa" w:w="100"/>
            </w:tcMar>
          </w:tcPr>
          <w:p>
            <w:r>
              <w:rPr>
                <w:b w:val="false"/>
                <w:bCs w:val="false"/>
                <w:sz w:val="20"/>
                <w:szCs w:val="20"/>
              </w:rPr>
              <w:t xml:space="preserve">Header band displays avatar beside text; sections remain single-column but wider</w:t>
            </w:r>
          </w:p>
        </w:tc>
      </w:tr>
    </w:tbl>
    <w:p>
      <w:pPr>
        <w:pStyle w:val="Heading2"/>
        <w:spacing w:after="150" w:before="300"/>
      </w:pPr>
      <w:r>
        <w:t xml:space="preserve">15.13 Empty States</w:t>
      </w:r>
    </w:p>
    <w:p>
      <w:pPr>
        <w:spacing w:after="160"/>
        <w:jc w:val="both"/>
      </w:pPr>
      <w:r>
        <w:t xml:space="preserve">Sections with no data yet (e.g., no Education entries) show a prompt to add that information, linking to the relevant editing surface, rather than an empty heading with nothing beneath it.</w:t>
      </w:r>
    </w:p>
    <w:p>
      <w:pPr>
        <w:pStyle w:val="Heading2"/>
        <w:spacing w:after="150" w:before="300"/>
      </w:pPr>
      <w:r>
        <w:t xml:space="preserve">15.14 Loading States</w:t>
      </w:r>
    </w:p>
    <w:p>
      <w:pPr>
        <w:spacing w:after="160"/>
        <w:jc w:val="both"/>
      </w:pPr>
      <w:r>
        <w:t xml:space="preserve">Profile data loads as a single request in most cases given its read-mostly nature; a full-page skeleton (header + section placeholders) is shown until it resolves.</w:t>
      </w:r>
    </w:p>
    <w:p>
      <w:pPr>
        <w:pStyle w:val="Heading2"/>
        <w:spacing w:after="150" w:before="300"/>
      </w:pPr>
      <w:r>
        <w:t xml:space="preserve">15.15 Validation</w:t>
      </w:r>
    </w:p>
    <w:p>
      <w:pPr>
        <w:pStyle w:val="ListParagraph"/>
        <w:numPr>
          <w:ilvl w:val="0"/>
          <w:numId w:val="1"/>
        </w:numPr>
        <w:spacing w:after="80"/>
      </w:pPr>
      <w:r>
        <w:t xml:space="preserve">Not applicable directly on this page — editing happens via Resume Builder/Settings; Profile is primarily a read view with a visibility control</w:t>
      </w:r>
    </w:p>
    <w:p>
      <w:pPr>
        <w:pStyle w:val="Heading2"/>
        <w:spacing w:after="150" w:before="300"/>
      </w:pPr>
      <w:r>
        <w:t xml:space="preserve">15.16 Acceptance Criteria</w:t>
      </w:r>
    </w:p>
    <w:p>
      <w:pPr>
        <w:pStyle w:val="ListParagraph"/>
        <w:numPr>
          <w:ilvl w:val="0"/>
          <w:numId w:val="1"/>
        </w:numPr>
        <w:spacing w:after="80"/>
      </w:pPr>
      <w:r>
        <w:t xml:space="preserve">Given a candidate has completed their resume, when viewing their Profile, then it reflects the current resume data without requiring separate manual entry</w:t>
      </w:r>
    </w:p>
    <w:p>
      <w:pPr>
        <w:pStyle w:val="ListParagraph"/>
        <w:numPr>
          <w:ilvl w:val="0"/>
          <w:numId w:val="1"/>
        </w:numPr>
        <w:spacing w:after="80"/>
      </w:pPr>
      <w:r>
        <w:t xml:space="preserve">Given a user adjusts a visibility toggle, when changed, then the corresponding data is immediately hidden/shown to the other marketplace side, consistent with the two-sided respect principle in Volume 1 §7.1.4</w:t>
      </w:r>
    </w:p>
    <w:p>
      <w:pPr>
        <w:pStyle w:val="Heading2"/>
        <w:spacing w:after="150" w:before="300"/>
      </w:pPr>
      <w:r>
        <w:t xml:space="preserve">15.17 Developer Notes</w:t>
      </w:r>
    </w:p>
    <w:p>
      <w:pPr>
        <w:pStyle w:val="ListParagraph"/>
        <w:numPr>
          <w:ilvl w:val="0"/>
          <w:numId w:val="1"/>
        </w:numPr>
        <w:spacing w:after="80"/>
      </w:pPr>
      <w:r>
        <w:t xml:space="preserve">Profile must read from the same underlying resume/company data model as Resume Builder and Recruiter Dashboard (Volume 5) rather than maintaining a separate copy, to avoid data drift</w:t>
      </w:r>
    </w:p>
    <w:p>
      <w:pPr>
        <w:pStyle w:val="ListParagraph"/>
        <w:numPr>
          <w:ilvl w:val="0"/>
          <w:numId w:val="1"/>
        </w:numPr>
        <w:spacing w:after="80"/>
      </w:pPr>
      <w:r>
        <w:t xml:space="preserve">Visibility settings must be enforced server-side at the API layer (Volume 6), not merely hidden client-side, to prevent unauthorized data exposure</w:t>
      </w:r>
    </w:p>
    <w:p>
      <w:pPr>
        <w:pStyle w:val="Heading1"/>
        <w:spacing w:after="200" w:before="400"/>
      </w:pPr>
      <w:r>
        <w:t xml:space="preserve">16. Page Specification: Settings</w:t>
      </w:r>
    </w:p>
    <w:p>
      <w:pPr>
        <w:pStyle w:val="Heading2"/>
        <w:spacing w:after="150" w:before="300"/>
      </w:pPr>
      <w:r>
        <w:t xml:space="preserve">16.1 Purpose</w:t>
      </w:r>
    </w:p>
    <w:p>
      <w:pPr>
        <w:spacing w:after="160"/>
        <w:jc w:val="both"/>
      </w:pPr>
      <w:r>
        <w:t xml:space="preserve">Centralize account-level configuration: authentication/security, notification preferences, subscription/billing, privacy, and data controls.</w:t>
      </w:r>
    </w:p>
    <w:p>
      <w:pPr>
        <w:pStyle w:val="Heading2"/>
        <w:spacing w:after="150" w:before="300"/>
      </w:pPr>
      <w:r>
        <w:t xml:space="preserve">16.2 Goals</w:t>
      </w:r>
    </w:p>
    <w:p>
      <w:pPr>
        <w:pStyle w:val="ListParagraph"/>
        <w:numPr>
          <w:ilvl w:val="0"/>
          <w:numId w:val="1"/>
        </w:numPr>
        <w:spacing w:after="80"/>
      </w:pPr>
      <w:r>
        <w:t xml:space="preserve">Group related settings clearly so users can find and change a specific preference quickly</w:t>
      </w:r>
    </w:p>
    <w:p>
      <w:pPr>
        <w:pStyle w:val="ListParagraph"/>
        <w:numPr>
          <w:ilvl w:val="0"/>
          <w:numId w:val="1"/>
        </w:numPr>
        <w:spacing w:after="80"/>
      </w:pPr>
      <w:r>
        <w:t xml:space="preserve">Support the account data export/deletion requirement from Volume 1 BR-07</w:t>
      </w:r>
    </w:p>
    <w:p>
      <w:pPr>
        <w:pStyle w:val="ListParagraph"/>
        <w:numPr>
          <w:ilvl w:val="0"/>
          <w:numId w:val="1"/>
        </w:numPr>
        <w:spacing w:after="80"/>
      </w:pPr>
      <w:r>
        <w:t xml:space="preserve">Make subscription tier and billing status transparent and easy to manage</w:t>
      </w:r>
    </w:p>
    <w:p>
      <w:pPr>
        <w:pStyle w:val="Heading2"/>
        <w:spacing w:after="150" w:before="300"/>
      </w:pPr>
      <w:r>
        <w:t xml:space="preserve">16.3 Layout</w:t>
      </w:r>
    </w:p>
    <w:p>
      <w:pPr>
        <w:spacing w:after="160"/>
        <w:jc w:val="both"/>
      </w:pPr>
      <w:r>
        <w:t xml:space="preserve">Left sub-navigation listing settings categories (Account, Security, Notifications, Privacy, Subscription &amp; Billing, Data &amp; Export) with a form-based detail panel per category.</w:t>
      </w:r>
    </w:p>
    <w:p>
      <w:pPr>
        <w:pStyle w:val="Heading2"/>
        <w:spacing w:after="150" w:before="300"/>
      </w:pPr>
      <w:r>
        <w:t xml:space="preserve">16.4 Wireframe Description</w:t>
      </w:r>
    </w:p>
    <w:p>
      <w:pPr>
        <w:spacing w:after="160"/>
        <w:jc w:val="both"/>
      </w:pPr>
      <w:r>
        <w:t xml:space="preserve">Sub-nav: Account, Security, Notifications, Privacy, Subscription &amp; Billing, Data &amp; Export. Detail panel per category renders relevant form controls, e.g., Security shows password change and connected OAuth accounts; Subscription &amp; Billing shows current tier, usage against quota, upgrade/downgrade controls, and payment method management.</w:t>
      </w:r>
    </w:p>
    <w:p>
      <w:pPr>
        <w:pStyle w:val="Heading2"/>
        <w:spacing w:after="150" w:before="300"/>
      </w:pPr>
      <w:r>
        <w:t xml:space="preserve">16.5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80"/>
              <w:left w:type="dxa" w:w="100"/>
              <w:bottom w:type="dxa" w:w="80"/>
              <w:right w:type="dxa" w:w="100"/>
            </w:tcMar>
          </w:tcPr>
          <w:p>
            <w:r>
              <w:rPr>
                <w:b/>
                <w:bCs/>
                <w:color w:val="FFFFFF"/>
                <w:sz w:val="20"/>
                <w:szCs w:val="20"/>
              </w:rPr>
              <w:t xml:space="preserve">Component</w:t>
            </w:r>
          </w:p>
        </w:tc>
        <w:tc>
          <w:tcPr>
            <w:tcW w:type="dxa" w:w="6750"/>
            <w:shd w:fill="1B2A4A"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Settings Sub-Navigation</w:t>
            </w:r>
          </w:p>
        </w:tc>
        <w:tc>
          <w:tcPr>
            <w:tcW w:type="dxa" w:w="6750"/>
            <w:tcMar>
              <w:top w:type="dxa" w:w="80"/>
              <w:left w:type="dxa" w:w="100"/>
              <w:bottom w:type="dxa" w:w="80"/>
              <w:right w:type="dxa" w:w="100"/>
            </w:tcMar>
          </w:tcPr>
          <w:p>
            <w:r>
              <w:rPr>
                <w:b w:val="false"/>
                <w:bCs w:val="false"/>
                <w:sz w:val="20"/>
                <w:szCs w:val="20"/>
              </w:rPr>
              <w:t xml:space="preserve">Vertical list of settings categories</w:t>
            </w:r>
          </w:p>
        </w:tc>
      </w:tr>
      <w:tr>
        <w:tc>
          <w:tcPr>
            <w:tcW w:type="dxa" w:w="2600"/>
            <w:tcMar>
              <w:top w:type="dxa" w:w="80"/>
              <w:left w:type="dxa" w:w="100"/>
              <w:bottom w:type="dxa" w:w="80"/>
              <w:right w:type="dxa" w:w="100"/>
            </w:tcMar>
          </w:tcPr>
          <w:p>
            <w:r>
              <w:rPr>
                <w:b w:val="false"/>
                <w:bCs w:val="false"/>
                <w:sz w:val="20"/>
                <w:szCs w:val="20"/>
              </w:rPr>
              <w:t xml:space="preserve">Form Section</w:t>
            </w:r>
          </w:p>
        </w:tc>
        <w:tc>
          <w:tcPr>
            <w:tcW w:type="dxa" w:w="6750"/>
            <w:tcMar>
              <w:top w:type="dxa" w:w="80"/>
              <w:left w:type="dxa" w:w="100"/>
              <w:bottom w:type="dxa" w:w="80"/>
              <w:right w:type="dxa" w:w="100"/>
            </w:tcMar>
          </w:tcPr>
          <w:p>
            <w:r>
              <w:rPr>
                <w:b w:val="false"/>
                <w:bCs w:val="false"/>
                <w:sz w:val="20"/>
                <w:szCs w:val="20"/>
              </w:rPr>
              <w:t xml:space="preserve">Grouped form controls for a specific settings category</w:t>
            </w:r>
          </w:p>
        </w:tc>
      </w:tr>
      <w:tr>
        <w:tc>
          <w:tcPr>
            <w:tcW w:type="dxa" w:w="2600"/>
            <w:tcMar>
              <w:top w:type="dxa" w:w="80"/>
              <w:left w:type="dxa" w:w="100"/>
              <w:bottom w:type="dxa" w:w="80"/>
              <w:right w:type="dxa" w:w="100"/>
            </w:tcMar>
          </w:tcPr>
          <w:p>
            <w:r>
              <w:rPr>
                <w:b w:val="false"/>
                <w:bCs w:val="false"/>
                <w:sz w:val="20"/>
                <w:szCs w:val="20"/>
              </w:rPr>
              <w:t xml:space="preserve">Toggle Switch</w:t>
            </w:r>
          </w:p>
        </w:tc>
        <w:tc>
          <w:tcPr>
            <w:tcW w:type="dxa" w:w="6750"/>
            <w:tcMar>
              <w:top w:type="dxa" w:w="80"/>
              <w:left w:type="dxa" w:w="100"/>
              <w:bottom w:type="dxa" w:w="80"/>
              <w:right w:type="dxa" w:w="100"/>
            </w:tcMar>
          </w:tcPr>
          <w:p>
            <w:r>
              <w:rPr>
                <w:b w:val="false"/>
                <w:bCs w:val="false"/>
                <w:sz w:val="20"/>
                <w:szCs w:val="20"/>
              </w:rPr>
              <w:t xml:space="preserve">On/off control for preference-style settings (e.g., email notifications)</w:t>
            </w:r>
          </w:p>
        </w:tc>
      </w:tr>
      <w:tr>
        <w:tc>
          <w:tcPr>
            <w:tcW w:type="dxa" w:w="2600"/>
            <w:tcMar>
              <w:top w:type="dxa" w:w="80"/>
              <w:left w:type="dxa" w:w="100"/>
              <w:bottom w:type="dxa" w:w="80"/>
              <w:right w:type="dxa" w:w="100"/>
            </w:tcMar>
          </w:tcPr>
          <w:p>
            <w:r>
              <w:rPr>
                <w:b w:val="false"/>
                <w:bCs w:val="false"/>
                <w:sz w:val="20"/>
                <w:szCs w:val="20"/>
              </w:rPr>
              <w:t xml:space="preserve">Subscription Summary Card</w:t>
            </w:r>
          </w:p>
        </w:tc>
        <w:tc>
          <w:tcPr>
            <w:tcW w:type="dxa" w:w="6750"/>
            <w:tcMar>
              <w:top w:type="dxa" w:w="80"/>
              <w:left w:type="dxa" w:w="100"/>
              <w:bottom w:type="dxa" w:w="80"/>
              <w:right w:type="dxa" w:w="100"/>
            </w:tcMar>
          </w:tcPr>
          <w:p>
            <w:r>
              <w:rPr>
                <w:b w:val="false"/>
                <w:bCs w:val="false"/>
                <w:sz w:val="20"/>
                <w:szCs w:val="20"/>
              </w:rPr>
              <w:t xml:space="preserve">Current tier, usage-against-quota bar, upgrade CTA</w:t>
            </w:r>
          </w:p>
        </w:tc>
      </w:tr>
      <w:tr>
        <w:tc>
          <w:tcPr>
            <w:tcW w:type="dxa" w:w="2600"/>
            <w:tcMar>
              <w:top w:type="dxa" w:w="80"/>
              <w:left w:type="dxa" w:w="100"/>
              <w:bottom w:type="dxa" w:w="80"/>
              <w:right w:type="dxa" w:w="100"/>
            </w:tcMar>
          </w:tcPr>
          <w:p>
            <w:r>
              <w:rPr>
                <w:b w:val="false"/>
                <w:bCs w:val="false"/>
                <w:sz w:val="20"/>
                <w:szCs w:val="20"/>
              </w:rPr>
              <w:t xml:space="preserve">Danger Zone Panel</w:t>
            </w:r>
          </w:p>
        </w:tc>
        <w:tc>
          <w:tcPr>
            <w:tcW w:type="dxa" w:w="6750"/>
            <w:tcMar>
              <w:top w:type="dxa" w:w="80"/>
              <w:left w:type="dxa" w:w="100"/>
              <w:bottom w:type="dxa" w:w="80"/>
              <w:right w:type="dxa" w:w="100"/>
            </w:tcMar>
          </w:tcPr>
          <w:p>
            <w:r>
              <w:rPr>
                <w:b w:val="false"/>
                <w:bCs w:val="false"/>
                <w:sz w:val="20"/>
                <w:szCs w:val="20"/>
              </w:rPr>
              <w:t xml:space="preserve">Visually distinct section for account deletion and irreversible actions</w:t>
            </w:r>
          </w:p>
        </w:tc>
      </w:tr>
    </w:tbl>
    <w:p>
      <w:pPr>
        <w:pStyle w:val="Heading2"/>
        <w:spacing w:after="150" w:before="300"/>
      </w:pPr>
      <w:r>
        <w:t xml:space="preserve">16.6 Typography</w:t>
      </w:r>
    </w:p>
    <w:p>
      <w:pPr>
        <w:spacing w:after="160"/>
        <w:jc w:val="both"/>
      </w:pPr>
      <w:r>
        <w:t xml:space="preserve">Sub-nav items use Type-Label. Section titles within the detail panel use Type-H2. Field labels Type-Label, helper text Type-Caption.</w:t>
      </w:r>
    </w:p>
    <w:p>
      <w:pPr>
        <w:pStyle w:val="Heading2"/>
        <w:spacing w:after="150" w:before="300"/>
      </w:pPr>
      <w:r>
        <w:t xml:space="preserve">16.7 Spacing</w:t>
      </w:r>
    </w:p>
    <w:p>
      <w:pPr>
        <w:spacing w:after="160"/>
        <w:jc w:val="both"/>
      </w:pPr>
      <w:r>
        <w:t xml:space="preserve">Settings sub-nav items separated by Space-2. Form sections separated by Space-6 within the detail panel.</w:t>
      </w:r>
    </w:p>
    <w:p>
      <w:pPr>
        <w:pStyle w:val="Heading2"/>
        <w:spacing w:after="150" w:before="300"/>
      </w:pPr>
      <w:r>
        <w:t xml:space="preserve">16.8 Colors</w:t>
      </w:r>
    </w:p>
    <w:p>
      <w:pPr>
        <w:spacing w:after="160"/>
        <w:jc w:val="both"/>
      </w:pPr>
      <w:r>
        <w:t xml:space="preserve">Danger Zone panel uses an Error-Red-tinted border and background to visually separate irreversible actions from routine settings, consistent with destructive-action conventions used elsewhere (e.g., Admin Dashboard confirmations).</w:t>
      </w:r>
    </w:p>
    <w:p>
      <w:pPr>
        <w:pStyle w:val="Heading2"/>
        <w:spacing w:after="150" w:before="300"/>
      </w:pPr>
      <w:r>
        <w:t xml:space="preserve">16.9 Animations</w:t>
      </w:r>
    </w:p>
    <w:p>
      <w:pPr>
        <w:pStyle w:val="ListParagraph"/>
        <w:numPr>
          <w:ilvl w:val="0"/>
          <w:numId w:val="1"/>
        </w:numPr>
        <w:spacing w:after="80"/>
      </w:pPr>
      <w:r>
        <w:t xml:space="preserve">Toggle switches animate their thumb position (100ms) on state change</w:t>
      </w:r>
    </w:p>
    <w:p>
      <w:pPr>
        <w:pStyle w:val="ListParagraph"/>
        <w:numPr>
          <w:ilvl w:val="0"/>
          <w:numId w:val="1"/>
        </w:numPr>
        <w:spacing w:after="80"/>
      </w:pPr>
      <w:r>
        <w:t xml:space="preserve">Save confirmation for form sections shows a brief inline success message (fade in/out over 2s) rather than a disruptive modal</w:t>
      </w:r>
    </w:p>
    <w:p>
      <w:pPr>
        <w:pStyle w:val="Heading2"/>
        <w:spacing w:after="150" w:before="300"/>
      </w:pPr>
      <w:r>
        <w:t xml:space="preserve">16.10 Icons</w:t>
      </w:r>
    </w:p>
    <w:p>
      <w:pPr>
        <w:spacing w:after="160"/>
        <w:jc w:val="both"/>
      </w:pPr>
      <w:r>
        <w:t xml:space="preserve">Lock icon (Security), bell icon (Notifications), shield icon (Privacy), credit-card icon (Subscription &amp; Billing), download icon (Data &amp; Export).</w:t>
      </w:r>
    </w:p>
    <w:p>
      <w:pPr>
        <w:pStyle w:val="Heading2"/>
        <w:spacing w:after="150" w:before="300"/>
      </w:pPr>
      <w:r>
        <w:t xml:space="preserve">16.11 Accessibility</w:t>
      </w:r>
    </w:p>
    <w:p>
      <w:pPr>
        <w:pStyle w:val="ListParagraph"/>
        <w:numPr>
          <w:ilvl w:val="0"/>
          <w:numId w:val="1"/>
        </w:numPr>
        <w:spacing w:after="80"/>
      </w:pPr>
      <w:r>
        <w:t xml:space="preserve">Toggle switches have accessible state announced (on/off), not just visual thumb position</w:t>
      </w:r>
    </w:p>
    <w:p>
      <w:pPr>
        <w:pStyle w:val="ListParagraph"/>
        <w:numPr>
          <w:ilvl w:val="0"/>
          <w:numId w:val="1"/>
        </w:numPr>
        <w:spacing w:after="80"/>
      </w:pPr>
      <w:r>
        <w:t xml:space="preserve">Danger Zone destructive actions (account deletion) require a confirmation dialog with explicit typed confirmation for the most severe actions</w:t>
      </w:r>
    </w:p>
    <w:p>
      <w:pPr>
        <w:pStyle w:val="Heading2"/>
        <w:spacing w:after="150" w:before="300"/>
      </w:pPr>
      <w:r>
        <w:t xml:space="preserve">16.12 Responsive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B2A4A" w:val="clear"/>
            <w:tcMar>
              <w:top w:type="dxa" w:w="80"/>
              <w:left w:type="dxa" w:w="100"/>
              <w:bottom w:type="dxa" w:w="80"/>
              <w:right w:type="dxa" w:w="100"/>
            </w:tcMar>
          </w:tcPr>
          <w:p>
            <w:r>
              <w:rPr>
                <w:b/>
                <w:bCs/>
                <w:color w:val="FFFFFF"/>
                <w:sz w:val="20"/>
                <w:szCs w:val="20"/>
              </w:rPr>
              <w:t xml:space="preserve">Breakpoint</w:t>
            </w:r>
          </w:p>
        </w:tc>
        <w:tc>
          <w:tcPr>
            <w:tcW w:type="dxa" w:w="7550"/>
            <w:shd w:fill="1B2A4A" w:val="clear"/>
            <w:tcMar>
              <w:top w:type="dxa" w:w="80"/>
              <w:left w:type="dxa" w:w="100"/>
              <w:bottom w:type="dxa" w:w="80"/>
              <w:right w:type="dxa" w:w="100"/>
            </w:tcMar>
          </w:tcPr>
          <w:p>
            <w:r>
              <w:rPr>
                <w:b/>
                <w:bCs/>
                <w:color w:val="FFFFFF"/>
                <w:sz w:val="20"/>
                <w:szCs w:val="20"/>
              </w:rPr>
              <w:t xml:space="preserve">Behavior</w:t>
            </w:r>
          </w:p>
        </w:tc>
      </w:tr>
      <w:tr>
        <w:tc>
          <w:tcPr>
            <w:tcW w:type="dxa" w:w="1800"/>
            <w:tcMar>
              <w:top w:type="dxa" w:w="80"/>
              <w:left w:type="dxa" w:w="100"/>
              <w:bottom w:type="dxa" w:w="80"/>
              <w:right w:type="dxa" w:w="100"/>
            </w:tcMar>
          </w:tcPr>
          <w:p>
            <w:r>
              <w:rPr>
                <w:b w:val="false"/>
                <w:bCs w:val="false"/>
                <w:sz w:val="20"/>
                <w:szCs w:val="20"/>
              </w:rPr>
              <w:t xml:space="preserve">Mobile</w:t>
            </w:r>
          </w:p>
        </w:tc>
        <w:tc>
          <w:tcPr>
            <w:tcW w:type="dxa" w:w="7550"/>
            <w:tcMar>
              <w:top w:type="dxa" w:w="80"/>
              <w:left w:type="dxa" w:w="100"/>
              <w:bottom w:type="dxa" w:w="80"/>
              <w:right w:type="dxa" w:w="100"/>
            </w:tcMar>
          </w:tcPr>
          <w:p>
            <w:r>
              <w:rPr>
                <w:b w:val="false"/>
                <w:bCs w:val="false"/>
                <w:sz w:val="20"/>
                <w:szCs w:val="20"/>
              </w:rPr>
              <w:t xml:space="preserve">Sub-navigation collapses into a top dropdown or becomes its own navigable screen before showing the selected category's detail panel</w:t>
            </w:r>
          </w:p>
        </w:tc>
      </w:tr>
      <w:tr>
        <w:tc>
          <w:tcPr>
            <w:tcW w:type="dxa" w:w="1800"/>
            <w:tcMar>
              <w:top w:type="dxa" w:w="80"/>
              <w:left w:type="dxa" w:w="100"/>
              <w:bottom w:type="dxa" w:w="80"/>
              <w:right w:type="dxa" w:w="100"/>
            </w:tcMar>
          </w:tcPr>
          <w:p>
            <w:r>
              <w:rPr>
                <w:b w:val="false"/>
                <w:bCs w:val="false"/>
                <w:sz w:val="20"/>
                <w:szCs w:val="20"/>
              </w:rPr>
              <w:t xml:space="preserve">Tablet+</w:t>
            </w:r>
          </w:p>
        </w:tc>
        <w:tc>
          <w:tcPr>
            <w:tcW w:type="dxa" w:w="7550"/>
            <w:tcMar>
              <w:top w:type="dxa" w:w="80"/>
              <w:left w:type="dxa" w:w="100"/>
              <w:bottom w:type="dxa" w:w="80"/>
              <w:right w:type="dxa" w:w="100"/>
            </w:tcMar>
          </w:tcPr>
          <w:p>
            <w:r>
              <w:rPr>
                <w:b w:val="false"/>
                <w:bCs w:val="false"/>
                <w:sz w:val="20"/>
                <w:szCs w:val="20"/>
              </w:rPr>
              <w:t xml:space="preserve">Persistent side sub-navigation alongside the detail panel</w:t>
            </w:r>
          </w:p>
        </w:tc>
      </w:tr>
    </w:tbl>
    <w:p>
      <w:pPr>
        <w:pStyle w:val="Heading2"/>
        <w:spacing w:after="150" w:before="300"/>
      </w:pPr>
      <w:r>
        <w:t xml:space="preserve">16.13 Empty States</w:t>
      </w:r>
    </w:p>
    <w:p>
      <w:pPr>
        <w:spacing w:after="160"/>
        <w:jc w:val="both"/>
      </w:pPr>
      <w:r>
        <w:t xml:space="preserve">Not generally applicable, as Settings always has default values; the Subscription &amp; Billing panel for free-tier users without payment history shows 'No billing history yet' where a payment history list would otherwise appear.</w:t>
      </w:r>
    </w:p>
    <w:p>
      <w:pPr>
        <w:pStyle w:val="Heading2"/>
        <w:spacing w:after="150" w:before="300"/>
      </w:pPr>
      <w:r>
        <w:t xml:space="preserve">16.14 Loading States</w:t>
      </w:r>
    </w:p>
    <w:p>
      <w:pPr>
        <w:spacing w:after="160"/>
        <w:jc w:val="both"/>
      </w:pPr>
      <w:r>
        <w:t xml:space="preserve">Each settings category loads independently; switching categories in the sub-nav shows a brief skeleton for that panel only, not a full-page reload.</w:t>
      </w:r>
    </w:p>
    <w:p>
      <w:pPr>
        <w:pStyle w:val="Heading2"/>
        <w:spacing w:after="150" w:before="300"/>
      </w:pPr>
      <w:r>
        <w:t xml:space="preserve">16.15 Validation</w:t>
      </w:r>
    </w:p>
    <w:p>
      <w:pPr>
        <w:pStyle w:val="ListParagraph"/>
        <w:numPr>
          <w:ilvl w:val="0"/>
          <w:numId w:val="1"/>
        </w:numPr>
        <w:spacing w:after="80"/>
      </w:pPr>
      <w:r>
        <w:t xml:space="preserve">Password change requires current password confirmation plus a new password meeting the same strength rules as Signup (Section 4.15)</w:t>
      </w:r>
    </w:p>
    <w:p>
      <w:pPr>
        <w:pStyle w:val="ListParagraph"/>
        <w:numPr>
          <w:ilvl w:val="0"/>
          <w:numId w:val="1"/>
        </w:numPr>
        <w:spacing w:after="80"/>
      </w:pPr>
      <w:r>
        <w:t xml:space="preserve">Account deletion requires explicit confirmation (e.g., typing the account email or 'DELETE') before the irreversible action proceeds, per Volume 1 BR-07</w:t>
      </w:r>
    </w:p>
    <w:p>
      <w:pPr>
        <w:pStyle w:val="Heading2"/>
        <w:spacing w:after="150" w:before="300"/>
      </w:pPr>
      <w:r>
        <w:t xml:space="preserve">16.16 Acceptance Criteria</w:t>
      </w:r>
    </w:p>
    <w:p>
      <w:pPr>
        <w:pStyle w:val="ListParagraph"/>
        <w:numPr>
          <w:ilvl w:val="0"/>
          <w:numId w:val="1"/>
        </w:numPr>
        <w:spacing w:after="80"/>
      </w:pPr>
      <w:r>
        <w:t xml:space="preserve">Given a user requests data export, when submitted, then a complete export of their data is generated and made available for download within a defined SLA, per Volume 1 BR-07</w:t>
      </w:r>
    </w:p>
    <w:p>
      <w:pPr>
        <w:pStyle w:val="ListParagraph"/>
        <w:numPr>
          <w:ilvl w:val="0"/>
          <w:numId w:val="1"/>
        </w:numPr>
        <w:spacing w:after="80"/>
      </w:pPr>
      <w:r>
        <w:t xml:space="preserve">Given a user requests account deletion and confirms, when processed, then the account and associated personal data are removed per the data retention policy defined in Volume 10</w:t>
      </w:r>
    </w:p>
    <w:p>
      <w:pPr>
        <w:pStyle w:val="ListParagraph"/>
        <w:numPr>
          <w:ilvl w:val="0"/>
          <w:numId w:val="1"/>
        </w:numPr>
        <w:spacing w:after="80"/>
      </w:pPr>
      <w:r>
        <w:t xml:space="preserve">Given a user changes their subscription tier, when confirmed, then billing and feature access update consistently without requiring a separate support request</w:t>
      </w:r>
    </w:p>
    <w:p>
      <w:pPr>
        <w:pStyle w:val="Heading2"/>
        <w:spacing w:after="150" w:before="300"/>
      </w:pPr>
      <w:r>
        <w:t xml:space="preserve">16.17 Developer Notes</w:t>
      </w:r>
    </w:p>
    <w:p>
      <w:pPr>
        <w:pStyle w:val="ListParagraph"/>
        <w:numPr>
          <w:ilvl w:val="0"/>
          <w:numId w:val="1"/>
        </w:numPr>
        <w:spacing w:after="80"/>
      </w:pPr>
      <w:r>
        <w:t xml:space="preserve">Data export and account deletion must be implemented as auditable, asynchronous jobs (Volume 4) rather than synchronous requests, given potential data volume, with the user notified on completion</w:t>
      </w:r>
    </w:p>
    <w:p>
      <w:pPr>
        <w:pStyle w:val="ListParagraph"/>
        <w:numPr>
          <w:ilvl w:val="0"/>
          <w:numId w:val="1"/>
        </w:numPr>
        <w:spacing w:after="80"/>
      </w:pPr>
      <w:r>
        <w:t xml:space="preserve">Subscription changes must reconcile immediately with the feature-gating logic used across AI modules (Volume 6/7) to avoid a state where billing and access are out of sync</w:t>
      </w:r>
    </w:p>
    <w:p>
      <w:pPr>
        <w:pStyle w:val="Heading1"/>
        <w:spacing w:after="200" w:before="400"/>
      </w:pPr>
      <w:r>
        <w:t xml:space="preserve">17. Page Specification: Support</w:t>
      </w:r>
    </w:p>
    <w:p>
      <w:pPr>
        <w:pStyle w:val="Heading2"/>
        <w:spacing w:after="150" w:before="300"/>
      </w:pPr>
      <w:r>
        <w:t xml:space="preserve">17.1 Purpose</w:t>
      </w:r>
    </w:p>
    <w:p>
      <w:pPr>
        <w:spacing w:after="160"/>
        <w:jc w:val="both"/>
      </w:pPr>
      <w:r>
        <w:t xml:space="preserve">Provide a direct escalation path for issues the user cannot resolve via Help Center self-service (Section 18), including account, billing, and trust &amp; safety concerns.</w:t>
      </w:r>
    </w:p>
    <w:p>
      <w:pPr>
        <w:pStyle w:val="Heading2"/>
        <w:spacing w:after="150" w:before="300"/>
      </w:pPr>
      <w:r>
        <w:t xml:space="preserve">17.2 Goals</w:t>
      </w:r>
    </w:p>
    <w:p>
      <w:pPr>
        <w:pStyle w:val="ListParagraph"/>
        <w:numPr>
          <w:ilvl w:val="0"/>
          <w:numId w:val="1"/>
        </w:numPr>
        <w:spacing w:after="80"/>
      </w:pPr>
      <w:r>
        <w:t xml:space="preserve">Route the user's issue to the correct category quickly to reduce resolution time</w:t>
      </w:r>
    </w:p>
    <w:p>
      <w:pPr>
        <w:pStyle w:val="ListParagraph"/>
        <w:numPr>
          <w:ilvl w:val="0"/>
          <w:numId w:val="1"/>
        </w:numPr>
        <w:spacing w:after="80"/>
      </w:pPr>
      <w:r>
        <w:t xml:space="preserve">Set clear expectations on response time per issue category</w:t>
      </w:r>
    </w:p>
    <w:p>
      <w:pPr>
        <w:pStyle w:val="ListParagraph"/>
        <w:numPr>
          <w:ilvl w:val="0"/>
          <w:numId w:val="1"/>
        </w:numPr>
        <w:spacing w:after="80"/>
      </w:pPr>
      <w:r>
        <w:t xml:space="preserve">Preserve context (account, recent activity) automatically so users don't have to re-explain their situation</w:t>
      </w:r>
    </w:p>
    <w:p>
      <w:pPr>
        <w:pStyle w:val="Heading2"/>
        <w:spacing w:after="150" w:before="300"/>
      </w:pPr>
      <w:r>
        <w:t xml:space="preserve">17.3 Layout</w:t>
      </w:r>
    </w:p>
    <w:p>
      <w:pPr>
        <w:spacing w:after="160"/>
        <w:jc w:val="both"/>
      </w:pPr>
      <w:r>
        <w:t xml:space="preserve">A category selector followed by a contextual form, with a visible ticket history for returning users.</w:t>
      </w:r>
    </w:p>
    <w:p>
      <w:pPr>
        <w:pStyle w:val="Heading2"/>
        <w:spacing w:after="150" w:before="300"/>
      </w:pPr>
      <w:r>
        <w:t xml:space="preserve">17.4 Wireframe Description</w:t>
      </w:r>
    </w:p>
    <w:p>
      <w:pPr>
        <w:spacing w:after="160"/>
        <w:jc w:val="both"/>
      </w:pPr>
      <w:r>
        <w:t xml:space="preserve">Top: 'How can we help?' with category tiles (Account &amp; Login, Billing, Resume/AI Issue, Report a Concern, Something Else). Selecting a category reveals a tailored form (e.g., Billing shows subscription context pre-filled; Report a Concern shows fields aligned with Trust &amp; Safety needs in Volume 14). Below the form: a list of the user's past tickets with status.</w:t>
      </w:r>
    </w:p>
    <w:p>
      <w:pPr>
        <w:pStyle w:val="Heading2"/>
        <w:spacing w:after="150" w:before="300"/>
      </w:pPr>
      <w:r>
        <w:t xml:space="preserve">17.5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80"/>
              <w:left w:type="dxa" w:w="100"/>
              <w:bottom w:type="dxa" w:w="80"/>
              <w:right w:type="dxa" w:w="100"/>
            </w:tcMar>
          </w:tcPr>
          <w:p>
            <w:r>
              <w:rPr>
                <w:b/>
                <w:bCs/>
                <w:color w:val="FFFFFF"/>
                <w:sz w:val="20"/>
                <w:szCs w:val="20"/>
              </w:rPr>
              <w:t xml:space="preserve">Component</w:t>
            </w:r>
          </w:p>
        </w:tc>
        <w:tc>
          <w:tcPr>
            <w:tcW w:type="dxa" w:w="6750"/>
            <w:shd w:fill="1B2A4A"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Category Tile</w:t>
            </w:r>
          </w:p>
        </w:tc>
        <w:tc>
          <w:tcPr>
            <w:tcW w:type="dxa" w:w="6750"/>
            <w:tcMar>
              <w:top w:type="dxa" w:w="80"/>
              <w:left w:type="dxa" w:w="100"/>
              <w:bottom w:type="dxa" w:w="80"/>
              <w:right w:type="dxa" w:w="100"/>
            </w:tcMar>
          </w:tcPr>
          <w:p>
            <w:r>
              <w:rPr>
                <w:b w:val="false"/>
                <w:bCs w:val="false"/>
                <w:sz w:val="20"/>
                <w:szCs w:val="20"/>
              </w:rPr>
              <w:t xml:space="preserve">Icon + label tile for issue category selection</w:t>
            </w:r>
          </w:p>
        </w:tc>
      </w:tr>
      <w:tr>
        <w:tc>
          <w:tcPr>
            <w:tcW w:type="dxa" w:w="2600"/>
            <w:tcMar>
              <w:top w:type="dxa" w:w="80"/>
              <w:left w:type="dxa" w:w="100"/>
              <w:bottom w:type="dxa" w:w="80"/>
              <w:right w:type="dxa" w:w="100"/>
            </w:tcMar>
          </w:tcPr>
          <w:p>
            <w:r>
              <w:rPr>
                <w:b w:val="false"/>
                <w:bCs w:val="false"/>
                <w:sz w:val="20"/>
                <w:szCs w:val="20"/>
              </w:rPr>
              <w:t xml:space="preserve">Contextual Support Form</w:t>
            </w:r>
          </w:p>
        </w:tc>
        <w:tc>
          <w:tcPr>
            <w:tcW w:type="dxa" w:w="6750"/>
            <w:tcMar>
              <w:top w:type="dxa" w:w="80"/>
              <w:left w:type="dxa" w:w="100"/>
              <w:bottom w:type="dxa" w:w="80"/>
              <w:right w:type="dxa" w:w="100"/>
            </w:tcMar>
          </w:tcPr>
          <w:p>
            <w:r>
              <w:rPr>
                <w:b w:val="false"/>
                <w:bCs w:val="false"/>
                <w:sz w:val="20"/>
                <w:szCs w:val="20"/>
              </w:rPr>
              <w:t xml:space="preserve">Form fields tailored to the selected category, with account context pre-filled</w:t>
            </w:r>
          </w:p>
        </w:tc>
      </w:tr>
      <w:tr>
        <w:tc>
          <w:tcPr>
            <w:tcW w:type="dxa" w:w="2600"/>
            <w:tcMar>
              <w:top w:type="dxa" w:w="80"/>
              <w:left w:type="dxa" w:w="100"/>
              <w:bottom w:type="dxa" w:w="80"/>
              <w:right w:type="dxa" w:w="100"/>
            </w:tcMar>
          </w:tcPr>
          <w:p>
            <w:r>
              <w:rPr>
                <w:b w:val="false"/>
                <w:bCs w:val="false"/>
                <w:sz w:val="20"/>
                <w:szCs w:val="20"/>
              </w:rPr>
              <w:t xml:space="preserve">Ticket History List</w:t>
            </w:r>
          </w:p>
        </w:tc>
        <w:tc>
          <w:tcPr>
            <w:tcW w:type="dxa" w:w="6750"/>
            <w:tcMar>
              <w:top w:type="dxa" w:w="80"/>
              <w:left w:type="dxa" w:w="100"/>
              <w:bottom w:type="dxa" w:w="80"/>
              <w:right w:type="dxa" w:w="100"/>
            </w:tcMar>
          </w:tcPr>
          <w:p>
            <w:r>
              <w:rPr>
                <w:b w:val="false"/>
                <w:bCs w:val="false"/>
                <w:sz w:val="20"/>
                <w:szCs w:val="20"/>
              </w:rPr>
              <w:t xml:space="preserve">Past tickets with status (Open, In Progress, Resolved) and last-updated timestamp</w:t>
            </w:r>
          </w:p>
        </w:tc>
      </w:tr>
    </w:tbl>
    <w:p>
      <w:pPr>
        <w:pStyle w:val="Heading2"/>
        <w:spacing w:after="150" w:before="300"/>
      </w:pPr>
      <w:r>
        <w:t xml:space="preserve">17.6 Typography</w:t>
      </w:r>
    </w:p>
    <w:p>
      <w:pPr>
        <w:spacing w:after="160"/>
        <w:jc w:val="both"/>
      </w:pPr>
      <w:r>
        <w:t xml:space="preserve">Category tile labels use Type-Label. Form field labels Type-Label. Ticket history rows use Type-Body with Type-Caption status/timestamp.</w:t>
      </w:r>
    </w:p>
    <w:p>
      <w:pPr>
        <w:pStyle w:val="Heading2"/>
        <w:spacing w:after="150" w:before="300"/>
      </w:pPr>
      <w:r>
        <w:t xml:space="preserve">17.7 Spacing</w:t>
      </w:r>
    </w:p>
    <w:p>
      <w:pPr>
        <w:spacing w:after="160"/>
        <w:jc w:val="both"/>
      </w:pPr>
      <w:r>
        <w:t xml:space="preserve">Category tiles arranged in a grid with Space-4 gaps. Ticket history rows separated by Space-3.</w:t>
      </w:r>
    </w:p>
    <w:p>
      <w:pPr>
        <w:pStyle w:val="Heading2"/>
        <w:spacing w:after="150" w:before="300"/>
      </w:pPr>
      <w:r>
        <w:t xml:space="preserve">17.8 Colors</w:t>
      </w:r>
    </w:p>
    <w:p>
      <w:pPr>
        <w:spacing w:after="160"/>
        <w:jc w:val="both"/>
      </w:pPr>
      <w:r>
        <w:t xml:space="preserve">Ticket status tags: Warning-Amber (Open), Teal-500 (In Progress), Success-Green (Resolved).</w:t>
      </w:r>
    </w:p>
    <w:p>
      <w:pPr>
        <w:pStyle w:val="Heading2"/>
        <w:spacing w:after="150" w:before="300"/>
      </w:pPr>
      <w:r>
        <w:t xml:space="preserve">17.9 Animations</w:t>
      </w:r>
    </w:p>
    <w:p>
      <w:pPr>
        <w:pStyle w:val="ListParagraph"/>
        <w:numPr>
          <w:ilvl w:val="0"/>
          <w:numId w:val="1"/>
        </w:numPr>
        <w:spacing w:after="80"/>
      </w:pPr>
      <w:r>
        <w:t xml:space="preserve">Selecting a category tile transitions the form area in with a fade (150ms) rather than an abrupt swap</w:t>
      </w:r>
    </w:p>
    <w:p>
      <w:pPr>
        <w:pStyle w:val="Heading2"/>
        <w:spacing w:after="150" w:before="300"/>
      </w:pPr>
      <w:r>
        <w:t xml:space="preserve">17.10 Icons</w:t>
      </w:r>
    </w:p>
    <w:p>
      <w:pPr>
        <w:spacing w:after="160"/>
        <w:jc w:val="both"/>
      </w:pPr>
      <w:r>
        <w:t xml:space="preserve">Category-specific icons (lock for Account &amp; Login, credit-card for Billing, document for Resume/AI Issue, flag for Report a Concern, question-mark for Something Else).</w:t>
      </w:r>
    </w:p>
    <w:p>
      <w:pPr>
        <w:pStyle w:val="Heading2"/>
        <w:spacing w:after="150" w:before="300"/>
      </w:pPr>
      <w:r>
        <w:t xml:space="preserve">17.11 Accessibility</w:t>
      </w:r>
    </w:p>
    <w:p>
      <w:pPr>
        <w:pStyle w:val="ListParagraph"/>
        <w:numPr>
          <w:ilvl w:val="0"/>
          <w:numId w:val="1"/>
        </w:numPr>
        <w:spacing w:after="80"/>
      </w:pPr>
      <w:r>
        <w:t xml:space="preserve">Category tiles are operable as a keyboard-navigable group (radio-group pattern), not click-only cards</w:t>
      </w:r>
    </w:p>
    <w:p>
      <w:pPr>
        <w:pStyle w:val="ListParagraph"/>
        <w:numPr>
          <w:ilvl w:val="0"/>
          <w:numId w:val="1"/>
        </w:numPr>
        <w:spacing w:after="80"/>
      </w:pPr>
      <w:r>
        <w:t xml:space="preserve">Ticket status is conveyed with text labels in addition to color tags</w:t>
      </w:r>
    </w:p>
    <w:p>
      <w:pPr>
        <w:pStyle w:val="Heading2"/>
        <w:spacing w:after="150" w:before="300"/>
      </w:pPr>
      <w:r>
        <w:t xml:space="preserve">17.12 Responsive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B2A4A" w:val="clear"/>
            <w:tcMar>
              <w:top w:type="dxa" w:w="80"/>
              <w:left w:type="dxa" w:w="100"/>
              <w:bottom w:type="dxa" w:w="80"/>
              <w:right w:type="dxa" w:w="100"/>
            </w:tcMar>
          </w:tcPr>
          <w:p>
            <w:r>
              <w:rPr>
                <w:b/>
                <w:bCs/>
                <w:color w:val="FFFFFF"/>
                <w:sz w:val="20"/>
                <w:szCs w:val="20"/>
              </w:rPr>
              <w:t xml:space="preserve">Breakpoint</w:t>
            </w:r>
          </w:p>
        </w:tc>
        <w:tc>
          <w:tcPr>
            <w:tcW w:type="dxa" w:w="7550"/>
            <w:shd w:fill="1B2A4A" w:val="clear"/>
            <w:tcMar>
              <w:top w:type="dxa" w:w="80"/>
              <w:left w:type="dxa" w:w="100"/>
              <w:bottom w:type="dxa" w:w="80"/>
              <w:right w:type="dxa" w:w="100"/>
            </w:tcMar>
          </w:tcPr>
          <w:p>
            <w:r>
              <w:rPr>
                <w:b/>
                <w:bCs/>
                <w:color w:val="FFFFFF"/>
                <w:sz w:val="20"/>
                <w:szCs w:val="20"/>
              </w:rPr>
              <w:t xml:space="preserve">Behavior</w:t>
            </w:r>
          </w:p>
        </w:tc>
      </w:tr>
      <w:tr>
        <w:tc>
          <w:tcPr>
            <w:tcW w:type="dxa" w:w="1800"/>
            <w:tcMar>
              <w:top w:type="dxa" w:w="80"/>
              <w:left w:type="dxa" w:w="100"/>
              <w:bottom w:type="dxa" w:w="80"/>
              <w:right w:type="dxa" w:w="100"/>
            </w:tcMar>
          </w:tcPr>
          <w:p>
            <w:r>
              <w:rPr>
                <w:b w:val="false"/>
                <w:bCs w:val="false"/>
                <w:sz w:val="20"/>
                <w:szCs w:val="20"/>
              </w:rPr>
              <w:t xml:space="preserve">Mobile</w:t>
            </w:r>
          </w:p>
        </w:tc>
        <w:tc>
          <w:tcPr>
            <w:tcW w:type="dxa" w:w="7550"/>
            <w:tcMar>
              <w:top w:type="dxa" w:w="80"/>
              <w:left w:type="dxa" w:w="100"/>
              <w:bottom w:type="dxa" w:w="80"/>
              <w:right w:type="dxa" w:w="100"/>
            </w:tcMar>
          </w:tcPr>
          <w:p>
            <w:r>
              <w:rPr>
                <w:b w:val="false"/>
                <w:bCs w:val="false"/>
                <w:sz w:val="20"/>
                <w:szCs w:val="20"/>
              </w:rPr>
              <w:t xml:space="preserve">Category tiles stack into a 2-column grid; ticket history becomes a simple stacked list</w:t>
            </w:r>
          </w:p>
        </w:tc>
      </w:tr>
      <w:tr>
        <w:tc>
          <w:tcPr>
            <w:tcW w:type="dxa" w:w="1800"/>
            <w:tcMar>
              <w:top w:type="dxa" w:w="80"/>
              <w:left w:type="dxa" w:w="100"/>
              <w:bottom w:type="dxa" w:w="80"/>
              <w:right w:type="dxa" w:w="100"/>
            </w:tcMar>
          </w:tcPr>
          <w:p>
            <w:r>
              <w:rPr>
                <w:b w:val="false"/>
                <w:bCs w:val="false"/>
                <w:sz w:val="20"/>
                <w:szCs w:val="20"/>
              </w:rPr>
              <w:t xml:space="preserve">Tablet+</w:t>
            </w:r>
          </w:p>
        </w:tc>
        <w:tc>
          <w:tcPr>
            <w:tcW w:type="dxa" w:w="7550"/>
            <w:tcMar>
              <w:top w:type="dxa" w:w="80"/>
              <w:left w:type="dxa" w:w="100"/>
              <w:bottom w:type="dxa" w:w="80"/>
              <w:right w:type="dxa" w:w="100"/>
            </w:tcMar>
          </w:tcPr>
          <w:p>
            <w:r>
              <w:rPr>
                <w:b w:val="false"/>
                <w:bCs w:val="false"/>
                <w:sz w:val="20"/>
                <w:szCs w:val="20"/>
              </w:rPr>
              <w:t xml:space="preserve">Full category grid as described; ticket history in a table-like list</w:t>
            </w:r>
          </w:p>
        </w:tc>
      </w:tr>
    </w:tbl>
    <w:p>
      <w:pPr>
        <w:pStyle w:val="Heading2"/>
        <w:spacing w:after="150" w:before="300"/>
      </w:pPr>
      <w:r>
        <w:t xml:space="preserve">17.13 Empty States</w:t>
      </w:r>
    </w:p>
    <w:p>
      <w:pPr>
        <w:spacing w:after="160"/>
        <w:jc w:val="both"/>
      </w:pPr>
      <w:r>
        <w:t xml:space="preserve">Users with no past tickets see no Ticket History section at all, rather than an empty list with a header and nothing beneath it.</w:t>
      </w:r>
    </w:p>
    <w:p>
      <w:pPr>
        <w:pStyle w:val="Heading2"/>
        <w:spacing w:after="150" w:before="300"/>
      </w:pPr>
      <w:r>
        <w:t xml:space="preserve">17.14 Loading States</w:t>
      </w:r>
    </w:p>
    <w:p>
      <w:pPr>
        <w:spacing w:after="160"/>
        <w:jc w:val="both"/>
      </w:pPr>
      <w:r>
        <w:t xml:space="preserve">Ticket submission shows a disabled, spinner-in-button state; ticket history loads with skeleton rows on initial page load.</w:t>
      </w:r>
    </w:p>
    <w:p>
      <w:pPr>
        <w:pStyle w:val="Heading2"/>
        <w:spacing w:after="150" w:before="300"/>
      </w:pPr>
      <w:r>
        <w:t xml:space="preserve">17.15 Validation</w:t>
      </w:r>
    </w:p>
    <w:p>
      <w:pPr>
        <w:pStyle w:val="ListParagraph"/>
        <w:numPr>
          <w:ilvl w:val="0"/>
          <w:numId w:val="1"/>
        </w:numPr>
        <w:spacing w:after="80"/>
      </w:pPr>
      <w:r>
        <w:t xml:space="preserve">Description field requires a minimum length to ensure support staff receive actionable detail before a ticket can be submitted</w:t>
      </w:r>
    </w:p>
    <w:p>
      <w:pPr>
        <w:pStyle w:val="ListParagraph"/>
        <w:numPr>
          <w:ilvl w:val="0"/>
          <w:numId w:val="1"/>
        </w:numPr>
        <w:spacing w:after="80"/>
      </w:pPr>
      <w:r>
        <w:t xml:space="preserve">'Report a Concern' category requires selecting a specific concern type from a controlled list, consistent with the Trust &amp; Safety intake needs in Volume 14</w:t>
      </w:r>
    </w:p>
    <w:p>
      <w:pPr>
        <w:pStyle w:val="Heading2"/>
        <w:spacing w:after="150" w:before="300"/>
      </w:pPr>
      <w:r>
        <w:t xml:space="preserve">17.16 Acceptance Criteria</w:t>
      </w:r>
    </w:p>
    <w:p>
      <w:pPr>
        <w:pStyle w:val="ListParagraph"/>
        <w:numPr>
          <w:ilvl w:val="0"/>
          <w:numId w:val="1"/>
        </w:numPr>
        <w:spacing w:after="80"/>
      </w:pPr>
      <w:r>
        <w:t xml:space="preserve">Given a selected category and completed form, when submitted, then a ticket is created with account context attached automatically and appears in the user's Ticket History</w:t>
      </w:r>
    </w:p>
    <w:p>
      <w:pPr>
        <w:pStyle w:val="ListParagraph"/>
        <w:numPr>
          <w:ilvl w:val="0"/>
          <w:numId w:val="1"/>
        </w:numPr>
        <w:spacing w:after="80"/>
      </w:pPr>
      <w:r>
        <w:t xml:space="preserve">Given an existing ticket status changes, when updated, then the user is notified per the Notifications page (Section 14) in addition to the Support page reflecting the new status</w:t>
      </w:r>
    </w:p>
    <w:p>
      <w:pPr>
        <w:pStyle w:val="Heading2"/>
        <w:spacing w:after="150" w:before="300"/>
      </w:pPr>
      <w:r>
        <w:t xml:space="preserve">17.17 Developer Notes</w:t>
      </w:r>
    </w:p>
    <w:p>
      <w:pPr>
        <w:pStyle w:val="ListParagraph"/>
        <w:numPr>
          <w:ilvl w:val="0"/>
          <w:numId w:val="1"/>
        </w:numPr>
        <w:spacing w:after="80"/>
      </w:pPr>
      <w:r>
        <w:t xml:space="preserve">Support ticket routing rules (which category maps to which internal queue/SLA) are defined operationally in Volume 14; this page's category list must stay in sync with those routing rules</w:t>
      </w:r>
    </w:p>
    <w:p>
      <w:pPr>
        <w:pStyle w:val="ListParagraph"/>
        <w:numPr>
          <w:ilvl w:val="0"/>
          <w:numId w:val="1"/>
        </w:numPr>
        <w:spacing w:after="80"/>
      </w:pPr>
      <w:r>
        <w:t xml:space="preserve">'Report a Concern' submissions must flow into the same moderation queue reviewed in the Admin Dashboard (Section 12) rather than a separate disconnected system</w:t>
      </w:r>
    </w:p>
    <w:p>
      <w:pPr>
        <w:pStyle w:val="Heading1"/>
        <w:spacing w:after="200" w:before="400"/>
      </w:pPr>
      <w:r>
        <w:t xml:space="preserve">18. Page Specification: Help Center</w:t>
      </w:r>
    </w:p>
    <w:p>
      <w:pPr>
        <w:pStyle w:val="Heading2"/>
        <w:spacing w:after="150" w:before="300"/>
      </w:pPr>
      <w:r>
        <w:t xml:space="preserve">18.1 Purpose</w:t>
      </w:r>
    </w:p>
    <w:p>
      <w:pPr>
        <w:spacing w:after="160"/>
        <w:jc w:val="both"/>
      </w:pPr>
      <w:r>
        <w:t xml:space="preserve">Provide self-service documentation and FAQs so users can resolve common questions without contacting Support, reducing ticket volume for well-understood issues.</w:t>
      </w:r>
    </w:p>
    <w:p>
      <w:pPr>
        <w:pStyle w:val="Heading2"/>
        <w:spacing w:after="150" w:before="300"/>
      </w:pPr>
      <w:r>
        <w:t xml:space="preserve">18.2 Goals</w:t>
      </w:r>
    </w:p>
    <w:p>
      <w:pPr>
        <w:pStyle w:val="ListParagraph"/>
        <w:numPr>
          <w:ilvl w:val="0"/>
          <w:numId w:val="1"/>
        </w:numPr>
        <w:spacing w:after="80"/>
      </w:pPr>
      <w:r>
        <w:t xml:space="preserve">Make articles easy to find via search and category browsing</w:t>
      </w:r>
    </w:p>
    <w:p>
      <w:pPr>
        <w:pStyle w:val="ListParagraph"/>
        <w:numPr>
          <w:ilvl w:val="0"/>
          <w:numId w:val="1"/>
        </w:numPr>
        <w:spacing w:after="80"/>
      </w:pPr>
      <w:r>
        <w:t xml:space="preserve">Keep AI-feature explanations (ATS scoring, matching, coaching) transparent and jargon-free, reinforcing the explainability principle (Volume 1 §1.3)</w:t>
      </w:r>
    </w:p>
    <w:p>
      <w:pPr>
        <w:pStyle w:val="ListParagraph"/>
        <w:numPr>
          <w:ilvl w:val="0"/>
          <w:numId w:val="1"/>
        </w:numPr>
        <w:spacing w:after="80"/>
      </w:pPr>
      <w:r>
        <w:t xml:space="preserve">Provide a clear path to Support (Section 17) when self-service isn't sufficient</w:t>
      </w:r>
    </w:p>
    <w:p>
      <w:pPr>
        <w:pStyle w:val="Heading2"/>
        <w:spacing w:after="150" w:before="300"/>
      </w:pPr>
      <w:r>
        <w:t xml:space="preserve">18.3 Layout</w:t>
      </w:r>
    </w:p>
    <w:p>
      <w:pPr>
        <w:spacing w:after="160"/>
        <w:jc w:val="both"/>
      </w:pPr>
      <w:r>
        <w:t xml:space="preserve">Search bar at top, followed by category cards (Getting Started, Resume &amp; ATS, Job Discovery, Career Coaching, Recruiter Tools, Billing &amp; Account), followed by a popular-articles list.</w:t>
      </w:r>
    </w:p>
    <w:p>
      <w:pPr>
        <w:pStyle w:val="Heading2"/>
        <w:spacing w:after="150" w:before="300"/>
      </w:pPr>
      <w:r>
        <w:t xml:space="preserve">18.4 Wireframe Description</w:t>
      </w:r>
    </w:p>
    <w:p>
      <w:pPr>
        <w:spacing w:after="160"/>
        <w:jc w:val="both"/>
      </w:pPr>
      <w:r>
        <w:t xml:space="preserve">Top: prominent search input with placeholder 'Search for help...'. Below: category card grid, each with an icon, title, and article count. Below: 'Popular Articles' list. Article detail view: title, body content, 'Was this helpful?' feedback control, and a 'Still need help? Contact Support' link at the bottom.</w:t>
      </w:r>
    </w:p>
    <w:p>
      <w:pPr>
        <w:pStyle w:val="Heading2"/>
        <w:spacing w:after="150" w:before="300"/>
      </w:pPr>
      <w:r>
        <w:t xml:space="preserve">18.5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80"/>
              <w:left w:type="dxa" w:w="100"/>
              <w:bottom w:type="dxa" w:w="80"/>
              <w:right w:type="dxa" w:w="100"/>
            </w:tcMar>
          </w:tcPr>
          <w:p>
            <w:r>
              <w:rPr>
                <w:b/>
                <w:bCs/>
                <w:color w:val="FFFFFF"/>
                <w:sz w:val="20"/>
                <w:szCs w:val="20"/>
              </w:rPr>
              <w:t xml:space="preserve">Component</w:t>
            </w:r>
          </w:p>
        </w:tc>
        <w:tc>
          <w:tcPr>
            <w:tcW w:type="dxa" w:w="6750"/>
            <w:shd w:fill="1B2A4A"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Search Bar</w:t>
            </w:r>
          </w:p>
        </w:tc>
        <w:tc>
          <w:tcPr>
            <w:tcW w:type="dxa" w:w="6750"/>
            <w:tcMar>
              <w:top w:type="dxa" w:w="80"/>
              <w:left w:type="dxa" w:w="100"/>
              <w:bottom w:type="dxa" w:w="80"/>
              <w:right w:type="dxa" w:w="100"/>
            </w:tcMar>
          </w:tcPr>
          <w:p>
            <w:r>
              <w:rPr>
                <w:b w:val="false"/>
                <w:bCs w:val="false"/>
                <w:sz w:val="20"/>
                <w:szCs w:val="20"/>
              </w:rPr>
              <w:t xml:space="preserve">Full-text search input over the help article corpus</w:t>
            </w:r>
          </w:p>
        </w:tc>
      </w:tr>
      <w:tr>
        <w:tc>
          <w:tcPr>
            <w:tcW w:type="dxa" w:w="2600"/>
            <w:tcMar>
              <w:top w:type="dxa" w:w="80"/>
              <w:left w:type="dxa" w:w="100"/>
              <w:bottom w:type="dxa" w:w="80"/>
              <w:right w:type="dxa" w:w="100"/>
            </w:tcMar>
          </w:tcPr>
          <w:p>
            <w:r>
              <w:rPr>
                <w:b w:val="false"/>
                <w:bCs w:val="false"/>
                <w:sz w:val="20"/>
                <w:szCs w:val="20"/>
              </w:rPr>
              <w:t xml:space="preserve">Category Card</w:t>
            </w:r>
          </w:p>
        </w:tc>
        <w:tc>
          <w:tcPr>
            <w:tcW w:type="dxa" w:w="6750"/>
            <w:tcMar>
              <w:top w:type="dxa" w:w="80"/>
              <w:left w:type="dxa" w:w="100"/>
              <w:bottom w:type="dxa" w:w="80"/>
              <w:right w:type="dxa" w:w="100"/>
            </w:tcMar>
          </w:tcPr>
          <w:p>
            <w:r>
              <w:rPr>
                <w:b w:val="false"/>
                <w:bCs w:val="false"/>
                <w:sz w:val="20"/>
                <w:szCs w:val="20"/>
              </w:rPr>
              <w:t xml:space="preserve">Icon, title, article count, links to a filtered article list</w:t>
            </w:r>
          </w:p>
        </w:tc>
      </w:tr>
      <w:tr>
        <w:tc>
          <w:tcPr>
            <w:tcW w:type="dxa" w:w="2600"/>
            <w:tcMar>
              <w:top w:type="dxa" w:w="80"/>
              <w:left w:type="dxa" w:w="100"/>
              <w:bottom w:type="dxa" w:w="80"/>
              <w:right w:type="dxa" w:w="100"/>
            </w:tcMar>
          </w:tcPr>
          <w:p>
            <w:r>
              <w:rPr>
                <w:b w:val="false"/>
                <w:bCs w:val="false"/>
                <w:sz w:val="20"/>
                <w:szCs w:val="20"/>
              </w:rPr>
              <w:t xml:space="preserve">Article List Item</w:t>
            </w:r>
          </w:p>
        </w:tc>
        <w:tc>
          <w:tcPr>
            <w:tcW w:type="dxa" w:w="6750"/>
            <w:tcMar>
              <w:top w:type="dxa" w:w="80"/>
              <w:left w:type="dxa" w:w="100"/>
              <w:bottom w:type="dxa" w:w="80"/>
              <w:right w:type="dxa" w:w="100"/>
            </w:tcMar>
          </w:tcPr>
          <w:p>
            <w:r>
              <w:rPr>
                <w:b w:val="false"/>
                <w:bCs w:val="false"/>
                <w:sz w:val="20"/>
                <w:szCs w:val="20"/>
              </w:rPr>
              <w:t xml:space="preserve">Title and short excerpt, links to full article</w:t>
            </w:r>
          </w:p>
        </w:tc>
      </w:tr>
      <w:tr>
        <w:tc>
          <w:tcPr>
            <w:tcW w:type="dxa" w:w="2600"/>
            <w:tcMar>
              <w:top w:type="dxa" w:w="80"/>
              <w:left w:type="dxa" w:w="100"/>
              <w:bottom w:type="dxa" w:w="80"/>
              <w:right w:type="dxa" w:w="100"/>
            </w:tcMar>
          </w:tcPr>
          <w:p>
            <w:r>
              <w:rPr>
                <w:b w:val="false"/>
                <w:bCs w:val="false"/>
                <w:sz w:val="20"/>
                <w:szCs w:val="20"/>
              </w:rPr>
              <w:t xml:space="preserve">Article Feedback Control</w:t>
            </w:r>
          </w:p>
        </w:tc>
        <w:tc>
          <w:tcPr>
            <w:tcW w:type="dxa" w:w="6750"/>
            <w:tcMar>
              <w:top w:type="dxa" w:w="80"/>
              <w:left w:type="dxa" w:w="100"/>
              <w:bottom w:type="dxa" w:w="80"/>
              <w:right w:type="dxa" w:w="100"/>
            </w:tcMar>
          </w:tcPr>
          <w:p>
            <w:r>
              <w:rPr>
                <w:b w:val="false"/>
                <w:bCs w:val="false"/>
                <w:sz w:val="20"/>
                <w:szCs w:val="20"/>
              </w:rPr>
              <w:t xml:space="preserve">'Was this helpful? Yes/No' control at the end of an article</w:t>
            </w:r>
          </w:p>
        </w:tc>
      </w:tr>
    </w:tbl>
    <w:p>
      <w:pPr>
        <w:pStyle w:val="Heading2"/>
        <w:spacing w:after="150" w:before="300"/>
      </w:pPr>
      <w:r>
        <w:t xml:space="preserve">18.6 Typography</w:t>
      </w:r>
    </w:p>
    <w:p>
      <w:pPr>
        <w:spacing w:after="160"/>
        <w:jc w:val="both"/>
      </w:pPr>
      <w:r>
        <w:t xml:space="preserve">Search input placeholder and category card titles use Type-H3/Type-Label conventions consistent with other pages. Article body content uses Type-Body with standard heading hierarchy for long-form articles.</w:t>
      </w:r>
    </w:p>
    <w:p>
      <w:pPr>
        <w:pStyle w:val="Heading2"/>
        <w:spacing w:after="150" w:before="300"/>
      </w:pPr>
      <w:r>
        <w:t xml:space="preserve">18.7 Spacing</w:t>
      </w:r>
    </w:p>
    <w:p>
      <w:pPr>
        <w:spacing w:after="160"/>
        <w:jc w:val="both"/>
      </w:pPr>
      <w:r>
        <w:t xml:space="preserve">Category cards arranged in a grid with Space-5 gaps. Article body content uses generous line-height and Space-4 paragraph spacing for readability.</w:t>
      </w:r>
    </w:p>
    <w:p>
      <w:pPr>
        <w:pStyle w:val="Heading2"/>
        <w:spacing w:after="150" w:before="300"/>
      </w:pPr>
      <w:r>
        <w:t xml:space="preserve">18.8 Colors</w:t>
      </w:r>
    </w:p>
    <w:p>
      <w:pPr>
        <w:spacing w:after="160"/>
        <w:jc w:val="both"/>
      </w:pPr>
      <w:r>
        <w:t xml:space="preserve">Category card icons tinted Teal-500. Article feedback 'Yes' uses Success-Green accent, 'No' uses Neutral with a follow-up prompt rather than Error-Red (a 'not helpful' response is not an error state).</w:t>
      </w:r>
    </w:p>
    <w:p>
      <w:pPr>
        <w:pStyle w:val="Heading2"/>
        <w:spacing w:after="150" w:before="300"/>
      </w:pPr>
      <w:r>
        <w:t xml:space="preserve">18.9 Animations</w:t>
      </w:r>
    </w:p>
    <w:p>
      <w:pPr>
        <w:pStyle w:val="ListParagraph"/>
        <w:numPr>
          <w:ilvl w:val="0"/>
          <w:numId w:val="1"/>
        </w:numPr>
        <w:spacing w:after="80"/>
      </w:pPr>
      <w:r>
        <w:t xml:space="preserve">Search results populate with a lightweight fade-in as the user types (debounced), avoiding jarring result-list jumps</w:t>
      </w:r>
    </w:p>
    <w:p>
      <w:pPr>
        <w:pStyle w:val="Heading2"/>
        <w:spacing w:after="150" w:before="300"/>
      </w:pPr>
      <w:r>
        <w:t xml:space="preserve">18.10 Icons</w:t>
      </w:r>
    </w:p>
    <w:p>
      <w:pPr>
        <w:spacing w:after="160"/>
        <w:jc w:val="both"/>
      </w:pPr>
      <w:r>
        <w:t xml:space="preserve">Category-specific icons mirroring their subject (rocket for Getting Started, document for Resume &amp; ATS, swipe-card icon for Job Discovery, chat-bubble for Career Coaching, briefcase for Recruiter Tools, credit-card for Billing &amp; Account).</w:t>
      </w:r>
    </w:p>
    <w:p>
      <w:pPr>
        <w:pStyle w:val="Heading2"/>
        <w:spacing w:after="150" w:before="300"/>
      </w:pPr>
      <w:r>
        <w:t xml:space="preserve">18.11 Accessibility</w:t>
      </w:r>
    </w:p>
    <w:p>
      <w:pPr>
        <w:pStyle w:val="ListParagraph"/>
        <w:numPr>
          <w:ilvl w:val="0"/>
          <w:numId w:val="1"/>
        </w:numPr>
        <w:spacing w:after="80"/>
      </w:pPr>
      <w:r>
        <w:t xml:space="preserve">Search results are announced via aria-live as they update</w:t>
      </w:r>
    </w:p>
    <w:p>
      <w:pPr>
        <w:pStyle w:val="ListParagraph"/>
        <w:numPr>
          <w:ilvl w:val="0"/>
          <w:numId w:val="1"/>
        </w:numPr>
        <w:spacing w:after="80"/>
      </w:pPr>
      <w:r>
        <w:t xml:space="preserve">Article content follows a logical heading structure (H1 article title, H2 sections) for screen-reader navigation</w:t>
      </w:r>
    </w:p>
    <w:p>
      <w:pPr>
        <w:pStyle w:val="Heading2"/>
        <w:spacing w:after="150" w:before="300"/>
      </w:pPr>
      <w:r>
        <w:t xml:space="preserve">18.12 Responsive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B2A4A" w:val="clear"/>
            <w:tcMar>
              <w:top w:type="dxa" w:w="80"/>
              <w:left w:type="dxa" w:w="100"/>
              <w:bottom w:type="dxa" w:w="80"/>
              <w:right w:type="dxa" w:w="100"/>
            </w:tcMar>
          </w:tcPr>
          <w:p>
            <w:r>
              <w:rPr>
                <w:b/>
                <w:bCs/>
                <w:color w:val="FFFFFF"/>
                <w:sz w:val="20"/>
                <w:szCs w:val="20"/>
              </w:rPr>
              <w:t xml:space="preserve">Breakpoint</w:t>
            </w:r>
          </w:p>
        </w:tc>
        <w:tc>
          <w:tcPr>
            <w:tcW w:type="dxa" w:w="7550"/>
            <w:shd w:fill="1B2A4A" w:val="clear"/>
            <w:tcMar>
              <w:top w:type="dxa" w:w="80"/>
              <w:left w:type="dxa" w:w="100"/>
              <w:bottom w:type="dxa" w:w="80"/>
              <w:right w:type="dxa" w:w="100"/>
            </w:tcMar>
          </w:tcPr>
          <w:p>
            <w:r>
              <w:rPr>
                <w:b/>
                <w:bCs/>
                <w:color w:val="FFFFFF"/>
                <w:sz w:val="20"/>
                <w:szCs w:val="20"/>
              </w:rPr>
              <w:t xml:space="preserve">Behavior</w:t>
            </w:r>
          </w:p>
        </w:tc>
      </w:tr>
      <w:tr>
        <w:tc>
          <w:tcPr>
            <w:tcW w:type="dxa" w:w="1800"/>
            <w:tcMar>
              <w:top w:type="dxa" w:w="80"/>
              <w:left w:type="dxa" w:w="100"/>
              <w:bottom w:type="dxa" w:w="80"/>
              <w:right w:type="dxa" w:w="100"/>
            </w:tcMar>
          </w:tcPr>
          <w:p>
            <w:r>
              <w:rPr>
                <w:b w:val="false"/>
                <w:bCs w:val="false"/>
                <w:sz w:val="20"/>
                <w:szCs w:val="20"/>
              </w:rPr>
              <w:t xml:space="preserve">Mobile</w:t>
            </w:r>
          </w:p>
        </w:tc>
        <w:tc>
          <w:tcPr>
            <w:tcW w:type="dxa" w:w="7550"/>
            <w:tcMar>
              <w:top w:type="dxa" w:w="80"/>
              <w:left w:type="dxa" w:w="100"/>
              <w:bottom w:type="dxa" w:w="80"/>
              <w:right w:type="dxa" w:w="100"/>
            </w:tcMar>
          </w:tcPr>
          <w:p>
            <w:r>
              <w:rPr>
                <w:b w:val="false"/>
                <w:bCs w:val="false"/>
                <w:sz w:val="20"/>
                <w:szCs w:val="20"/>
              </w:rPr>
              <w:t xml:space="preserve">Category cards stack 1–2 per row; search bar remains full-width and prominent</w:t>
            </w:r>
          </w:p>
        </w:tc>
      </w:tr>
      <w:tr>
        <w:tc>
          <w:tcPr>
            <w:tcW w:type="dxa" w:w="1800"/>
            <w:tcMar>
              <w:top w:type="dxa" w:w="80"/>
              <w:left w:type="dxa" w:w="100"/>
              <w:bottom w:type="dxa" w:w="80"/>
              <w:right w:type="dxa" w:w="100"/>
            </w:tcMar>
          </w:tcPr>
          <w:p>
            <w:r>
              <w:rPr>
                <w:b w:val="false"/>
                <w:bCs w:val="false"/>
                <w:sz w:val="20"/>
                <w:szCs w:val="20"/>
              </w:rPr>
              <w:t xml:space="preserve">Tablet+</w:t>
            </w:r>
          </w:p>
        </w:tc>
        <w:tc>
          <w:tcPr>
            <w:tcW w:type="dxa" w:w="7550"/>
            <w:tcMar>
              <w:top w:type="dxa" w:w="80"/>
              <w:left w:type="dxa" w:w="100"/>
              <w:bottom w:type="dxa" w:w="80"/>
              <w:right w:type="dxa" w:w="100"/>
            </w:tcMar>
          </w:tcPr>
          <w:p>
            <w:r>
              <w:rPr>
                <w:b w:val="false"/>
                <w:bCs w:val="false"/>
                <w:sz w:val="20"/>
                <w:szCs w:val="20"/>
              </w:rPr>
              <w:t xml:space="preserve">Full category grid as described</w:t>
            </w:r>
          </w:p>
        </w:tc>
      </w:tr>
    </w:tbl>
    <w:p>
      <w:pPr>
        <w:pStyle w:val="Heading2"/>
        <w:spacing w:after="150" w:before="300"/>
      </w:pPr>
      <w:r>
        <w:t xml:space="preserve">18.13 Empty States</w:t>
      </w:r>
    </w:p>
    <w:p>
      <w:pPr>
        <w:spacing w:after="160"/>
        <w:jc w:val="both"/>
      </w:pPr>
      <w:r>
        <w:t xml:space="preserve">A search with no matching results shows 'No articles found for "{query}"' with a direct link to Support (Section 17), rather than a dead end.</w:t>
      </w:r>
    </w:p>
    <w:p>
      <w:pPr>
        <w:pStyle w:val="Heading2"/>
        <w:spacing w:after="150" w:before="300"/>
      </w:pPr>
      <w:r>
        <w:t xml:space="preserve">18.14 Loading States</w:t>
      </w:r>
    </w:p>
    <w:p>
      <w:pPr>
        <w:spacing w:after="160"/>
        <w:jc w:val="both"/>
      </w:pPr>
      <w:r>
        <w:t xml:space="preserve">Search results show a brief skeleton list while the query executes; category cards and popular articles are typically statically cached and load immediately.</w:t>
      </w:r>
    </w:p>
    <w:p>
      <w:pPr>
        <w:pStyle w:val="Heading2"/>
        <w:spacing w:after="150" w:before="300"/>
      </w:pPr>
      <w:r>
        <w:t xml:space="preserve">18.15 Validation</w:t>
      </w:r>
    </w:p>
    <w:p>
      <w:pPr>
        <w:pStyle w:val="ListParagraph"/>
        <w:numPr>
          <w:ilvl w:val="0"/>
          <w:numId w:val="1"/>
        </w:numPr>
        <w:spacing w:after="80"/>
      </w:pPr>
      <w:r>
        <w:t xml:space="preserve">Not applicable — Help Center is a read/search surface with no form submission beyond the lightweight feedback control</w:t>
      </w:r>
    </w:p>
    <w:p>
      <w:pPr>
        <w:pStyle w:val="Heading2"/>
        <w:spacing w:after="150" w:before="300"/>
      </w:pPr>
      <w:r>
        <w:t xml:space="preserve">18.16 Acceptance Criteria</w:t>
      </w:r>
    </w:p>
    <w:p>
      <w:pPr>
        <w:pStyle w:val="ListParagraph"/>
        <w:numPr>
          <w:ilvl w:val="0"/>
          <w:numId w:val="1"/>
        </w:numPr>
        <w:spacing w:after="80"/>
      </w:pPr>
      <w:r>
        <w:t xml:space="preserve">Given a user searches a term, when results return, then relevant articles are ranked and displayed without requiring an exact title match</w:t>
      </w:r>
    </w:p>
    <w:p>
      <w:pPr>
        <w:pStyle w:val="ListParagraph"/>
        <w:numPr>
          <w:ilvl w:val="0"/>
          <w:numId w:val="1"/>
        </w:numPr>
        <w:spacing w:after="80"/>
      </w:pPr>
      <w:r>
        <w:t xml:space="preserve">Given a user marks an article as not helpful, when submitted, then they are shown a direct path to Support rather than the interaction ending with no next step</w:t>
      </w:r>
    </w:p>
    <w:p>
      <w:pPr>
        <w:pStyle w:val="Heading2"/>
        <w:spacing w:after="150" w:before="300"/>
      </w:pPr>
      <w:r>
        <w:t xml:space="preserve">18.17 Developer Notes</w:t>
      </w:r>
    </w:p>
    <w:p>
      <w:pPr>
        <w:pStyle w:val="ListParagraph"/>
        <w:numPr>
          <w:ilvl w:val="0"/>
          <w:numId w:val="1"/>
        </w:numPr>
        <w:spacing w:after="80"/>
      </w:pPr>
      <w:r>
        <w:t xml:space="preserve">Help Center content should be manageable by non-engineering staff (Product/Support teams) via a content system rather than hardcoded into the frontend, to keep articles current as features evolve</w:t>
      </w:r>
    </w:p>
    <w:p>
      <w:pPr>
        <w:pStyle w:val="ListParagraph"/>
        <w:numPr>
          <w:ilvl w:val="0"/>
          <w:numId w:val="1"/>
        </w:numPr>
        <w:spacing w:after="80"/>
      </w:pPr>
      <w:r>
        <w:t xml:space="preserve">Article feedback data should feed back into a content-quality review process, distinguishing this from the AI trust-metric feedback loop described in Volume 1 §6.4, which concerns AI-generated content rather than documentation</w:t>
      </w:r>
    </w:p>
    <w:p>
      <w:pPr>
        <w:pStyle w:val="Heading1"/>
        <w:spacing w:after="200" w:before="400"/>
      </w:pPr>
      <w:r>
        <w:t xml:space="preserve">19. Cross-Page Consistency Requirements</w:t>
      </w:r>
    </w:p>
    <w:p>
      <w:pPr>
        <w:spacing w:after="160"/>
        <w:jc w:val="both"/>
      </w:pPr>
      <w:r>
        <w:t xml:space="preserve">The following rules apply across all seventeen page specifications in this volume and must be enforced during implementation review, not left to per-page interpretation.</w:t>
      </w:r>
    </w:p>
    <w:p>
      <w:pPr>
        <w:pStyle w:val="ListParagraph"/>
        <w:numPr>
          <w:ilvl w:val="0"/>
          <w:numId w:val="1"/>
        </w:numPr>
        <w:spacing w:after="80"/>
      </w:pPr>
      <w:r>
        <w:t xml:space="preserve">Match/ATS score color banding (Success-Green / Warning-Amber / Neutral or Error-Red by context) must use identical thresholds everywhere a score of that type appears — Swipe Feed, ATS Dashboard, Resume Builder, and Recruiter Dashboard must never disagree on what counts as a 'good' score.</w:t>
      </w:r>
    </w:p>
    <w:p>
      <w:pPr>
        <w:pStyle w:val="ListParagraph"/>
        <w:numPr>
          <w:ilvl w:val="0"/>
          <w:numId w:val="1"/>
        </w:numPr>
        <w:spacing w:after="80"/>
      </w:pPr>
      <w:r>
        <w:t xml:space="preserve">Every AI-generated output surface (Resume Builder phrasing, Cover Letter, Career Coach feedback, ATS suggestions) must expose a way to see the source facts or rationale behind the output, per Volume 1 §1.3 and §7.1.</w:t>
      </w:r>
    </w:p>
    <w:p>
      <w:pPr>
        <w:pStyle w:val="ListParagraph"/>
        <w:numPr>
          <w:ilvl w:val="0"/>
          <w:numId w:val="1"/>
        </w:numPr>
        <w:spacing w:after="80"/>
      </w:pPr>
      <w:r>
        <w:t xml:space="preserve">Every list/table view in this volume defines and implements all three of Empty, Loading, and Error states; a page passing design review without an explicit Error-state treatment (e.g., failed API call) must be flagged, even though Error state is tracked at the component-library level in Volume 3 rather than repeated per page here.</w:t>
      </w:r>
    </w:p>
    <w:p>
      <w:pPr>
        <w:pStyle w:val="ListParagraph"/>
        <w:numPr>
          <w:ilvl w:val="0"/>
          <w:numId w:val="1"/>
        </w:numPr>
        <w:spacing w:after="80"/>
      </w:pPr>
      <w:r>
        <w:t xml:space="preserve">Destructive or irreversible actions (account deletion, job posting closure, candidate rejection) require explicit confirmation, following the same confirmation-dialog pattern established in Settings (Section 16) and Admin Dashboard (Section 12).</w:t>
      </w:r>
    </w:p>
    <w:p>
      <w:pPr>
        <w:pStyle w:val="Heading2"/>
        <w:spacing w:after="150" w:before="300"/>
      </w:pPr>
      <w:r>
        <w:t xml:space="preserve">19.1 Closing Note</w:t>
      </w:r>
    </w:p>
    <w:p>
      <w:pPr>
        <w:spacing w:after="160"/>
        <w:jc w:val="both"/>
      </w:pPr>
      <w:r>
        <w:t xml:space="preserve">This volume specifies every primary screen a new frontend engineer needs to implement SwipeX's candidate and recruiter experiences to an enterprise quality bar. Volume 3 (Design System) provides the exact token values referenced throughout; Volume 6 (API Documentation) provides the request/response contracts each page's data-driven components depend on. Any new page proposed after this volume is written must be authored using the same sixteen-part template defined in Section 1.1 before entering implementation.</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SwipeX — Enterprise Documentation — Volume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7B" w:sz="8" w:space="4"/>
      </w:pBdr>
      <w:spacing w:after="200" w:before="400"/>
    </w:pPr>
    <w:rPr>
      <w:rFonts w:ascii="Calibri" w:cs="Calibri" w:eastAsia="Calibri" w:hAnsi="Calibri"/>
      <w:b/>
      <w:bCs/>
      <w:color w:val="1B2A4A"/>
      <w:sz w:val="34"/>
      <w:szCs w:val="34"/>
    </w:rPr>
  </w:style>
  <w:style w:type="paragraph" w:styleId="Heading2">
    <w:name w:val="Heading 2"/>
    <w:basedOn w:val="Normal"/>
    <w:next w:val="Normal"/>
    <w:qFormat/>
    <w:pPr>
      <w:spacing w:after="150" w:before="300"/>
    </w:pPr>
    <w:rPr>
      <w:rFonts w:ascii="Calibri" w:cs="Calibri" w:eastAsia="Calibri" w:hAnsi="Calibri"/>
      <w:b/>
      <w:bCs/>
      <w:color w:val="0E7C7B"/>
      <w:sz w:val="27"/>
      <w:szCs w:val="27"/>
    </w:rPr>
  </w:style>
  <w:style w:type="paragraph" w:styleId="Heading3">
    <w:name w:val="Heading 3"/>
    <w:basedOn w:val="Normal"/>
    <w:next w:val="Normal"/>
    <w:qFormat/>
    <w:pPr>
      <w:spacing w:after="100" w:before="200"/>
    </w:pPr>
    <w:rPr>
      <w:rFonts w:ascii="Calibri" w:cs="Calibri" w:eastAsia="Calibri" w:hAnsi="Calibri"/>
      <w:b/>
      <w:bCs/>
      <w:i/>
      <w:i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SwipeX Volume 2 - Complete UI/UX Design Bible</dc:title>
  <dc:creator>SwipeX Engineering Documentation</dc:creator>
  <cp:lastModifiedBy>Un-named</cp:lastModifiedBy>
  <cp:revision>1</cp:revision>
  <dcterms:created xsi:type="dcterms:W3CDTF">2026-07-04T02:01:32.836Z</dcterms:created>
  <dcterms:modified xsi:type="dcterms:W3CDTF">2026-07-04T02:01:32.836Z</dcterms:modified>
</cp:coreProperties>
</file>

<file path=docProps/custom.xml><?xml version="1.0" encoding="utf-8"?>
<Properties xmlns="http://schemas.openxmlformats.org/officeDocument/2006/custom-properties" xmlns:vt="http://schemas.openxmlformats.org/officeDocument/2006/docPropsVTypes"/>
</file>