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CC1" w:rsidRDefault="00AE0CC1">
      <w:pPr>
        <w:jc w:val="both"/>
      </w:pPr>
      <w:bookmarkStart w:id="0" w:name="_GoBack"/>
      <w:bookmarkEnd w:id="0"/>
    </w:p>
    <w:p w:rsidR="00AE0CC1" w:rsidRDefault="00AE0CC1">
      <w:pPr>
        <w:jc w:val="both"/>
      </w:pPr>
    </w:p>
    <w:p w:rsidR="00AE0CC1" w:rsidRDefault="003B1292">
      <w:pPr>
        <w:spacing w:after="0"/>
        <w:jc w:val="center"/>
      </w:pPr>
      <w:r>
        <w:rPr>
          <w:b/>
          <w:color w:val="13224A"/>
          <w:sz w:val="60"/>
        </w:rPr>
        <w:t>FinSuite</w:t>
      </w:r>
    </w:p>
    <w:p w:rsidR="00AE0CC1" w:rsidRDefault="003B1292">
      <w:pPr>
        <w:jc w:val="center"/>
      </w:pPr>
      <w:r>
        <w:rPr>
          <w:b/>
          <w:color w:val="0E7C7B"/>
          <w:sz w:val="32"/>
        </w:rPr>
        <w:t>An AI-Assisted Personal Finance and Live Stock Market Analysis Platform</w:t>
      </w:r>
    </w:p>
    <w:p w:rsidR="00AE0CC1" w:rsidRDefault="00AE0CC1">
      <w:pPr>
        <w:jc w:val="both"/>
      </w:pPr>
    </w:p>
    <w:p w:rsidR="00AE0CC1" w:rsidRDefault="003B1292">
      <w:pPr>
        <w:jc w:val="center"/>
      </w:pPr>
      <w:r>
        <w:rPr>
          <w:i/>
          <w:sz w:val="28"/>
        </w:rPr>
        <w:t>Internship Project Report</w:t>
      </w:r>
    </w:p>
    <w:p w:rsidR="00AE0CC1" w:rsidRDefault="003B1292">
      <w:pPr>
        <w:jc w:val="center"/>
      </w:pPr>
      <w:r>
        <w:t>submitted as part of the internship on</w:t>
      </w:r>
    </w:p>
    <w:p w:rsidR="00AE0CC1" w:rsidRDefault="003B1292">
      <w:pPr>
        <w:jc w:val="center"/>
      </w:pPr>
      <w:r>
        <w:rPr>
          <w:b/>
          <w:sz w:val="28"/>
        </w:rPr>
        <w:t>AI in Finance</w:t>
      </w:r>
    </w:p>
    <w:p w:rsidR="00AE0CC1" w:rsidRDefault="00AE0CC1">
      <w:pPr>
        <w:jc w:val="both"/>
      </w:pPr>
    </w:p>
    <w:p w:rsidR="00AE0CC1" w:rsidRDefault="00AE0CC1">
      <w:pPr>
        <w:jc w:val="both"/>
      </w:pPr>
    </w:p>
    <w:p w:rsidR="00AE0CC1" w:rsidRDefault="003B1292">
      <w:pPr>
        <w:spacing w:after="0"/>
        <w:jc w:val="center"/>
      </w:pPr>
      <w:r>
        <w:rPr>
          <w:color w:val="64708A"/>
        </w:rPr>
        <w:t>Submitted by</w:t>
      </w:r>
    </w:p>
    <w:p w:rsidR="00AE0CC1" w:rsidRDefault="003B1292">
      <w:pPr>
        <w:jc w:val="center"/>
      </w:pPr>
      <w:r>
        <w:rPr>
          <w:b/>
          <w:sz w:val="30"/>
        </w:rPr>
        <w:t>Purva Gajanan Kakade</w:t>
      </w:r>
    </w:p>
    <w:p w:rsidR="00AE0CC1" w:rsidRDefault="00AE0CC1">
      <w:pPr>
        <w:jc w:val="both"/>
      </w:pPr>
    </w:p>
    <w:p w:rsidR="00AE0CC1" w:rsidRDefault="003B1292">
      <w:pPr>
        <w:spacing w:after="0"/>
        <w:jc w:val="center"/>
      </w:pPr>
      <w:r>
        <w:rPr>
          <w:color w:val="64708A"/>
        </w:rPr>
        <w:t>Under the guidance of</w:t>
      </w:r>
    </w:p>
    <w:p w:rsidR="00AE0CC1" w:rsidRDefault="003B1292">
      <w:pPr>
        <w:spacing w:after="0"/>
        <w:jc w:val="center"/>
      </w:pPr>
      <w:r>
        <w:rPr>
          <w:b/>
          <w:sz w:val="30"/>
        </w:rPr>
        <w:t>Prof. Ashish Singh</w:t>
      </w:r>
    </w:p>
    <w:p w:rsidR="00AE0CC1" w:rsidRDefault="003B1292">
      <w:pPr>
        <w:spacing w:after="0"/>
        <w:jc w:val="center"/>
      </w:pPr>
      <w:r>
        <w:t xml:space="preserve">Shailesh J. </w:t>
      </w:r>
      <w:r>
        <w:t>Mehta School of Management (SJMSOM)</w:t>
      </w:r>
    </w:p>
    <w:p w:rsidR="00AE0CC1" w:rsidRDefault="003B1292">
      <w:pPr>
        <w:jc w:val="center"/>
      </w:pPr>
      <w:r>
        <w:t>Indian Institute of Technology Bombay</w:t>
      </w:r>
    </w:p>
    <w:p w:rsidR="00AE0CC1" w:rsidRDefault="00AE0CC1">
      <w:pPr>
        <w:jc w:val="both"/>
      </w:pPr>
    </w:p>
    <w:p w:rsidR="00AE0CC1" w:rsidRDefault="00AE0CC1">
      <w:pPr>
        <w:jc w:val="both"/>
      </w:pPr>
    </w:p>
    <w:p w:rsidR="00AE0CC1" w:rsidRDefault="00AE0CC1">
      <w:pPr>
        <w:jc w:val="both"/>
      </w:pPr>
    </w:p>
    <w:p w:rsidR="00AE0CC1" w:rsidRDefault="003B1292">
      <w:pPr>
        <w:jc w:val="center"/>
      </w:pPr>
      <w:r>
        <w:rPr>
          <w:b/>
          <w:sz w:val="26"/>
        </w:rPr>
        <w:t>October 2026</w:t>
      </w:r>
    </w:p>
    <w:p w:rsidR="00AE0CC1" w:rsidRDefault="003B1292">
      <w:r>
        <w:br w:type="page"/>
      </w:r>
    </w:p>
    <w:p w:rsidR="00AE0CC1" w:rsidRDefault="003B1292">
      <w:pPr>
        <w:pStyle w:val="Heading1"/>
      </w:pPr>
      <w:bookmarkStart w:id="1" w:name="_Toc241845000"/>
      <w:r>
        <w:lastRenderedPageBreak/>
        <w:t>Declaration</w:t>
      </w:r>
      <w:bookmarkEnd w:id="1"/>
    </w:p>
    <w:p w:rsidR="00AE0CC1" w:rsidRDefault="003B1292">
      <w:pPr>
        <w:jc w:val="both"/>
      </w:pPr>
      <w:r>
        <w:t>I hereby declare that the project report entitled “FinSuite: An AI-Assisted Personal Finance and Live Stock Market Analysis Platform” is a record of the</w:t>
      </w:r>
      <w:r>
        <w:t xml:space="preserve"> work carried out by me during my internship under the guidance of Prof. Ashish Singh, Shailesh J. Mehta School of Management, IIT Bombay. The work presented here is original to the best of my knowledge, and all external sources, libraries and data provide</w:t>
      </w:r>
      <w:r>
        <w:t>rs used have been duly acknowledged.</w:t>
      </w:r>
    </w:p>
    <w:p w:rsidR="00AE0CC1" w:rsidRDefault="00AE0CC1">
      <w:pPr>
        <w:jc w:val="both"/>
      </w:pPr>
    </w:p>
    <w:p w:rsidR="00AE0CC1" w:rsidRDefault="00AE0CC1">
      <w:pPr>
        <w:jc w:val="both"/>
      </w:pPr>
    </w:p>
    <w:p w:rsidR="00AE0CC1" w:rsidRDefault="00AE0CC1">
      <w:pPr>
        <w:jc w:val="both"/>
      </w:pPr>
    </w:p>
    <w:p w:rsidR="00AE0CC1" w:rsidRDefault="003B1292">
      <w:pPr>
        <w:spacing w:after="0"/>
        <w:jc w:val="both"/>
      </w:pPr>
      <w:r>
        <w:rPr>
          <w:b/>
        </w:rPr>
        <w:t>Purva Gajanan Kakade</w:t>
      </w:r>
    </w:p>
    <w:p w:rsidR="00AE0CC1" w:rsidRDefault="003B1292">
      <w:pPr>
        <w:spacing w:after="0"/>
        <w:jc w:val="both"/>
      </w:pPr>
      <w:r>
        <w:t>Date: ____________________          Place: ____________________</w:t>
      </w:r>
    </w:p>
    <w:p w:rsidR="00AE0CC1" w:rsidRDefault="003B1292">
      <w:pPr>
        <w:jc w:val="both"/>
      </w:pPr>
      <w:r>
        <w:t>Signature: ____________________</w:t>
      </w:r>
    </w:p>
    <w:p w:rsidR="00AE0CC1" w:rsidRDefault="003B1292">
      <w:r>
        <w:br w:type="page"/>
      </w:r>
    </w:p>
    <w:p w:rsidR="00AE0CC1" w:rsidRDefault="003B1292">
      <w:pPr>
        <w:pStyle w:val="Heading1"/>
      </w:pPr>
      <w:bookmarkStart w:id="2" w:name="_Toc241845001"/>
      <w:r>
        <w:lastRenderedPageBreak/>
        <w:t>Acknowledgement</w:t>
      </w:r>
      <w:bookmarkEnd w:id="2"/>
    </w:p>
    <w:p w:rsidR="00AE0CC1" w:rsidRDefault="003B1292">
      <w:pPr>
        <w:jc w:val="both"/>
      </w:pPr>
      <w:r>
        <w:t xml:space="preserve">I would like to express my sincere gratitude to Prof. Ashish Singh, Shailesh J. </w:t>
      </w:r>
      <w:r>
        <w:t>Mehta School of Management, IIT Bombay, for his guidance, encouragement and valuable feedback throughout this internship. His insights on the application of artificial intelligence and data analysis in finance shaped the direction of this project.</w:t>
      </w:r>
    </w:p>
    <w:p w:rsidR="00AE0CC1" w:rsidRDefault="003B1292">
      <w:pPr>
        <w:jc w:val="both"/>
      </w:pPr>
      <w:r>
        <w:t>I am als</w:t>
      </w:r>
      <w:r>
        <w:t>o thankful to the maintainers of the open-source tools on which this work is built — FastAPI, pandas, NumPy, scikit-learn, yfinance and Chart.js — and to my family and friends for their constant support.</w:t>
      </w:r>
    </w:p>
    <w:p w:rsidR="00AE0CC1" w:rsidRDefault="00AE0CC1">
      <w:pPr>
        <w:jc w:val="both"/>
      </w:pPr>
    </w:p>
    <w:p w:rsidR="00AE0CC1" w:rsidRDefault="00AE0CC1">
      <w:pPr>
        <w:jc w:val="both"/>
      </w:pPr>
    </w:p>
    <w:p w:rsidR="00AE0CC1" w:rsidRDefault="003B1292">
      <w:pPr>
        <w:jc w:val="both"/>
      </w:pPr>
      <w:r>
        <w:rPr>
          <w:b/>
        </w:rPr>
        <w:t>Purva Gajanan Kakade</w:t>
      </w:r>
    </w:p>
    <w:p w:rsidR="00AE0CC1" w:rsidRDefault="003B1292">
      <w:r>
        <w:br w:type="page"/>
      </w:r>
    </w:p>
    <w:p w:rsidR="00AE0CC1" w:rsidRDefault="003B1292">
      <w:pPr>
        <w:pStyle w:val="Heading1"/>
      </w:pPr>
      <w:bookmarkStart w:id="3" w:name="_Toc241845002"/>
      <w:r>
        <w:lastRenderedPageBreak/>
        <w:t>Abstract</w:t>
      </w:r>
      <w:bookmarkEnd w:id="3"/>
    </w:p>
    <w:p w:rsidR="00AE0CC1" w:rsidRDefault="003B1292">
      <w:pPr>
        <w:jc w:val="both"/>
      </w:pPr>
      <w:r>
        <w:t>Most individuals m</w:t>
      </w:r>
      <w:r>
        <w:t xml:space="preserve">ake important financial decisions — whether to buy a stock, whether a loan is affordable, how much to save every month for a goal — without access to the analytical tools that banks and analysts use. This project presents </w:t>
      </w:r>
      <w:r>
        <w:rPr>
          <w:b/>
        </w:rPr>
        <w:t>FinSuite</w:t>
      </w:r>
      <w:r>
        <w:t>, a full-stack web applica</w:t>
      </w:r>
      <w:r>
        <w:t>tion that brings those tools together in a single, free and easy-to-use console. FinSuite combines sixteen modules: financial-ratio calculators, a personal finance report, a rule-based finance assistant, loan and credit-risk screening, investment and compa</w:t>
      </w:r>
      <w:r>
        <w:t>ny-performance scoring, a multi-company portfolio screener, goal and retirement planning, a finance glossary, a live stock-market workspace, growth and target planning, Indian capital-gains tax estimation, and a live watchlist with price alerts.</w:t>
      </w:r>
    </w:p>
    <w:p w:rsidR="00AE0CC1" w:rsidRDefault="003B1292">
      <w:pPr>
        <w:jc w:val="both"/>
      </w:pPr>
      <w:r>
        <w:t>The system</w:t>
      </w:r>
      <w:r>
        <w:t xml:space="preserve"> is implemented as a Python </w:t>
      </w:r>
      <w:r>
        <w:rPr>
          <w:b/>
        </w:rPr>
        <w:t>FastAPI</w:t>
      </w:r>
      <w:r>
        <w:t xml:space="preserve"> backend exposing 29 documented REST endpoints and a lightweight HTML/JavaScript frontend. A key contribution is a key-free live market-data layer: any listed company, ETF or index worldwide can be searched by name or tic</w:t>
      </w:r>
      <w:r>
        <w:t xml:space="preserve">ker, and the platform returns live quotes, daily OHLCV history and company-specific news, using Yahoo Finance (via the yfinance library) and Google News RSS. The layer handles symbol resolution (company names, bare NSE/BSE tickers), short-lived caching to </w:t>
      </w:r>
      <w:r>
        <w:t>avoid rate limiting, market holidays, and relevance filtering of news headlines.</w:t>
      </w:r>
    </w:p>
    <w:p w:rsidR="00AE0CC1" w:rsidRDefault="003B1292">
      <w:pPr>
        <w:jc w:val="both"/>
      </w:pPr>
      <w:r>
        <w:t>The project also includes a machine-learning pipeline for next-day closing-price prediction based on engineered technical features (moving averages, daily return, volatility a</w:t>
      </w:r>
      <w:r>
        <w:t>nd RSI). Evaluated on two years of real data for Reliance Industries, TCS and Infosys, Linear Regression achieved a mean absolute error of ₹12.03, ₹34.27 and ₹17.58 respectively — no better than a naive “tomorrow equals today” baseline — while Random Fores</w:t>
      </w:r>
      <w:r>
        <w:t>t performed worse, and neither model predicted the direction of the next move better than chance. These results are consistent with the weak-form efficient-market hypothesis and highlight the importance of honest baselines when applying AI to financial pre</w:t>
      </w:r>
      <w:r>
        <w:t>diction.</w:t>
      </w:r>
    </w:p>
    <w:p w:rsidR="00AE0CC1" w:rsidRDefault="003B1292">
      <w:pPr>
        <w:jc w:val="both"/>
      </w:pPr>
      <w:r>
        <w:rPr>
          <w:b/>
        </w:rPr>
        <w:t>Keywords:</w:t>
      </w:r>
      <w:r>
        <w:t xml:space="preserve"> financial analytics, FastAPI, live market data, yfinance, credit risk, SIP planning, capital gains tax, machine learning, stock price prediction, efficient market hypothesis.</w:t>
      </w:r>
    </w:p>
    <w:p w:rsidR="00AE0CC1" w:rsidRDefault="003B1292">
      <w:r>
        <w:br w:type="page"/>
      </w:r>
    </w:p>
    <w:p w:rsidR="00AE0CC1" w:rsidRDefault="003B1292">
      <w:pPr>
        <w:jc w:val="both"/>
      </w:pPr>
      <w:r>
        <w:rPr>
          <w:b/>
          <w:color w:val="13224A"/>
          <w:sz w:val="32"/>
        </w:rPr>
        <w:lastRenderedPageBreak/>
        <w:t>Table of Contents</w:t>
      </w:r>
    </w:p>
    <w:p w:rsidR="00A23DCF" w:rsidRDefault="003B1292">
      <w:pPr>
        <w:pStyle w:val="TOC1"/>
        <w:tabs>
          <w:tab w:val="right" w:leader="dot" w:pos="8778"/>
        </w:tabs>
        <w:rPr>
          <w:rFonts w:asciiTheme="minorHAnsi" w:eastAsiaTheme="minorEastAsia" w:hAnsiTheme="minorHAnsi"/>
          <w:noProof/>
          <w:sz w:val="22"/>
          <w:lang w:val="en-IN" w:eastAsia="en-IN"/>
        </w:rPr>
      </w:pPr>
      <w:r>
        <w:fldChar w:fldCharType="begin"/>
      </w:r>
      <w:r>
        <w:instrText>TOC \o "1-2" \h \z \u</w:instrText>
      </w:r>
      <w:r>
        <w:fldChar w:fldCharType="separate"/>
      </w:r>
      <w:hyperlink w:anchor="_Toc241845000" w:history="1">
        <w:r w:rsidR="00A23DCF" w:rsidRPr="00BC0F66">
          <w:rPr>
            <w:rStyle w:val="Hyperlink"/>
            <w:rFonts w:eastAsiaTheme="majorEastAsia"/>
            <w:noProof/>
          </w:rPr>
          <w:t>Declaration</w:t>
        </w:r>
        <w:r w:rsidR="00A23DCF">
          <w:rPr>
            <w:noProof/>
            <w:webHidden/>
          </w:rPr>
          <w:tab/>
        </w:r>
        <w:r w:rsidR="00A23DCF">
          <w:rPr>
            <w:noProof/>
            <w:webHidden/>
          </w:rPr>
          <w:fldChar w:fldCharType="begin"/>
        </w:r>
        <w:r w:rsidR="00A23DCF">
          <w:rPr>
            <w:noProof/>
            <w:webHidden/>
          </w:rPr>
          <w:instrText xml:space="preserve"> PAGEREF _Toc241845000 \h </w:instrText>
        </w:r>
        <w:r w:rsidR="00A23DCF">
          <w:rPr>
            <w:noProof/>
            <w:webHidden/>
          </w:rPr>
        </w:r>
        <w:r w:rsidR="00A23DCF">
          <w:rPr>
            <w:noProof/>
            <w:webHidden/>
          </w:rPr>
          <w:fldChar w:fldCharType="separate"/>
        </w:r>
        <w:r>
          <w:rPr>
            <w:noProof/>
            <w:webHidden/>
          </w:rPr>
          <w:t>2</w:t>
        </w:r>
        <w:r w:rsidR="00A23DCF">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01" w:history="1">
        <w:r w:rsidRPr="00BC0F66">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_Toc241845001 \h </w:instrText>
        </w:r>
        <w:r>
          <w:rPr>
            <w:noProof/>
            <w:webHidden/>
          </w:rPr>
        </w:r>
        <w:r>
          <w:rPr>
            <w:noProof/>
            <w:webHidden/>
          </w:rPr>
          <w:fldChar w:fldCharType="separate"/>
        </w:r>
        <w:r w:rsidR="003B1292">
          <w:rPr>
            <w:noProof/>
            <w:webHidden/>
          </w:rPr>
          <w:t>3</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02" w:history="1">
        <w:r w:rsidRPr="00BC0F66">
          <w:rPr>
            <w:rStyle w:val="Hyperlink"/>
            <w:rFonts w:eastAsiaTheme="majorEastAsia"/>
            <w:noProof/>
          </w:rPr>
          <w:t>Abstract</w:t>
        </w:r>
        <w:r>
          <w:rPr>
            <w:noProof/>
            <w:webHidden/>
          </w:rPr>
          <w:tab/>
        </w:r>
        <w:r>
          <w:rPr>
            <w:noProof/>
            <w:webHidden/>
          </w:rPr>
          <w:fldChar w:fldCharType="begin"/>
        </w:r>
        <w:r>
          <w:rPr>
            <w:noProof/>
            <w:webHidden/>
          </w:rPr>
          <w:instrText xml:space="preserve"> PAGEREF _Toc241845002 \h </w:instrText>
        </w:r>
        <w:r>
          <w:rPr>
            <w:noProof/>
            <w:webHidden/>
          </w:rPr>
        </w:r>
        <w:r>
          <w:rPr>
            <w:noProof/>
            <w:webHidden/>
          </w:rPr>
          <w:fldChar w:fldCharType="separate"/>
        </w:r>
        <w:r w:rsidR="003B1292">
          <w:rPr>
            <w:noProof/>
            <w:webHidden/>
          </w:rPr>
          <w:t>4</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03" w:history="1">
        <w:r w:rsidRPr="00BC0F66">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_Toc241845003 \h </w:instrText>
        </w:r>
        <w:r>
          <w:rPr>
            <w:noProof/>
            <w:webHidden/>
          </w:rPr>
        </w:r>
        <w:r>
          <w:rPr>
            <w:noProof/>
            <w:webHidden/>
          </w:rPr>
          <w:fldChar w:fldCharType="separate"/>
        </w:r>
        <w:r w:rsidR="003B1292">
          <w:rPr>
            <w:noProof/>
            <w:webHidden/>
          </w:rPr>
          <w:t>7</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04" w:history="1">
        <w:r w:rsidRPr="00BC0F66">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_Toc241845004 \h </w:instrText>
        </w:r>
        <w:r>
          <w:rPr>
            <w:noProof/>
            <w:webHidden/>
          </w:rPr>
        </w:r>
        <w:r>
          <w:rPr>
            <w:noProof/>
            <w:webHidden/>
          </w:rPr>
          <w:fldChar w:fldCharType="separate"/>
        </w:r>
        <w:r w:rsidR="003B1292">
          <w:rPr>
            <w:noProof/>
            <w:webHidden/>
          </w:rPr>
          <w:t>8</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05" w:history="1">
        <w:r w:rsidRPr="00BC0F66">
          <w:rPr>
            <w:rStyle w:val="Hyperlink"/>
            <w:rFonts w:eastAsiaTheme="majorEastAsia"/>
            <w:noProof/>
          </w:rPr>
          <w:t>1.1 Background</w:t>
        </w:r>
        <w:r>
          <w:rPr>
            <w:noProof/>
            <w:webHidden/>
          </w:rPr>
          <w:tab/>
        </w:r>
        <w:r>
          <w:rPr>
            <w:noProof/>
            <w:webHidden/>
          </w:rPr>
          <w:fldChar w:fldCharType="begin"/>
        </w:r>
        <w:r>
          <w:rPr>
            <w:noProof/>
            <w:webHidden/>
          </w:rPr>
          <w:instrText xml:space="preserve"> PAGEREF _Toc241845005 \h </w:instrText>
        </w:r>
        <w:r>
          <w:rPr>
            <w:noProof/>
            <w:webHidden/>
          </w:rPr>
        </w:r>
        <w:r>
          <w:rPr>
            <w:noProof/>
            <w:webHidden/>
          </w:rPr>
          <w:fldChar w:fldCharType="separate"/>
        </w:r>
        <w:r w:rsidR="003B1292">
          <w:rPr>
            <w:noProof/>
            <w:webHidden/>
          </w:rPr>
          <w:t>8</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06" w:history="1">
        <w:r w:rsidRPr="00BC0F66">
          <w:rPr>
            <w:rStyle w:val="Hyperlink"/>
            <w:rFonts w:eastAsiaTheme="majorEastAsia"/>
            <w:noProof/>
          </w:rPr>
          <w:t>1.2 Problem Statement</w:t>
        </w:r>
        <w:r>
          <w:rPr>
            <w:noProof/>
            <w:webHidden/>
          </w:rPr>
          <w:tab/>
        </w:r>
        <w:r>
          <w:rPr>
            <w:noProof/>
            <w:webHidden/>
          </w:rPr>
          <w:fldChar w:fldCharType="begin"/>
        </w:r>
        <w:r>
          <w:rPr>
            <w:noProof/>
            <w:webHidden/>
          </w:rPr>
          <w:instrText xml:space="preserve"> PAGEREF _Toc241845006 \h </w:instrText>
        </w:r>
        <w:r>
          <w:rPr>
            <w:noProof/>
            <w:webHidden/>
          </w:rPr>
        </w:r>
        <w:r>
          <w:rPr>
            <w:noProof/>
            <w:webHidden/>
          </w:rPr>
          <w:fldChar w:fldCharType="separate"/>
        </w:r>
        <w:r w:rsidR="003B1292">
          <w:rPr>
            <w:noProof/>
            <w:webHidden/>
          </w:rPr>
          <w:t>8</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07" w:history="1">
        <w:r w:rsidRPr="00BC0F66">
          <w:rPr>
            <w:rStyle w:val="Hyperlink"/>
            <w:rFonts w:eastAsiaTheme="majorEastAsia"/>
            <w:noProof/>
          </w:rPr>
          <w:t>1.3 Objectives</w:t>
        </w:r>
        <w:r>
          <w:rPr>
            <w:noProof/>
            <w:webHidden/>
          </w:rPr>
          <w:tab/>
        </w:r>
        <w:r>
          <w:rPr>
            <w:noProof/>
            <w:webHidden/>
          </w:rPr>
          <w:fldChar w:fldCharType="begin"/>
        </w:r>
        <w:r>
          <w:rPr>
            <w:noProof/>
            <w:webHidden/>
          </w:rPr>
          <w:instrText xml:space="preserve"> PAGEREF _Toc241845007 \h </w:instrText>
        </w:r>
        <w:r>
          <w:rPr>
            <w:noProof/>
            <w:webHidden/>
          </w:rPr>
        </w:r>
        <w:r>
          <w:rPr>
            <w:noProof/>
            <w:webHidden/>
          </w:rPr>
          <w:fldChar w:fldCharType="separate"/>
        </w:r>
        <w:r w:rsidR="003B1292">
          <w:rPr>
            <w:noProof/>
            <w:webHidden/>
          </w:rPr>
          <w:t>8</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08" w:history="1">
        <w:r w:rsidRPr="00BC0F66">
          <w:rPr>
            <w:rStyle w:val="Hyperlink"/>
            <w:rFonts w:eastAsiaTheme="majorEastAsia"/>
            <w:noProof/>
          </w:rPr>
          <w:t>1.4 Scope</w:t>
        </w:r>
        <w:r>
          <w:rPr>
            <w:noProof/>
            <w:webHidden/>
          </w:rPr>
          <w:tab/>
        </w:r>
        <w:r>
          <w:rPr>
            <w:noProof/>
            <w:webHidden/>
          </w:rPr>
          <w:fldChar w:fldCharType="begin"/>
        </w:r>
        <w:r>
          <w:rPr>
            <w:noProof/>
            <w:webHidden/>
          </w:rPr>
          <w:instrText xml:space="preserve"> PAGEREF _Toc241845008 \h </w:instrText>
        </w:r>
        <w:r>
          <w:rPr>
            <w:noProof/>
            <w:webHidden/>
          </w:rPr>
        </w:r>
        <w:r>
          <w:rPr>
            <w:noProof/>
            <w:webHidden/>
          </w:rPr>
          <w:fldChar w:fldCharType="separate"/>
        </w:r>
        <w:r w:rsidR="003B1292">
          <w:rPr>
            <w:noProof/>
            <w:webHidden/>
          </w:rPr>
          <w:t>9</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09" w:history="1">
        <w:r w:rsidRPr="00BC0F66">
          <w:rPr>
            <w:rStyle w:val="Hyperlink"/>
            <w:rFonts w:eastAsiaTheme="majorEastAsia"/>
            <w:noProof/>
          </w:rPr>
          <w:t>1.5 Organisation of the Report</w:t>
        </w:r>
        <w:r>
          <w:rPr>
            <w:noProof/>
            <w:webHidden/>
          </w:rPr>
          <w:tab/>
        </w:r>
        <w:r>
          <w:rPr>
            <w:noProof/>
            <w:webHidden/>
          </w:rPr>
          <w:fldChar w:fldCharType="begin"/>
        </w:r>
        <w:r>
          <w:rPr>
            <w:noProof/>
            <w:webHidden/>
          </w:rPr>
          <w:instrText xml:space="preserve"> PAGEREF _Toc241845009 \h </w:instrText>
        </w:r>
        <w:r>
          <w:rPr>
            <w:noProof/>
            <w:webHidden/>
          </w:rPr>
        </w:r>
        <w:r>
          <w:rPr>
            <w:noProof/>
            <w:webHidden/>
          </w:rPr>
          <w:fldChar w:fldCharType="separate"/>
        </w:r>
        <w:r w:rsidR="003B1292">
          <w:rPr>
            <w:noProof/>
            <w:webHidden/>
          </w:rPr>
          <w:t>9</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10" w:history="1">
        <w:r w:rsidRPr="00BC0F66">
          <w:rPr>
            <w:rStyle w:val="Hyperlink"/>
            <w:rFonts w:eastAsiaTheme="majorEastAsia"/>
            <w:noProof/>
          </w:rPr>
          <w:t>Chapter 2: Background and Literature Review</w:t>
        </w:r>
        <w:r>
          <w:rPr>
            <w:noProof/>
            <w:webHidden/>
          </w:rPr>
          <w:tab/>
        </w:r>
        <w:r>
          <w:rPr>
            <w:noProof/>
            <w:webHidden/>
          </w:rPr>
          <w:fldChar w:fldCharType="begin"/>
        </w:r>
        <w:r>
          <w:rPr>
            <w:noProof/>
            <w:webHidden/>
          </w:rPr>
          <w:instrText xml:space="preserve"> PAGEREF _Toc241845010 \h </w:instrText>
        </w:r>
        <w:r>
          <w:rPr>
            <w:noProof/>
            <w:webHidden/>
          </w:rPr>
        </w:r>
        <w:r>
          <w:rPr>
            <w:noProof/>
            <w:webHidden/>
          </w:rPr>
          <w:fldChar w:fldCharType="separate"/>
        </w:r>
        <w:r w:rsidR="003B1292">
          <w:rPr>
            <w:noProof/>
            <w:webHidden/>
          </w:rPr>
          <w:t>10</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1" w:history="1">
        <w:r w:rsidRPr="00BC0F66">
          <w:rPr>
            <w:rStyle w:val="Hyperlink"/>
            <w:rFonts w:eastAsiaTheme="majorEastAsia"/>
            <w:noProof/>
          </w:rPr>
          <w:t>2.1 Financial Ratio Analysis</w:t>
        </w:r>
        <w:r>
          <w:rPr>
            <w:noProof/>
            <w:webHidden/>
          </w:rPr>
          <w:tab/>
        </w:r>
        <w:r>
          <w:rPr>
            <w:noProof/>
            <w:webHidden/>
          </w:rPr>
          <w:fldChar w:fldCharType="begin"/>
        </w:r>
        <w:r>
          <w:rPr>
            <w:noProof/>
            <w:webHidden/>
          </w:rPr>
          <w:instrText xml:space="preserve"> PAGEREF _Toc241845011 \h </w:instrText>
        </w:r>
        <w:r>
          <w:rPr>
            <w:noProof/>
            <w:webHidden/>
          </w:rPr>
        </w:r>
        <w:r>
          <w:rPr>
            <w:noProof/>
            <w:webHidden/>
          </w:rPr>
          <w:fldChar w:fldCharType="separate"/>
        </w:r>
        <w:r w:rsidR="003B1292">
          <w:rPr>
            <w:noProof/>
            <w:webHidden/>
          </w:rPr>
          <w:t>10</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2" w:history="1">
        <w:r w:rsidRPr="00BC0F66">
          <w:rPr>
            <w:rStyle w:val="Hyperlink"/>
            <w:rFonts w:eastAsiaTheme="majorEastAsia"/>
            <w:noProof/>
          </w:rPr>
          <w:t>2.2 Credit Scores and Repayment Capacity</w:t>
        </w:r>
        <w:r>
          <w:rPr>
            <w:noProof/>
            <w:webHidden/>
          </w:rPr>
          <w:tab/>
        </w:r>
        <w:r>
          <w:rPr>
            <w:noProof/>
            <w:webHidden/>
          </w:rPr>
          <w:fldChar w:fldCharType="begin"/>
        </w:r>
        <w:r>
          <w:rPr>
            <w:noProof/>
            <w:webHidden/>
          </w:rPr>
          <w:instrText xml:space="preserve"> PAGEREF _Toc241845012 \h </w:instrText>
        </w:r>
        <w:r>
          <w:rPr>
            <w:noProof/>
            <w:webHidden/>
          </w:rPr>
        </w:r>
        <w:r>
          <w:rPr>
            <w:noProof/>
            <w:webHidden/>
          </w:rPr>
          <w:fldChar w:fldCharType="separate"/>
        </w:r>
        <w:r w:rsidR="003B1292">
          <w:rPr>
            <w:noProof/>
            <w:webHidden/>
          </w:rPr>
          <w:t>10</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3" w:history="1">
        <w:r w:rsidRPr="00BC0F66">
          <w:rPr>
            <w:rStyle w:val="Hyperlink"/>
            <w:rFonts w:eastAsiaTheme="majorEastAsia"/>
            <w:noProof/>
          </w:rPr>
          <w:t>2.3 Time Value of Money and SIP Planning</w:t>
        </w:r>
        <w:r>
          <w:rPr>
            <w:noProof/>
            <w:webHidden/>
          </w:rPr>
          <w:tab/>
        </w:r>
        <w:r>
          <w:rPr>
            <w:noProof/>
            <w:webHidden/>
          </w:rPr>
          <w:fldChar w:fldCharType="begin"/>
        </w:r>
        <w:r>
          <w:rPr>
            <w:noProof/>
            <w:webHidden/>
          </w:rPr>
          <w:instrText xml:space="preserve"> PAGEREF _Toc241845013 \h </w:instrText>
        </w:r>
        <w:r>
          <w:rPr>
            <w:noProof/>
            <w:webHidden/>
          </w:rPr>
        </w:r>
        <w:r>
          <w:rPr>
            <w:noProof/>
            <w:webHidden/>
          </w:rPr>
          <w:fldChar w:fldCharType="separate"/>
        </w:r>
        <w:r w:rsidR="003B1292">
          <w:rPr>
            <w:noProof/>
            <w:webHidden/>
          </w:rPr>
          <w:t>10</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4" w:history="1">
        <w:r w:rsidRPr="00BC0F66">
          <w:rPr>
            <w:rStyle w:val="Hyperlink"/>
            <w:rFonts w:eastAsiaTheme="majorEastAsia"/>
            <w:noProof/>
          </w:rPr>
          <w:t>2.4 Capital Gains Taxation on Listed Equity in India</w:t>
        </w:r>
        <w:r>
          <w:rPr>
            <w:noProof/>
            <w:webHidden/>
          </w:rPr>
          <w:tab/>
        </w:r>
        <w:r>
          <w:rPr>
            <w:noProof/>
            <w:webHidden/>
          </w:rPr>
          <w:fldChar w:fldCharType="begin"/>
        </w:r>
        <w:r>
          <w:rPr>
            <w:noProof/>
            <w:webHidden/>
          </w:rPr>
          <w:instrText xml:space="preserve"> PAGEREF _Toc241845014 \h </w:instrText>
        </w:r>
        <w:r>
          <w:rPr>
            <w:noProof/>
            <w:webHidden/>
          </w:rPr>
        </w:r>
        <w:r>
          <w:rPr>
            <w:noProof/>
            <w:webHidden/>
          </w:rPr>
          <w:fldChar w:fldCharType="separate"/>
        </w:r>
        <w:r w:rsidR="003B1292">
          <w:rPr>
            <w:noProof/>
            <w:webHidden/>
          </w:rPr>
          <w:t>11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5" w:history="1">
        <w:r w:rsidRPr="00BC0F66">
          <w:rPr>
            <w:rStyle w:val="Hyperlink"/>
            <w:rFonts w:eastAsiaTheme="majorEastAsia"/>
            <w:noProof/>
          </w:rPr>
          <w:t>2.5 Technical Indicators</w:t>
        </w:r>
        <w:r>
          <w:rPr>
            <w:noProof/>
            <w:webHidden/>
          </w:rPr>
          <w:tab/>
        </w:r>
        <w:r>
          <w:rPr>
            <w:noProof/>
            <w:webHidden/>
          </w:rPr>
          <w:fldChar w:fldCharType="begin"/>
        </w:r>
        <w:r>
          <w:rPr>
            <w:noProof/>
            <w:webHidden/>
          </w:rPr>
          <w:instrText xml:space="preserve"> PAGEREF _Toc241845015 \h </w:instrText>
        </w:r>
        <w:r>
          <w:rPr>
            <w:noProof/>
            <w:webHidden/>
          </w:rPr>
        </w:r>
        <w:r>
          <w:rPr>
            <w:noProof/>
            <w:webHidden/>
          </w:rPr>
          <w:fldChar w:fldCharType="separate"/>
        </w:r>
        <w:r w:rsidR="003B1292">
          <w:rPr>
            <w:noProof/>
            <w:webHidden/>
          </w:rPr>
          <w:t>11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6" w:history="1">
        <w:r w:rsidRPr="00BC0F66">
          <w:rPr>
            <w:rStyle w:val="Hyperlink"/>
            <w:rFonts w:eastAsiaTheme="majorEastAsia"/>
            <w:noProof/>
          </w:rPr>
          <w:t>2.6 Machine Learning for Price Prediction</w:t>
        </w:r>
        <w:r>
          <w:rPr>
            <w:noProof/>
            <w:webHidden/>
          </w:rPr>
          <w:tab/>
        </w:r>
        <w:r>
          <w:rPr>
            <w:noProof/>
            <w:webHidden/>
          </w:rPr>
          <w:fldChar w:fldCharType="begin"/>
        </w:r>
        <w:r>
          <w:rPr>
            <w:noProof/>
            <w:webHidden/>
          </w:rPr>
          <w:instrText xml:space="preserve"> PAGEREF _Toc241845016 \h </w:instrText>
        </w:r>
        <w:r>
          <w:rPr>
            <w:noProof/>
            <w:webHidden/>
          </w:rPr>
        </w:r>
        <w:r>
          <w:rPr>
            <w:noProof/>
            <w:webHidden/>
          </w:rPr>
          <w:fldChar w:fldCharType="separate"/>
        </w:r>
        <w:r w:rsidR="003B1292">
          <w:rPr>
            <w:noProof/>
            <w:webHidden/>
          </w:rPr>
          <w:t>11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7" w:history="1">
        <w:r w:rsidRPr="00BC0F66">
          <w:rPr>
            <w:rStyle w:val="Hyperlink"/>
            <w:rFonts w:eastAsiaTheme="majorEastAsia"/>
            <w:noProof/>
          </w:rPr>
          <w:t>2.7 Sources of Market Data</w:t>
        </w:r>
        <w:r>
          <w:rPr>
            <w:noProof/>
            <w:webHidden/>
          </w:rPr>
          <w:tab/>
        </w:r>
        <w:r>
          <w:rPr>
            <w:noProof/>
            <w:webHidden/>
          </w:rPr>
          <w:fldChar w:fldCharType="begin"/>
        </w:r>
        <w:r>
          <w:rPr>
            <w:noProof/>
            <w:webHidden/>
          </w:rPr>
          <w:instrText xml:space="preserve"> PAGEREF _Toc241845017 \h </w:instrText>
        </w:r>
        <w:r>
          <w:rPr>
            <w:noProof/>
            <w:webHidden/>
          </w:rPr>
        </w:r>
        <w:r>
          <w:rPr>
            <w:noProof/>
            <w:webHidden/>
          </w:rPr>
          <w:fldChar w:fldCharType="separate"/>
        </w:r>
        <w:r w:rsidR="003B1292">
          <w:rPr>
            <w:noProof/>
            <w:webHidden/>
          </w:rPr>
          <w:t>12</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18" w:history="1">
        <w:r w:rsidRPr="00BC0F66">
          <w:rPr>
            <w:rStyle w:val="Hyperlink"/>
            <w:rFonts w:eastAsiaTheme="majorEastAsia"/>
            <w:noProof/>
          </w:rPr>
          <w:t>Chapter 3: System Requirements and Design</w:t>
        </w:r>
        <w:r>
          <w:rPr>
            <w:noProof/>
            <w:webHidden/>
          </w:rPr>
          <w:tab/>
        </w:r>
        <w:r>
          <w:rPr>
            <w:noProof/>
            <w:webHidden/>
          </w:rPr>
          <w:fldChar w:fldCharType="begin"/>
        </w:r>
        <w:r>
          <w:rPr>
            <w:noProof/>
            <w:webHidden/>
          </w:rPr>
          <w:instrText xml:space="preserve"> PAGEREF _Toc241845018 \h </w:instrText>
        </w:r>
        <w:r>
          <w:rPr>
            <w:noProof/>
            <w:webHidden/>
          </w:rPr>
        </w:r>
        <w:r>
          <w:rPr>
            <w:noProof/>
            <w:webHidden/>
          </w:rPr>
          <w:fldChar w:fldCharType="separate"/>
        </w:r>
        <w:r w:rsidR="003B1292">
          <w:rPr>
            <w:noProof/>
            <w:webHidden/>
          </w:rPr>
          <w:t>13</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19" w:history="1">
        <w:r w:rsidRPr="00BC0F66">
          <w:rPr>
            <w:rStyle w:val="Hyperlink"/>
            <w:rFonts w:eastAsiaTheme="majorEastAsia"/>
            <w:noProof/>
          </w:rPr>
          <w:t>3.1 Functional Requirements</w:t>
        </w:r>
        <w:r>
          <w:rPr>
            <w:noProof/>
            <w:webHidden/>
          </w:rPr>
          <w:tab/>
        </w:r>
        <w:r>
          <w:rPr>
            <w:noProof/>
            <w:webHidden/>
          </w:rPr>
          <w:fldChar w:fldCharType="begin"/>
        </w:r>
        <w:r>
          <w:rPr>
            <w:noProof/>
            <w:webHidden/>
          </w:rPr>
          <w:instrText xml:space="preserve"> PAGEREF _Toc241845019 \h </w:instrText>
        </w:r>
        <w:r>
          <w:rPr>
            <w:noProof/>
            <w:webHidden/>
          </w:rPr>
        </w:r>
        <w:r>
          <w:rPr>
            <w:noProof/>
            <w:webHidden/>
          </w:rPr>
          <w:fldChar w:fldCharType="separate"/>
        </w:r>
        <w:r w:rsidR="003B1292">
          <w:rPr>
            <w:noProof/>
            <w:webHidden/>
          </w:rPr>
          <w:t>13</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0" w:history="1">
        <w:r w:rsidRPr="00BC0F66">
          <w:rPr>
            <w:rStyle w:val="Hyperlink"/>
            <w:rFonts w:eastAsiaTheme="majorEastAsia"/>
            <w:noProof/>
          </w:rPr>
          <w:t>3.2 Non-Functional Requirements</w:t>
        </w:r>
        <w:r>
          <w:rPr>
            <w:noProof/>
            <w:webHidden/>
          </w:rPr>
          <w:tab/>
        </w:r>
        <w:r>
          <w:rPr>
            <w:noProof/>
            <w:webHidden/>
          </w:rPr>
          <w:fldChar w:fldCharType="begin"/>
        </w:r>
        <w:r>
          <w:rPr>
            <w:noProof/>
            <w:webHidden/>
          </w:rPr>
          <w:instrText xml:space="preserve"> PAGEREF _Toc241845020 \h </w:instrText>
        </w:r>
        <w:r>
          <w:rPr>
            <w:noProof/>
            <w:webHidden/>
          </w:rPr>
        </w:r>
        <w:r>
          <w:rPr>
            <w:noProof/>
            <w:webHidden/>
          </w:rPr>
          <w:fldChar w:fldCharType="separate"/>
        </w:r>
        <w:r w:rsidR="003B1292">
          <w:rPr>
            <w:noProof/>
            <w:webHidden/>
          </w:rPr>
          <w:t>13</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1" w:history="1">
        <w:r w:rsidRPr="00BC0F66">
          <w:rPr>
            <w:rStyle w:val="Hyperlink"/>
            <w:rFonts w:eastAsiaTheme="majorEastAsia"/>
            <w:noProof/>
          </w:rPr>
          <w:t>3.3 System Architecture</w:t>
        </w:r>
        <w:r>
          <w:rPr>
            <w:noProof/>
            <w:webHidden/>
          </w:rPr>
          <w:tab/>
        </w:r>
        <w:r>
          <w:rPr>
            <w:noProof/>
            <w:webHidden/>
          </w:rPr>
          <w:fldChar w:fldCharType="begin"/>
        </w:r>
        <w:r>
          <w:rPr>
            <w:noProof/>
            <w:webHidden/>
          </w:rPr>
          <w:instrText xml:space="preserve"> PAGEREF _Toc241845021 \h </w:instrText>
        </w:r>
        <w:r>
          <w:rPr>
            <w:noProof/>
            <w:webHidden/>
          </w:rPr>
        </w:r>
        <w:r>
          <w:rPr>
            <w:noProof/>
            <w:webHidden/>
          </w:rPr>
          <w:fldChar w:fldCharType="separate"/>
        </w:r>
        <w:r w:rsidR="003B1292">
          <w:rPr>
            <w:noProof/>
            <w:webHidden/>
          </w:rPr>
          <w:t>13</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2" w:history="1">
        <w:r w:rsidRPr="00BC0F66">
          <w:rPr>
            <w:rStyle w:val="Hyperlink"/>
            <w:rFonts w:eastAsiaTheme="majorEastAsia"/>
            <w:noProof/>
          </w:rPr>
          <w:t>3.4 Technology Stack</w:t>
        </w:r>
        <w:r>
          <w:rPr>
            <w:noProof/>
            <w:webHidden/>
          </w:rPr>
          <w:tab/>
        </w:r>
        <w:r>
          <w:rPr>
            <w:noProof/>
            <w:webHidden/>
          </w:rPr>
          <w:fldChar w:fldCharType="begin"/>
        </w:r>
        <w:r>
          <w:rPr>
            <w:noProof/>
            <w:webHidden/>
          </w:rPr>
          <w:instrText xml:space="preserve"> PAGEREF _Toc241845022 \h </w:instrText>
        </w:r>
        <w:r>
          <w:rPr>
            <w:noProof/>
            <w:webHidden/>
          </w:rPr>
        </w:r>
        <w:r>
          <w:rPr>
            <w:noProof/>
            <w:webHidden/>
          </w:rPr>
          <w:fldChar w:fldCharType="separate"/>
        </w:r>
        <w:r w:rsidR="003B1292">
          <w:rPr>
            <w:noProof/>
            <w:webHidden/>
          </w:rPr>
          <w:t>14</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3" w:history="1">
        <w:r w:rsidRPr="00BC0F66">
          <w:rPr>
            <w:rStyle w:val="Hyperlink"/>
            <w:rFonts w:eastAsiaTheme="majorEastAsia"/>
            <w:noProof/>
          </w:rPr>
          <w:t>3.5 Project Structure</w:t>
        </w:r>
        <w:r>
          <w:rPr>
            <w:noProof/>
            <w:webHidden/>
          </w:rPr>
          <w:tab/>
        </w:r>
        <w:r>
          <w:rPr>
            <w:noProof/>
            <w:webHidden/>
          </w:rPr>
          <w:fldChar w:fldCharType="begin"/>
        </w:r>
        <w:r>
          <w:rPr>
            <w:noProof/>
            <w:webHidden/>
          </w:rPr>
          <w:instrText xml:space="preserve"> PAGEREF _Toc241845023 \h </w:instrText>
        </w:r>
        <w:r>
          <w:rPr>
            <w:noProof/>
            <w:webHidden/>
          </w:rPr>
        </w:r>
        <w:r>
          <w:rPr>
            <w:noProof/>
            <w:webHidden/>
          </w:rPr>
          <w:fldChar w:fldCharType="separate"/>
        </w:r>
        <w:r w:rsidR="003B1292">
          <w:rPr>
            <w:noProof/>
            <w:webHidden/>
          </w:rPr>
          <w:t>14</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4" w:history="1">
        <w:r w:rsidRPr="00BC0F66">
          <w:rPr>
            <w:rStyle w:val="Hyperlink"/>
            <w:rFonts w:eastAsiaTheme="majorEastAsia"/>
            <w:noProof/>
          </w:rPr>
          <w:t>3.6 API Design</w:t>
        </w:r>
        <w:r>
          <w:rPr>
            <w:noProof/>
            <w:webHidden/>
          </w:rPr>
          <w:tab/>
        </w:r>
        <w:r>
          <w:rPr>
            <w:noProof/>
            <w:webHidden/>
          </w:rPr>
          <w:fldChar w:fldCharType="begin"/>
        </w:r>
        <w:r>
          <w:rPr>
            <w:noProof/>
            <w:webHidden/>
          </w:rPr>
          <w:instrText xml:space="preserve"> PAGEREF _Toc241845024 \h </w:instrText>
        </w:r>
        <w:r>
          <w:rPr>
            <w:noProof/>
            <w:webHidden/>
          </w:rPr>
        </w:r>
        <w:r>
          <w:rPr>
            <w:noProof/>
            <w:webHidden/>
          </w:rPr>
          <w:fldChar w:fldCharType="separate"/>
        </w:r>
        <w:r w:rsidR="003B1292">
          <w:rPr>
            <w:noProof/>
            <w:webHidden/>
          </w:rPr>
          <w:t>15</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5" w:history="1">
        <w:r w:rsidRPr="00BC0F66">
          <w:rPr>
            <w:rStyle w:val="Hyperlink"/>
            <w:rFonts w:eastAsiaTheme="majorEastAsia"/>
            <w:noProof/>
          </w:rPr>
          <w:t>3.7 Request Flow for Live Market Data</w:t>
        </w:r>
        <w:r>
          <w:rPr>
            <w:noProof/>
            <w:webHidden/>
          </w:rPr>
          <w:tab/>
        </w:r>
        <w:r>
          <w:rPr>
            <w:noProof/>
            <w:webHidden/>
          </w:rPr>
          <w:fldChar w:fldCharType="begin"/>
        </w:r>
        <w:r>
          <w:rPr>
            <w:noProof/>
            <w:webHidden/>
          </w:rPr>
          <w:instrText xml:space="preserve"> PAGEREF _Toc241845025 \h </w:instrText>
        </w:r>
        <w:r>
          <w:rPr>
            <w:noProof/>
            <w:webHidden/>
          </w:rPr>
        </w:r>
        <w:r>
          <w:rPr>
            <w:noProof/>
            <w:webHidden/>
          </w:rPr>
          <w:fldChar w:fldCharType="separate"/>
        </w:r>
        <w:r w:rsidR="003B1292">
          <w:rPr>
            <w:noProof/>
            <w:webHidden/>
          </w:rPr>
          <w:t>16</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26" w:history="1">
        <w:r w:rsidRPr="00BC0F66">
          <w:rPr>
            <w:rStyle w:val="Hyperlink"/>
            <w:rFonts w:eastAsiaTheme="majorEastAsia"/>
            <w:noProof/>
          </w:rPr>
          <w:t>Chapter 4: Implementation</w:t>
        </w:r>
        <w:r>
          <w:rPr>
            <w:noProof/>
            <w:webHidden/>
          </w:rPr>
          <w:tab/>
        </w:r>
        <w:r>
          <w:rPr>
            <w:noProof/>
            <w:webHidden/>
          </w:rPr>
          <w:fldChar w:fldCharType="begin"/>
        </w:r>
        <w:r>
          <w:rPr>
            <w:noProof/>
            <w:webHidden/>
          </w:rPr>
          <w:instrText xml:space="preserve"> PAGEREF _Toc241845026 \h </w:instrText>
        </w:r>
        <w:r>
          <w:rPr>
            <w:noProof/>
            <w:webHidden/>
          </w:rPr>
        </w:r>
        <w:r>
          <w:rPr>
            <w:noProof/>
            <w:webHidden/>
          </w:rPr>
          <w:fldChar w:fldCharType="separate"/>
        </w:r>
        <w:r w:rsidR="003B1292">
          <w:rPr>
            <w:noProof/>
            <w:webHidden/>
          </w:rPr>
          <w:t>17</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7" w:history="1">
        <w:r w:rsidRPr="00BC0F66">
          <w:rPr>
            <w:rStyle w:val="Hyperlink"/>
            <w:rFonts w:eastAsiaTheme="majorEastAsia"/>
            <w:noProof/>
          </w:rPr>
          <w:t>4.1 Backend Foundation</w:t>
        </w:r>
        <w:r>
          <w:rPr>
            <w:noProof/>
            <w:webHidden/>
          </w:rPr>
          <w:tab/>
        </w:r>
        <w:r>
          <w:rPr>
            <w:noProof/>
            <w:webHidden/>
          </w:rPr>
          <w:fldChar w:fldCharType="begin"/>
        </w:r>
        <w:r>
          <w:rPr>
            <w:noProof/>
            <w:webHidden/>
          </w:rPr>
          <w:instrText xml:space="preserve"> PAGEREF _Toc241845027 \h </w:instrText>
        </w:r>
        <w:r>
          <w:rPr>
            <w:noProof/>
            <w:webHidden/>
          </w:rPr>
        </w:r>
        <w:r>
          <w:rPr>
            <w:noProof/>
            <w:webHidden/>
          </w:rPr>
          <w:fldChar w:fldCharType="separate"/>
        </w:r>
        <w:r w:rsidR="003B1292">
          <w:rPr>
            <w:noProof/>
            <w:webHidden/>
          </w:rPr>
          <w:t>17</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8" w:history="1">
        <w:r w:rsidRPr="00BC0F66">
          <w:rPr>
            <w:rStyle w:val="Hyperlink"/>
            <w:rFonts w:eastAsiaTheme="majorEastAsia"/>
            <w:noProof/>
          </w:rPr>
          <w:t>4.2 Financial Calculator Modules</w:t>
        </w:r>
        <w:r>
          <w:rPr>
            <w:noProof/>
            <w:webHidden/>
          </w:rPr>
          <w:tab/>
        </w:r>
        <w:r>
          <w:rPr>
            <w:noProof/>
            <w:webHidden/>
          </w:rPr>
          <w:fldChar w:fldCharType="begin"/>
        </w:r>
        <w:r>
          <w:rPr>
            <w:noProof/>
            <w:webHidden/>
          </w:rPr>
          <w:instrText xml:space="preserve"> PAGEREF _Toc241845028 \h </w:instrText>
        </w:r>
        <w:r>
          <w:rPr>
            <w:noProof/>
            <w:webHidden/>
          </w:rPr>
        </w:r>
        <w:r>
          <w:rPr>
            <w:noProof/>
            <w:webHidden/>
          </w:rPr>
          <w:fldChar w:fldCharType="separate"/>
        </w:r>
        <w:r w:rsidR="003B1292">
          <w:rPr>
            <w:noProof/>
            <w:webHidden/>
          </w:rPr>
          <w:t>17</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29" w:history="1">
        <w:r w:rsidRPr="00BC0F66">
          <w:rPr>
            <w:rStyle w:val="Hyperlink"/>
            <w:rFonts w:eastAsiaTheme="majorEastAsia"/>
            <w:noProof/>
          </w:rPr>
          <w:t>4.3 Live Market-Data Layer</w:t>
        </w:r>
        <w:r>
          <w:rPr>
            <w:noProof/>
            <w:webHidden/>
          </w:rPr>
          <w:tab/>
        </w:r>
        <w:r>
          <w:rPr>
            <w:noProof/>
            <w:webHidden/>
          </w:rPr>
          <w:fldChar w:fldCharType="begin"/>
        </w:r>
        <w:r>
          <w:rPr>
            <w:noProof/>
            <w:webHidden/>
          </w:rPr>
          <w:instrText xml:space="preserve"> PAGEREF _Toc241845029 \h </w:instrText>
        </w:r>
        <w:r>
          <w:rPr>
            <w:noProof/>
            <w:webHidden/>
          </w:rPr>
        </w:r>
        <w:r>
          <w:rPr>
            <w:noProof/>
            <w:webHidden/>
          </w:rPr>
          <w:fldChar w:fldCharType="separate"/>
        </w:r>
        <w:r w:rsidR="003B1292">
          <w:rPr>
            <w:noProof/>
            <w:webHidden/>
          </w:rPr>
          <w:t>21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0" w:history="1">
        <w:r w:rsidRPr="00BC0F66">
          <w:rPr>
            <w:rStyle w:val="Hyperlink"/>
            <w:rFonts w:eastAsiaTheme="majorEastAsia"/>
            <w:noProof/>
          </w:rPr>
          <w:t>4.4 Frontend</w:t>
        </w:r>
        <w:r>
          <w:rPr>
            <w:noProof/>
            <w:webHidden/>
          </w:rPr>
          <w:tab/>
        </w:r>
        <w:r>
          <w:rPr>
            <w:noProof/>
            <w:webHidden/>
          </w:rPr>
          <w:fldChar w:fldCharType="begin"/>
        </w:r>
        <w:r>
          <w:rPr>
            <w:noProof/>
            <w:webHidden/>
          </w:rPr>
          <w:instrText xml:space="preserve"> PAGEREF _Toc241845030 \h </w:instrText>
        </w:r>
        <w:r>
          <w:rPr>
            <w:noProof/>
            <w:webHidden/>
          </w:rPr>
        </w:r>
        <w:r>
          <w:rPr>
            <w:noProof/>
            <w:webHidden/>
          </w:rPr>
          <w:fldChar w:fldCharType="separate"/>
        </w:r>
        <w:r w:rsidR="003B1292">
          <w:rPr>
            <w:noProof/>
            <w:webHidden/>
          </w:rPr>
          <w:t>23</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31" w:history="1">
        <w:r w:rsidRPr="00BC0F66">
          <w:rPr>
            <w:rStyle w:val="Hyperlink"/>
            <w:rFonts w:eastAsiaTheme="majorEastAsia"/>
            <w:noProof/>
          </w:rPr>
          <w:t>Chapter 5: Machine-Learning Experiment: Next-Day Price Prediction</w:t>
        </w:r>
        <w:r>
          <w:rPr>
            <w:noProof/>
            <w:webHidden/>
          </w:rPr>
          <w:tab/>
        </w:r>
        <w:r>
          <w:rPr>
            <w:noProof/>
            <w:webHidden/>
          </w:rPr>
          <w:fldChar w:fldCharType="begin"/>
        </w:r>
        <w:r>
          <w:rPr>
            <w:noProof/>
            <w:webHidden/>
          </w:rPr>
          <w:instrText xml:space="preserve"> PAGEREF _Toc241845031 \h </w:instrText>
        </w:r>
        <w:r>
          <w:rPr>
            <w:noProof/>
            <w:webHidden/>
          </w:rPr>
        </w:r>
        <w:r>
          <w:rPr>
            <w:noProof/>
            <w:webHidden/>
          </w:rPr>
          <w:fldChar w:fldCharType="separate"/>
        </w:r>
        <w:r w:rsidR="003B1292">
          <w:rPr>
            <w:noProof/>
            <w:webHidden/>
          </w:rPr>
          <w:t>26</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2" w:history="1">
        <w:r w:rsidRPr="00BC0F66">
          <w:rPr>
            <w:rStyle w:val="Hyperlink"/>
            <w:rFonts w:eastAsiaTheme="majorEastAsia"/>
            <w:noProof/>
          </w:rPr>
          <w:t>5.1 Pipeline</w:t>
        </w:r>
        <w:r>
          <w:rPr>
            <w:noProof/>
            <w:webHidden/>
          </w:rPr>
          <w:tab/>
        </w:r>
        <w:r>
          <w:rPr>
            <w:noProof/>
            <w:webHidden/>
          </w:rPr>
          <w:fldChar w:fldCharType="begin"/>
        </w:r>
        <w:r>
          <w:rPr>
            <w:noProof/>
            <w:webHidden/>
          </w:rPr>
          <w:instrText xml:space="preserve"> PAGEREF _Toc241845032 \h </w:instrText>
        </w:r>
        <w:r>
          <w:rPr>
            <w:noProof/>
            <w:webHidden/>
          </w:rPr>
        </w:r>
        <w:r>
          <w:rPr>
            <w:noProof/>
            <w:webHidden/>
          </w:rPr>
          <w:fldChar w:fldCharType="separate"/>
        </w:r>
        <w:r w:rsidR="003B1292">
          <w:rPr>
            <w:noProof/>
            <w:webHidden/>
          </w:rPr>
          <w:t>26</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3" w:history="1">
        <w:r w:rsidRPr="00BC0F66">
          <w:rPr>
            <w:rStyle w:val="Hyperlink"/>
            <w:rFonts w:eastAsiaTheme="majorEastAsia"/>
            <w:noProof/>
          </w:rPr>
          <w:t>5.2 Experimental Setup</w:t>
        </w:r>
        <w:r>
          <w:rPr>
            <w:noProof/>
            <w:webHidden/>
          </w:rPr>
          <w:tab/>
        </w:r>
        <w:r>
          <w:rPr>
            <w:noProof/>
            <w:webHidden/>
          </w:rPr>
          <w:fldChar w:fldCharType="begin"/>
        </w:r>
        <w:r>
          <w:rPr>
            <w:noProof/>
            <w:webHidden/>
          </w:rPr>
          <w:instrText xml:space="preserve"> PAGEREF _Toc241845033 \h </w:instrText>
        </w:r>
        <w:r>
          <w:rPr>
            <w:noProof/>
            <w:webHidden/>
          </w:rPr>
        </w:r>
        <w:r>
          <w:rPr>
            <w:noProof/>
            <w:webHidden/>
          </w:rPr>
          <w:fldChar w:fldCharType="separate"/>
        </w:r>
        <w:r w:rsidR="003B1292">
          <w:rPr>
            <w:noProof/>
            <w:webHidden/>
          </w:rPr>
          <w:t>26</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4" w:history="1">
        <w:r w:rsidRPr="00BC0F66">
          <w:rPr>
            <w:rStyle w:val="Hyperlink"/>
            <w:rFonts w:eastAsiaTheme="majorEastAsia"/>
            <w:noProof/>
          </w:rPr>
          <w:t>5.3 Results</w:t>
        </w:r>
        <w:r>
          <w:rPr>
            <w:noProof/>
            <w:webHidden/>
          </w:rPr>
          <w:tab/>
        </w:r>
        <w:r>
          <w:rPr>
            <w:noProof/>
            <w:webHidden/>
          </w:rPr>
          <w:fldChar w:fldCharType="begin"/>
        </w:r>
        <w:r>
          <w:rPr>
            <w:noProof/>
            <w:webHidden/>
          </w:rPr>
          <w:instrText xml:space="preserve"> PAGEREF _Toc241845034 \h </w:instrText>
        </w:r>
        <w:r>
          <w:rPr>
            <w:noProof/>
            <w:webHidden/>
          </w:rPr>
        </w:r>
        <w:r>
          <w:rPr>
            <w:noProof/>
            <w:webHidden/>
          </w:rPr>
          <w:fldChar w:fldCharType="separate"/>
        </w:r>
        <w:r w:rsidR="003B1292">
          <w:rPr>
            <w:noProof/>
            <w:webHidden/>
          </w:rPr>
          <w:t>27</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5" w:history="1">
        <w:r w:rsidRPr="00BC0F66">
          <w:rPr>
            <w:rStyle w:val="Hyperlink"/>
            <w:rFonts w:eastAsiaTheme="majorEastAsia"/>
            <w:noProof/>
          </w:rPr>
          <w:t>5.4 Discussion</w:t>
        </w:r>
        <w:r>
          <w:rPr>
            <w:noProof/>
            <w:webHidden/>
          </w:rPr>
          <w:tab/>
        </w:r>
        <w:r>
          <w:rPr>
            <w:noProof/>
            <w:webHidden/>
          </w:rPr>
          <w:fldChar w:fldCharType="begin"/>
        </w:r>
        <w:r>
          <w:rPr>
            <w:noProof/>
            <w:webHidden/>
          </w:rPr>
          <w:instrText xml:space="preserve"> PAGEREF _Toc241845035 \h </w:instrText>
        </w:r>
        <w:r>
          <w:rPr>
            <w:noProof/>
            <w:webHidden/>
          </w:rPr>
        </w:r>
        <w:r>
          <w:rPr>
            <w:noProof/>
            <w:webHidden/>
          </w:rPr>
          <w:fldChar w:fldCharType="separate"/>
        </w:r>
        <w:r w:rsidR="003B1292">
          <w:rPr>
            <w:noProof/>
            <w:webHidden/>
          </w:rPr>
          <w:t>27</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6" w:history="1">
        <w:r w:rsidRPr="00BC0F66">
          <w:rPr>
            <w:rStyle w:val="Hyperlink"/>
            <w:rFonts w:eastAsiaTheme="majorEastAsia"/>
            <w:noProof/>
          </w:rPr>
          <w:t>5.5 Implications</w:t>
        </w:r>
        <w:r>
          <w:rPr>
            <w:noProof/>
            <w:webHidden/>
          </w:rPr>
          <w:tab/>
        </w:r>
        <w:r>
          <w:rPr>
            <w:noProof/>
            <w:webHidden/>
          </w:rPr>
          <w:fldChar w:fldCharType="begin"/>
        </w:r>
        <w:r>
          <w:rPr>
            <w:noProof/>
            <w:webHidden/>
          </w:rPr>
          <w:instrText xml:space="preserve"> PAGEREF _Toc241845036 \h </w:instrText>
        </w:r>
        <w:r>
          <w:rPr>
            <w:noProof/>
            <w:webHidden/>
          </w:rPr>
        </w:r>
        <w:r>
          <w:rPr>
            <w:noProof/>
            <w:webHidden/>
          </w:rPr>
          <w:fldChar w:fldCharType="separate"/>
        </w:r>
        <w:r w:rsidR="003B1292">
          <w:rPr>
            <w:noProof/>
            <w:webHidden/>
          </w:rPr>
          <w:t>28</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37" w:history="1">
        <w:r w:rsidRPr="00BC0F66">
          <w:rPr>
            <w:rStyle w:val="Hyperlink"/>
            <w:rFonts w:eastAsiaTheme="majorEastAsia"/>
            <w:noProof/>
          </w:rPr>
          <w:t>Chapter 6: Testing and Validation</w:t>
        </w:r>
        <w:r>
          <w:rPr>
            <w:noProof/>
            <w:webHidden/>
          </w:rPr>
          <w:tab/>
        </w:r>
        <w:r>
          <w:rPr>
            <w:noProof/>
            <w:webHidden/>
          </w:rPr>
          <w:fldChar w:fldCharType="begin"/>
        </w:r>
        <w:r>
          <w:rPr>
            <w:noProof/>
            <w:webHidden/>
          </w:rPr>
          <w:instrText xml:space="preserve"> PAGEREF _Toc241845037 \h </w:instrText>
        </w:r>
        <w:r>
          <w:rPr>
            <w:noProof/>
            <w:webHidden/>
          </w:rPr>
        </w:r>
        <w:r>
          <w:rPr>
            <w:noProof/>
            <w:webHidden/>
          </w:rPr>
          <w:fldChar w:fldCharType="separate"/>
        </w:r>
        <w:r w:rsidR="003B1292">
          <w:rPr>
            <w:noProof/>
            <w:webHidden/>
          </w:rPr>
          <w:t>29</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8" w:history="1">
        <w:r w:rsidRPr="00BC0F66">
          <w:rPr>
            <w:rStyle w:val="Hyperlink"/>
            <w:rFonts w:eastAsiaTheme="majorEastAsia"/>
            <w:noProof/>
          </w:rPr>
          <w:t>6.1 Approach</w:t>
        </w:r>
        <w:r>
          <w:rPr>
            <w:noProof/>
            <w:webHidden/>
          </w:rPr>
          <w:tab/>
        </w:r>
        <w:r>
          <w:rPr>
            <w:noProof/>
            <w:webHidden/>
          </w:rPr>
          <w:fldChar w:fldCharType="begin"/>
        </w:r>
        <w:r>
          <w:rPr>
            <w:noProof/>
            <w:webHidden/>
          </w:rPr>
          <w:instrText xml:space="preserve"> PAGEREF _Toc241845038 \h </w:instrText>
        </w:r>
        <w:r>
          <w:rPr>
            <w:noProof/>
            <w:webHidden/>
          </w:rPr>
        </w:r>
        <w:r>
          <w:rPr>
            <w:noProof/>
            <w:webHidden/>
          </w:rPr>
          <w:fldChar w:fldCharType="separate"/>
        </w:r>
        <w:r w:rsidR="003B1292">
          <w:rPr>
            <w:noProof/>
            <w:webHidden/>
          </w:rPr>
          <w:t>29</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39" w:history="1">
        <w:r w:rsidRPr="00BC0F66">
          <w:rPr>
            <w:rStyle w:val="Hyperlink"/>
            <w:rFonts w:eastAsiaTheme="majorEastAsia"/>
            <w:noProof/>
          </w:rPr>
          <w:t>6.2 Representative Test Cases</w:t>
        </w:r>
        <w:r>
          <w:rPr>
            <w:noProof/>
            <w:webHidden/>
          </w:rPr>
          <w:tab/>
        </w:r>
        <w:r>
          <w:rPr>
            <w:noProof/>
            <w:webHidden/>
          </w:rPr>
          <w:fldChar w:fldCharType="begin"/>
        </w:r>
        <w:r>
          <w:rPr>
            <w:noProof/>
            <w:webHidden/>
          </w:rPr>
          <w:instrText xml:space="preserve"> PAGEREF _Toc241845039 \h </w:instrText>
        </w:r>
        <w:r>
          <w:rPr>
            <w:noProof/>
            <w:webHidden/>
          </w:rPr>
        </w:r>
        <w:r>
          <w:rPr>
            <w:noProof/>
            <w:webHidden/>
          </w:rPr>
          <w:fldChar w:fldCharType="separate"/>
        </w:r>
        <w:r w:rsidR="003B1292">
          <w:rPr>
            <w:noProof/>
            <w:webHidden/>
          </w:rPr>
          <w:t>29</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40" w:history="1">
        <w:r w:rsidRPr="00BC0F66">
          <w:rPr>
            <w:rStyle w:val="Hyperlink"/>
            <w:rFonts w:eastAsiaTheme="majorEastAsia"/>
            <w:noProof/>
          </w:rPr>
          <w:t>6.3 Defects Found and Resolved</w:t>
        </w:r>
        <w:r>
          <w:rPr>
            <w:noProof/>
            <w:webHidden/>
          </w:rPr>
          <w:tab/>
        </w:r>
        <w:r>
          <w:rPr>
            <w:noProof/>
            <w:webHidden/>
          </w:rPr>
          <w:fldChar w:fldCharType="begin"/>
        </w:r>
        <w:r>
          <w:rPr>
            <w:noProof/>
            <w:webHidden/>
          </w:rPr>
          <w:instrText xml:space="preserve"> PAGEREF _Toc241845040 \h </w:instrText>
        </w:r>
        <w:r>
          <w:rPr>
            <w:noProof/>
            <w:webHidden/>
          </w:rPr>
        </w:r>
        <w:r>
          <w:rPr>
            <w:noProof/>
            <w:webHidden/>
          </w:rPr>
          <w:fldChar w:fldCharType="separate"/>
        </w:r>
        <w:r w:rsidR="003B1292">
          <w:rPr>
            <w:noProof/>
            <w:webHidden/>
          </w:rPr>
          <w:t>30</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1" w:history="1">
        <w:r w:rsidRPr="00BC0F66">
          <w:rPr>
            <w:rStyle w:val="Hyperlink"/>
            <w:rFonts w:eastAsiaTheme="majorEastAsia"/>
            <w:noProof/>
          </w:rPr>
          <w:t>Chapter 7: Limitations and Future Work</w:t>
        </w:r>
        <w:r>
          <w:rPr>
            <w:noProof/>
            <w:webHidden/>
          </w:rPr>
          <w:tab/>
        </w:r>
        <w:r>
          <w:rPr>
            <w:noProof/>
            <w:webHidden/>
          </w:rPr>
          <w:fldChar w:fldCharType="begin"/>
        </w:r>
        <w:r>
          <w:rPr>
            <w:noProof/>
            <w:webHidden/>
          </w:rPr>
          <w:instrText xml:space="preserve"> PAGEREF _Toc241845041 \h </w:instrText>
        </w:r>
        <w:r>
          <w:rPr>
            <w:noProof/>
            <w:webHidden/>
          </w:rPr>
        </w:r>
        <w:r>
          <w:rPr>
            <w:noProof/>
            <w:webHidden/>
          </w:rPr>
          <w:fldChar w:fldCharType="separate"/>
        </w:r>
        <w:r w:rsidR="003B1292">
          <w:rPr>
            <w:noProof/>
            <w:webHidden/>
          </w:rPr>
          <w:t>31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42" w:history="1">
        <w:r w:rsidRPr="00BC0F66">
          <w:rPr>
            <w:rStyle w:val="Hyperlink"/>
            <w:rFonts w:eastAsiaTheme="majorEastAsia"/>
            <w:noProof/>
          </w:rPr>
          <w:t>7.1 Limitations</w:t>
        </w:r>
        <w:r>
          <w:rPr>
            <w:noProof/>
            <w:webHidden/>
          </w:rPr>
          <w:tab/>
        </w:r>
        <w:r>
          <w:rPr>
            <w:noProof/>
            <w:webHidden/>
          </w:rPr>
          <w:fldChar w:fldCharType="begin"/>
        </w:r>
        <w:r>
          <w:rPr>
            <w:noProof/>
            <w:webHidden/>
          </w:rPr>
          <w:instrText xml:space="preserve"> PAGEREF _Toc241845042 \h </w:instrText>
        </w:r>
        <w:r>
          <w:rPr>
            <w:noProof/>
            <w:webHidden/>
          </w:rPr>
        </w:r>
        <w:r>
          <w:rPr>
            <w:noProof/>
            <w:webHidden/>
          </w:rPr>
          <w:fldChar w:fldCharType="separate"/>
        </w:r>
        <w:r w:rsidR="003B1292">
          <w:rPr>
            <w:noProof/>
            <w:webHidden/>
          </w:rPr>
          <w:t>31</w:t>
        </w:r>
        <w:r>
          <w:rPr>
            <w:noProof/>
            <w:webHidden/>
          </w:rPr>
          <w:fldChar w:fldCharType="end"/>
        </w:r>
      </w:hyperlink>
    </w:p>
    <w:p w:rsidR="00A23DCF" w:rsidRDefault="00A23DCF">
      <w:pPr>
        <w:pStyle w:val="TOC2"/>
        <w:tabs>
          <w:tab w:val="right" w:leader="dot" w:pos="8778"/>
        </w:tabs>
        <w:rPr>
          <w:rFonts w:asciiTheme="minorHAnsi" w:eastAsiaTheme="minorEastAsia" w:hAnsiTheme="minorHAnsi"/>
          <w:noProof/>
          <w:sz w:val="22"/>
          <w:lang w:val="en-IN" w:eastAsia="en-IN"/>
        </w:rPr>
      </w:pPr>
      <w:hyperlink w:anchor="_Toc241845043" w:history="1">
        <w:r w:rsidRPr="00BC0F66">
          <w:rPr>
            <w:rStyle w:val="Hyperlink"/>
            <w:rFonts w:eastAsiaTheme="majorEastAsia"/>
            <w:noProof/>
          </w:rPr>
          <w:t>7.2 Future Work</w:t>
        </w:r>
        <w:r>
          <w:rPr>
            <w:noProof/>
            <w:webHidden/>
          </w:rPr>
          <w:tab/>
        </w:r>
        <w:r>
          <w:rPr>
            <w:noProof/>
            <w:webHidden/>
          </w:rPr>
          <w:fldChar w:fldCharType="begin"/>
        </w:r>
        <w:r>
          <w:rPr>
            <w:noProof/>
            <w:webHidden/>
          </w:rPr>
          <w:instrText xml:space="preserve"> PAGEREF _Toc241845043 \h </w:instrText>
        </w:r>
        <w:r>
          <w:rPr>
            <w:noProof/>
            <w:webHidden/>
          </w:rPr>
        </w:r>
        <w:r>
          <w:rPr>
            <w:noProof/>
            <w:webHidden/>
          </w:rPr>
          <w:fldChar w:fldCharType="separate"/>
        </w:r>
        <w:r w:rsidR="003B1292">
          <w:rPr>
            <w:noProof/>
            <w:webHidden/>
          </w:rPr>
          <w:t>31</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4" w:history="1">
        <w:r w:rsidRPr="00BC0F66">
          <w:rPr>
            <w:rStyle w:val="Hyperlink"/>
            <w:rFonts w:eastAsiaTheme="majorEastAsia"/>
            <w:noProof/>
          </w:rPr>
          <w:t>Chapter 8: Conclusion</w:t>
        </w:r>
        <w:r>
          <w:rPr>
            <w:noProof/>
            <w:webHidden/>
          </w:rPr>
          <w:tab/>
        </w:r>
        <w:r>
          <w:rPr>
            <w:noProof/>
            <w:webHidden/>
          </w:rPr>
          <w:fldChar w:fldCharType="begin"/>
        </w:r>
        <w:r>
          <w:rPr>
            <w:noProof/>
            <w:webHidden/>
          </w:rPr>
          <w:instrText xml:space="preserve"> PAGEREF _Toc241845044 \h </w:instrText>
        </w:r>
        <w:r>
          <w:rPr>
            <w:noProof/>
            <w:webHidden/>
          </w:rPr>
        </w:r>
        <w:r>
          <w:rPr>
            <w:noProof/>
            <w:webHidden/>
          </w:rPr>
          <w:fldChar w:fldCharType="separate"/>
        </w:r>
        <w:r w:rsidR="003B1292">
          <w:rPr>
            <w:noProof/>
            <w:webHidden/>
          </w:rPr>
          <w:t>32</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5" w:history="1">
        <w:r w:rsidRPr="00BC0F66">
          <w:rPr>
            <w:rStyle w:val="Hyperlink"/>
            <w:rFonts w:eastAsiaTheme="majorEastAsia"/>
            <w:noProof/>
          </w:rPr>
          <w:t>References</w:t>
        </w:r>
        <w:r>
          <w:rPr>
            <w:noProof/>
            <w:webHidden/>
          </w:rPr>
          <w:tab/>
        </w:r>
        <w:r>
          <w:rPr>
            <w:noProof/>
            <w:webHidden/>
          </w:rPr>
          <w:fldChar w:fldCharType="begin"/>
        </w:r>
        <w:r>
          <w:rPr>
            <w:noProof/>
            <w:webHidden/>
          </w:rPr>
          <w:instrText xml:space="preserve"> PAGEREF _Toc241845045 \h </w:instrText>
        </w:r>
        <w:r>
          <w:rPr>
            <w:noProof/>
            <w:webHidden/>
          </w:rPr>
        </w:r>
        <w:r>
          <w:rPr>
            <w:noProof/>
            <w:webHidden/>
          </w:rPr>
          <w:fldChar w:fldCharType="separate"/>
        </w:r>
        <w:r w:rsidR="003B1292">
          <w:rPr>
            <w:noProof/>
            <w:webHidden/>
          </w:rPr>
          <w:t>33</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6" w:history="1">
        <w:r w:rsidRPr="00BC0F66">
          <w:rPr>
            <w:rStyle w:val="Hyperlink"/>
            <w:rFonts w:eastAsiaTheme="majorEastAsia"/>
            <w:noProof/>
          </w:rPr>
          <w:t>Appendix A: API Reference</w:t>
        </w:r>
        <w:r>
          <w:rPr>
            <w:noProof/>
            <w:webHidden/>
          </w:rPr>
          <w:tab/>
        </w:r>
        <w:r>
          <w:rPr>
            <w:noProof/>
            <w:webHidden/>
          </w:rPr>
          <w:fldChar w:fldCharType="begin"/>
        </w:r>
        <w:r>
          <w:rPr>
            <w:noProof/>
            <w:webHidden/>
          </w:rPr>
          <w:instrText xml:space="preserve"> PAGEREF _Toc241845046 \h </w:instrText>
        </w:r>
        <w:r>
          <w:rPr>
            <w:noProof/>
            <w:webHidden/>
          </w:rPr>
        </w:r>
        <w:r>
          <w:rPr>
            <w:noProof/>
            <w:webHidden/>
          </w:rPr>
          <w:fldChar w:fldCharType="separate"/>
        </w:r>
        <w:r w:rsidR="003B1292">
          <w:rPr>
            <w:noProof/>
            <w:webHidden/>
          </w:rPr>
          <w:t>34</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7" w:history="1">
        <w:r w:rsidRPr="00BC0F66">
          <w:rPr>
            <w:rStyle w:val="Hyperlink"/>
            <w:rFonts w:eastAsiaTheme="majorEastAsia"/>
            <w:noProof/>
          </w:rPr>
          <w:t>Appendix B: Installation and Running</w:t>
        </w:r>
        <w:r>
          <w:rPr>
            <w:noProof/>
            <w:webHidden/>
          </w:rPr>
          <w:tab/>
        </w:r>
        <w:r>
          <w:rPr>
            <w:noProof/>
            <w:webHidden/>
          </w:rPr>
          <w:fldChar w:fldCharType="begin"/>
        </w:r>
        <w:r>
          <w:rPr>
            <w:noProof/>
            <w:webHidden/>
          </w:rPr>
          <w:instrText xml:space="preserve"> PAGEREF _Toc241845047 \h </w:instrText>
        </w:r>
        <w:r>
          <w:rPr>
            <w:noProof/>
            <w:webHidden/>
          </w:rPr>
        </w:r>
        <w:r>
          <w:rPr>
            <w:noProof/>
            <w:webHidden/>
          </w:rPr>
          <w:fldChar w:fldCharType="separate"/>
        </w:r>
        <w:r w:rsidR="003B1292">
          <w:rPr>
            <w:noProof/>
            <w:webHidden/>
          </w:rPr>
          <w:t>34</w:t>
        </w:r>
        <w:r>
          <w:rPr>
            <w:noProof/>
            <w:webHidden/>
          </w:rPr>
          <w:fldChar w:fldCharType="end"/>
        </w:r>
      </w:hyperlink>
    </w:p>
    <w:p w:rsidR="00A23DCF" w:rsidRDefault="00A23DCF">
      <w:pPr>
        <w:pStyle w:val="TOC1"/>
        <w:tabs>
          <w:tab w:val="right" w:leader="dot" w:pos="8778"/>
        </w:tabs>
        <w:rPr>
          <w:rFonts w:asciiTheme="minorHAnsi" w:eastAsiaTheme="minorEastAsia" w:hAnsiTheme="minorHAnsi"/>
          <w:noProof/>
          <w:sz w:val="22"/>
          <w:lang w:val="en-IN" w:eastAsia="en-IN"/>
        </w:rPr>
      </w:pPr>
      <w:hyperlink w:anchor="_Toc241845048" w:history="1">
        <w:r w:rsidRPr="00BC0F66">
          <w:rPr>
            <w:rStyle w:val="Hyperlink"/>
            <w:rFonts w:eastAsiaTheme="majorEastAsia"/>
            <w:noProof/>
          </w:rPr>
          <w:t>Appendix C: Application Home Screen</w:t>
        </w:r>
        <w:r>
          <w:rPr>
            <w:noProof/>
            <w:webHidden/>
          </w:rPr>
          <w:tab/>
        </w:r>
        <w:r>
          <w:rPr>
            <w:noProof/>
            <w:webHidden/>
          </w:rPr>
          <w:fldChar w:fldCharType="begin"/>
        </w:r>
        <w:r>
          <w:rPr>
            <w:noProof/>
            <w:webHidden/>
          </w:rPr>
          <w:instrText xml:space="preserve"> PAGEREF _Toc241845048 \h </w:instrText>
        </w:r>
        <w:r>
          <w:rPr>
            <w:noProof/>
            <w:webHidden/>
          </w:rPr>
        </w:r>
        <w:r>
          <w:rPr>
            <w:noProof/>
            <w:webHidden/>
          </w:rPr>
          <w:fldChar w:fldCharType="separate"/>
        </w:r>
        <w:r w:rsidR="003B1292">
          <w:rPr>
            <w:noProof/>
            <w:webHidden/>
          </w:rPr>
          <w:t>35</w:t>
        </w:r>
        <w:r>
          <w:rPr>
            <w:noProof/>
            <w:webHidden/>
          </w:rPr>
          <w:fldChar w:fldCharType="end"/>
        </w:r>
      </w:hyperlink>
    </w:p>
    <w:p w:rsidR="00AE0CC1" w:rsidRDefault="003B1292">
      <w:r>
        <w:fldChar w:fldCharType="end"/>
      </w:r>
    </w:p>
    <w:p w:rsidR="00AE0CC1" w:rsidRDefault="003B1292">
      <w:r>
        <w:br w:type="page"/>
      </w:r>
    </w:p>
    <w:p w:rsidR="00AE0CC1" w:rsidRDefault="003B1292">
      <w:pPr>
        <w:pStyle w:val="Heading1"/>
      </w:pPr>
      <w:bookmarkStart w:id="4" w:name="_Toc241845003"/>
      <w:r>
        <w:lastRenderedPageBreak/>
        <w:t>List of Abbreviations</w:t>
      </w:r>
      <w:bookmarkEnd w:id="4"/>
    </w:p>
    <w:tbl>
      <w:tblPr>
        <w:tblStyle w:val="TableGrid"/>
        <w:tblW w:w="0" w:type="auto"/>
        <w:jc w:val="center"/>
        <w:tblLook w:val="04A0" w:firstRow="1" w:lastRow="0" w:firstColumn="1" w:lastColumn="0" w:noHBand="0" w:noVBand="1"/>
      </w:tblPr>
      <w:tblGrid>
        <w:gridCol w:w="2268"/>
        <w:gridCol w:w="6236"/>
      </w:tblGrid>
      <w:tr w:rsidR="00AE0CC1">
        <w:trPr>
          <w:jc w:val="center"/>
        </w:trPr>
        <w:tc>
          <w:tcPr>
            <w:tcW w:w="2268" w:type="dxa"/>
            <w:shd w:val="clear" w:color="auto" w:fill="13224A"/>
          </w:tcPr>
          <w:p w:rsidR="00AE0CC1" w:rsidRDefault="003B1292">
            <w:pPr>
              <w:spacing w:after="20" w:line="264" w:lineRule="auto"/>
            </w:pPr>
            <w:r>
              <w:rPr>
                <w:b/>
                <w:color w:val="FFFFFF"/>
                <w:sz w:val="20"/>
              </w:rPr>
              <w:t>Abbreviation</w:t>
            </w:r>
          </w:p>
        </w:tc>
        <w:tc>
          <w:tcPr>
            <w:tcW w:w="6236" w:type="dxa"/>
            <w:shd w:val="clear" w:color="auto" w:fill="13224A"/>
          </w:tcPr>
          <w:p w:rsidR="00AE0CC1" w:rsidRDefault="003B1292">
            <w:pPr>
              <w:spacing w:after="20" w:line="264" w:lineRule="auto"/>
            </w:pPr>
            <w:r>
              <w:rPr>
                <w:b/>
                <w:color w:val="FFFFFF"/>
                <w:sz w:val="20"/>
              </w:rPr>
              <w:t>Meaning</w:t>
            </w:r>
          </w:p>
        </w:tc>
      </w:tr>
      <w:tr w:rsidR="00AE0CC1">
        <w:trPr>
          <w:jc w:val="center"/>
        </w:trPr>
        <w:tc>
          <w:tcPr>
            <w:tcW w:w="2268" w:type="dxa"/>
          </w:tcPr>
          <w:p w:rsidR="00AE0CC1" w:rsidRDefault="003B1292">
            <w:pPr>
              <w:spacing w:after="20" w:line="264" w:lineRule="auto"/>
            </w:pPr>
            <w:r>
              <w:rPr>
                <w:sz w:val="20"/>
              </w:rPr>
              <w:t>API</w:t>
            </w:r>
          </w:p>
        </w:tc>
        <w:tc>
          <w:tcPr>
            <w:tcW w:w="6236" w:type="dxa"/>
          </w:tcPr>
          <w:p w:rsidR="00AE0CC1" w:rsidRDefault="003B1292">
            <w:pPr>
              <w:spacing w:after="20" w:line="264" w:lineRule="auto"/>
            </w:pPr>
            <w:r>
              <w:rPr>
                <w:sz w:val="20"/>
              </w:rPr>
              <w:t>Application Programming Interface</w:t>
            </w:r>
          </w:p>
        </w:tc>
      </w:tr>
      <w:tr w:rsidR="00AE0CC1">
        <w:trPr>
          <w:jc w:val="center"/>
        </w:trPr>
        <w:tc>
          <w:tcPr>
            <w:tcW w:w="2268" w:type="dxa"/>
          </w:tcPr>
          <w:p w:rsidR="00AE0CC1" w:rsidRDefault="003B1292">
            <w:pPr>
              <w:spacing w:after="20" w:line="264" w:lineRule="auto"/>
            </w:pPr>
            <w:r>
              <w:rPr>
                <w:sz w:val="20"/>
              </w:rPr>
              <w:t>CAGR</w:t>
            </w:r>
          </w:p>
        </w:tc>
        <w:tc>
          <w:tcPr>
            <w:tcW w:w="6236" w:type="dxa"/>
          </w:tcPr>
          <w:p w:rsidR="00AE0CC1" w:rsidRDefault="003B1292">
            <w:pPr>
              <w:spacing w:after="20" w:line="264" w:lineRule="auto"/>
            </w:pPr>
            <w:r>
              <w:rPr>
                <w:sz w:val="20"/>
              </w:rPr>
              <w:t>Compound Annual Growth Rate</w:t>
            </w:r>
          </w:p>
        </w:tc>
      </w:tr>
      <w:tr w:rsidR="00AE0CC1">
        <w:trPr>
          <w:jc w:val="center"/>
        </w:trPr>
        <w:tc>
          <w:tcPr>
            <w:tcW w:w="2268" w:type="dxa"/>
          </w:tcPr>
          <w:p w:rsidR="00AE0CC1" w:rsidRDefault="003B1292">
            <w:pPr>
              <w:spacing w:after="20" w:line="264" w:lineRule="auto"/>
            </w:pPr>
            <w:r>
              <w:rPr>
                <w:sz w:val="20"/>
              </w:rPr>
              <w:t>EMI</w:t>
            </w:r>
          </w:p>
        </w:tc>
        <w:tc>
          <w:tcPr>
            <w:tcW w:w="6236" w:type="dxa"/>
          </w:tcPr>
          <w:p w:rsidR="00AE0CC1" w:rsidRDefault="003B1292">
            <w:pPr>
              <w:spacing w:after="20" w:line="264" w:lineRule="auto"/>
            </w:pPr>
            <w:r>
              <w:rPr>
                <w:sz w:val="20"/>
              </w:rPr>
              <w:t>Equated Monthly Instalment</w:t>
            </w:r>
          </w:p>
        </w:tc>
      </w:tr>
      <w:tr w:rsidR="00AE0CC1">
        <w:trPr>
          <w:jc w:val="center"/>
        </w:trPr>
        <w:tc>
          <w:tcPr>
            <w:tcW w:w="2268" w:type="dxa"/>
          </w:tcPr>
          <w:p w:rsidR="00AE0CC1" w:rsidRDefault="003B1292">
            <w:pPr>
              <w:spacing w:after="20" w:line="264" w:lineRule="auto"/>
            </w:pPr>
            <w:r>
              <w:rPr>
                <w:sz w:val="20"/>
              </w:rPr>
              <w:t>ETF</w:t>
            </w:r>
          </w:p>
        </w:tc>
        <w:tc>
          <w:tcPr>
            <w:tcW w:w="6236" w:type="dxa"/>
          </w:tcPr>
          <w:p w:rsidR="00AE0CC1" w:rsidRDefault="003B1292">
            <w:pPr>
              <w:spacing w:after="20" w:line="264" w:lineRule="auto"/>
            </w:pPr>
            <w:r>
              <w:rPr>
                <w:sz w:val="20"/>
              </w:rPr>
              <w:t>Exchange-Traded Fund</w:t>
            </w:r>
          </w:p>
        </w:tc>
      </w:tr>
      <w:tr w:rsidR="00AE0CC1">
        <w:trPr>
          <w:jc w:val="center"/>
        </w:trPr>
        <w:tc>
          <w:tcPr>
            <w:tcW w:w="2268" w:type="dxa"/>
          </w:tcPr>
          <w:p w:rsidR="00AE0CC1" w:rsidRDefault="003B1292">
            <w:pPr>
              <w:spacing w:after="20" w:line="264" w:lineRule="auto"/>
            </w:pPr>
            <w:r>
              <w:rPr>
                <w:sz w:val="20"/>
              </w:rPr>
              <w:t>LTCG / STCG</w:t>
            </w:r>
          </w:p>
        </w:tc>
        <w:tc>
          <w:tcPr>
            <w:tcW w:w="6236" w:type="dxa"/>
          </w:tcPr>
          <w:p w:rsidR="00AE0CC1" w:rsidRDefault="003B1292">
            <w:pPr>
              <w:spacing w:after="20" w:line="264" w:lineRule="auto"/>
            </w:pPr>
            <w:r>
              <w:rPr>
                <w:sz w:val="20"/>
              </w:rPr>
              <w:t xml:space="preserve">Long-Term </w:t>
            </w:r>
            <w:r>
              <w:rPr>
                <w:sz w:val="20"/>
              </w:rPr>
              <w:t>/ Short-Term Capital Gains</w:t>
            </w:r>
          </w:p>
        </w:tc>
      </w:tr>
      <w:tr w:rsidR="00AE0CC1">
        <w:trPr>
          <w:jc w:val="center"/>
        </w:trPr>
        <w:tc>
          <w:tcPr>
            <w:tcW w:w="2268" w:type="dxa"/>
          </w:tcPr>
          <w:p w:rsidR="00AE0CC1" w:rsidRDefault="003B1292">
            <w:pPr>
              <w:spacing w:after="20" w:line="264" w:lineRule="auto"/>
            </w:pPr>
            <w:r>
              <w:rPr>
                <w:sz w:val="20"/>
              </w:rPr>
              <w:t>MA7 / MA30</w:t>
            </w:r>
          </w:p>
        </w:tc>
        <w:tc>
          <w:tcPr>
            <w:tcW w:w="6236" w:type="dxa"/>
          </w:tcPr>
          <w:p w:rsidR="00AE0CC1" w:rsidRDefault="003B1292">
            <w:pPr>
              <w:spacing w:after="20" w:line="264" w:lineRule="auto"/>
            </w:pPr>
            <w:r>
              <w:rPr>
                <w:sz w:val="20"/>
              </w:rPr>
              <w:t>7-day / 30-day Moving Average</w:t>
            </w:r>
          </w:p>
        </w:tc>
      </w:tr>
      <w:tr w:rsidR="00AE0CC1">
        <w:trPr>
          <w:jc w:val="center"/>
        </w:trPr>
        <w:tc>
          <w:tcPr>
            <w:tcW w:w="2268" w:type="dxa"/>
          </w:tcPr>
          <w:p w:rsidR="00AE0CC1" w:rsidRDefault="003B1292">
            <w:pPr>
              <w:spacing w:after="20" w:line="264" w:lineRule="auto"/>
            </w:pPr>
            <w:r>
              <w:rPr>
                <w:sz w:val="20"/>
              </w:rPr>
              <w:t>MAE / RMSE</w:t>
            </w:r>
          </w:p>
        </w:tc>
        <w:tc>
          <w:tcPr>
            <w:tcW w:w="6236" w:type="dxa"/>
          </w:tcPr>
          <w:p w:rsidR="00AE0CC1" w:rsidRDefault="003B1292">
            <w:pPr>
              <w:spacing w:after="20" w:line="264" w:lineRule="auto"/>
            </w:pPr>
            <w:r>
              <w:rPr>
                <w:sz w:val="20"/>
              </w:rPr>
              <w:t>Mean Absolute Error / Root Mean Squared Error</w:t>
            </w:r>
          </w:p>
        </w:tc>
      </w:tr>
      <w:tr w:rsidR="00AE0CC1">
        <w:trPr>
          <w:jc w:val="center"/>
        </w:trPr>
        <w:tc>
          <w:tcPr>
            <w:tcW w:w="2268" w:type="dxa"/>
          </w:tcPr>
          <w:p w:rsidR="00AE0CC1" w:rsidRDefault="003B1292">
            <w:pPr>
              <w:spacing w:after="20" w:line="264" w:lineRule="auto"/>
            </w:pPr>
            <w:r>
              <w:rPr>
                <w:sz w:val="20"/>
              </w:rPr>
              <w:t>ML</w:t>
            </w:r>
          </w:p>
        </w:tc>
        <w:tc>
          <w:tcPr>
            <w:tcW w:w="6236" w:type="dxa"/>
          </w:tcPr>
          <w:p w:rsidR="00AE0CC1" w:rsidRDefault="003B1292">
            <w:pPr>
              <w:spacing w:after="20" w:line="264" w:lineRule="auto"/>
            </w:pPr>
            <w:r>
              <w:rPr>
                <w:sz w:val="20"/>
              </w:rPr>
              <w:t>Machine Learning</w:t>
            </w:r>
          </w:p>
        </w:tc>
      </w:tr>
      <w:tr w:rsidR="00AE0CC1">
        <w:trPr>
          <w:jc w:val="center"/>
        </w:trPr>
        <w:tc>
          <w:tcPr>
            <w:tcW w:w="2268" w:type="dxa"/>
          </w:tcPr>
          <w:p w:rsidR="00AE0CC1" w:rsidRDefault="003B1292">
            <w:pPr>
              <w:spacing w:after="20" w:line="264" w:lineRule="auto"/>
            </w:pPr>
            <w:r>
              <w:rPr>
                <w:sz w:val="20"/>
              </w:rPr>
              <w:t>NSE / BSE</w:t>
            </w:r>
          </w:p>
        </w:tc>
        <w:tc>
          <w:tcPr>
            <w:tcW w:w="6236" w:type="dxa"/>
          </w:tcPr>
          <w:p w:rsidR="00AE0CC1" w:rsidRDefault="003B1292">
            <w:pPr>
              <w:spacing w:after="20" w:line="264" w:lineRule="auto"/>
            </w:pPr>
            <w:r>
              <w:rPr>
                <w:sz w:val="20"/>
              </w:rPr>
              <w:t>National Stock Exchange / BSE (Bombay Stock Exchange)</w:t>
            </w:r>
          </w:p>
        </w:tc>
      </w:tr>
      <w:tr w:rsidR="00AE0CC1">
        <w:trPr>
          <w:jc w:val="center"/>
        </w:trPr>
        <w:tc>
          <w:tcPr>
            <w:tcW w:w="2268" w:type="dxa"/>
          </w:tcPr>
          <w:p w:rsidR="00AE0CC1" w:rsidRDefault="003B1292">
            <w:pPr>
              <w:spacing w:after="20" w:line="264" w:lineRule="auto"/>
            </w:pPr>
            <w:r>
              <w:rPr>
                <w:sz w:val="20"/>
              </w:rPr>
              <w:t>OHLCV</w:t>
            </w:r>
          </w:p>
        </w:tc>
        <w:tc>
          <w:tcPr>
            <w:tcW w:w="6236" w:type="dxa"/>
          </w:tcPr>
          <w:p w:rsidR="00AE0CC1" w:rsidRDefault="003B1292">
            <w:pPr>
              <w:spacing w:after="20" w:line="264" w:lineRule="auto"/>
            </w:pPr>
            <w:r>
              <w:rPr>
                <w:sz w:val="20"/>
              </w:rPr>
              <w:t>Open, High, Low, Close, Volume</w:t>
            </w:r>
          </w:p>
        </w:tc>
      </w:tr>
      <w:tr w:rsidR="00AE0CC1">
        <w:trPr>
          <w:jc w:val="center"/>
        </w:trPr>
        <w:tc>
          <w:tcPr>
            <w:tcW w:w="2268" w:type="dxa"/>
          </w:tcPr>
          <w:p w:rsidR="00AE0CC1" w:rsidRDefault="003B1292">
            <w:pPr>
              <w:spacing w:after="20" w:line="264" w:lineRule="auto"/>
            </w:pPr>
            <w:r>
              <w:rPr>
                <w:sz w:val="20"/>
              </w:rPr>
              <w:t>REST</w:t>
            </w:r>
          </w:p>
        </w:tc>
        <w:tc>
          <w:tcPr>
            <w:tcW w:w="6236" w:type="dxa"/>
          </w:tcPr>
          <w:p w:rsidR="00AE0CC1" w:rsidRDefault="003B1292">
            <w:pPr>
              <w:spacing w:after="20" w:line="264" w:lineRule="auto"/>
            </w:pPr>
            <w:r>
              <w:rPr>
                <w:sz w:val="20"/>
              </w:rPr>
              <w:t>Representational State Transfer</w:t>
            </w:r>
          </w:p>
        </w:tc>
      </w:tr>
      <w:tr w:rsidR="00AE0CC1">
        <w:trPr>
          <w:jc w:val="center"/>
        </w:trPr>
        <w:tc>
          <w:tcPr>
            <w:tcW w:w="2268" w:type="dxa"/>
          </w:tcPr>
          <w:p w:rsidR="00AE0CC1" w:rsidRDefault="003B1292">
            <w:pPr>
              <w:spacing w:after="20" w:line="264" w:lineRule="auto"/>
            </w:pPr>
            <w:r>
              <w:rPr>
                <w:sz w:val="20"/>
              </w:rPr>
              <w:t>ROA / ROE</w:t>
            </w:r>
          </w:p>
        </w:tc>
        <w:tc>
          <w:tcPr>
            <w:tcW w:w="6236" w:type="dxa"/>
          </w:tcPr>
          <w:p w:rsidR="00AE0CC1" w:rsidRDefault="003B1292">
            <w:pPr>
              <w:spacing w:after="20" w:line="264" w:lineRule="auto"/>
            </w:pPr>
            <w:r>
              <w:rPr>
                <w:sz w:val="20"/>
              </w:rPr>
              <w:t>Return on Assets / Return on Equity</w:t>
            </w:r>
          </w:p>
        </w:tc>
      </w:tr>
      <w:tr w:rsidR="00AE0CC1">
        <w:trPr>
          <w:jc w:val="center"/>
        </w:trPr>
        <w:tc>
          <w:tcPr>
            <w:tcW w:w="2268" w:type="dxa"/>
          </w:tcPr>
          <w:p w:rsidR="00AE0CC1" w:rsidRDefault="003B1292">
            <w:pPr>
              <w:spacing w:after="20" w:line="264" w:lineRule="auto"/>
            </w:pPr>
            <w:r>
              <w:rPr>
                <w:sz w:val="20"/>
              </w:rPr>
              <w:t>RSI</w:t>
            </w:r>
          </w:p>
        </w:tc>
        <w:tc>
          <w:tcPr>
            <w:tcW w:w="6236" w:type="dxa"/>
          </w:tcPr>
          <w:p w:rsidR="00AE0CC1" w:rsidRDefault="003B1292">
            <w:pPr>
              <w:spacing w:after="20" w:line="264" w:lineRule="auto"/>
            </w:pPr>
            <w:r>
              <w:rPr>
                <w:sz w:val="20"/>
              </w:rPr>
              <w:t>Relative Strength Index</w:t>
            </w:r>
          </w:p>
        </w:tc>
      </w:tr>
      <w:tr w:rsidR="00AE0CC1">
        <w:trPr>
          <w:jc w:val="center"/>
        </w:trPr>
        <w:tc>
          <w:tcPr>
            <w:tcW w:w="2268" w:type="dxa"/>
          </w:tcPr>
          <w:p w:rsidR="00AE0CC1" w:rsidRDefault="003B1292">
            <w:pPr>
              <w:spacing w:after="20" w:line="264" w:lineRule="auto"/>
            </w:pPr>
            <w:r>
              <w:rPr>
                <w:sz w:val="20"/>
              </w:rPr>
              <w:t>RSS</w:t>
            </w:r>
          </w:p>
        </w:tc>
        <w:tc>
          <w:tcPr>
            <w:tcW w:w="6236" w:type="dxa"/>
          </w:tcPr>
          <w:p w:rsidR="00AE0CC1" w:rsidRDefault="003B1292">
            <w:pPr>
              <w:spacing w:after="20" w:line="264" w:lineRule="auto"/>
            </w:pPr>
            <w:r>
              <w:rPr>
                <w:sz w:val="20"/>
              </w:rPr>
              <w:t>Really Simple Syndication (news feed format)</w:t>
            </w:r>
          </w:p>
        </w:tc>
      </w:tr>
      <w:tr w:rsidR="00AE0CC1">
        <w:trPr>
          <w:jc w:val="center"/>
        </w:trPr>
        <w:tc>
          <w:tcPr>
            <w:tcW w:w="2268" w:type="dxa"/>
          </w:tcPr>
          <w:p w:rsidR="00AE0CC1" w:rsidRDefault="003B1292">
            <w:pPr>
              <w:spacing w:after="20" w:line="264" w:lineRule="auto"/>
            </w:pPr>
            <w:r>
              <w:rPr>
                <w:sz w:val="20"/>
              </w:rPr>
              <w:t>SIP</w:t>
            </w:r>
          </w:p>
        </w:tc>
        <w:tc>
          <w:tcPr>
            <w:tcW w:w="6236" w:type="dxa"/>
          </w:tcPr>
          <w:p w:rsidR="00AE0CC1" w:rsidRDefault="003B1292">
            <w:pPr>
              <w:spacing w:after="20" w:line="264" w:lineRule="auto"/>
            </w:pPr>
            <w:r>
              <w:rPr>
                <w:sz w:val="20"/>
              </w:rPr>
              <w:t>Systematic Investment Plan</w:t>
            </w:r>
          </w:p>
        </w:tc>
      </w:tr>
      <w:tr w:rsidR="00AE0CC1">
        <w:trPr>
          <w:jc w:val="center"/>
        </w:trPr>
        <w:tc>
          <w:tcPr>
            <w:tcW w:w="2268" w:type="dxa"/>
          </w:tcPr>
          <w:p w:rsidR="00AE0CC1" w:rsidRDefault="003B1292">
            <w:pPr>
              <w:spacing w:after="20" w:line="264" w:lineRule="auto"/>
            </w:pPr>
            <w:r>
              <w:rPr>
                <w:sz w:val="20"/>
              </w:rPr>
              <w:t>TTL</w:t>
            </w:r>
          </w:p>
        </w:tc>
        <w:tc>
          <w:tcPr>
            <w:tcW w:w="6236" w:type="dxa"/>
          </w:tcPr>
          <w:p w:rsidR="00AE0CC1" w:rsidRDefault="003B1292">
            <w:pPr>
              <w:spacing w:after="20" w:line="264" w:lineRule="auto"/>
            </w:pPr>
            <w:r>
              <w:rPr>
                <w:sz w:val="20"/>
              </w:rPr>
              <w:t>Time To Live (cache expiry)</w:t>
            </w:r>
          </w:p>
        </w:tc>
      </w:tr>
    </w:tbl>
    <w:p w:rsidR="00AE0CC1" w:rsidRDefault="00AE0CC1">
      <w:pPr>
        <w:spacing w:after="40"/>
      </w:pPr>
    </w:p>
    <w:p w:rsidR="00AE0CC1" w:rsidRDefault="003B1292">
      <w:r>
        <w:br w:type="page"/>
      </w:r>
    </w:p>
    <w:p w:rsidR="00AE0CC1" w:rsidRDefault="003B1292">
      <w:pPr>
        <w:pStyle w:val="Heading1"/>
      </w:pPr>
      <w:bookmarkStart w:id="5" w:name="_Toc241845004"/>
      <w:r>
        <w:lastRenderedPageBreak/>
        <w:t>Chapter 1: Introduction</w:t>
      </w:r>
      <w:bookmarkEnd w:id="5"/>
    </w:p>
    <w:p w:rsidR="00AE0CC1" w:rsidRDefault="003B1292">
      <w:pPr>
        <w:pStyle w:val="Heading2"/>
      </w:pPr>
      <w:bookmarkStart w:id="6" w:name="_Toc241845005"/>
      <w:r>
        <w:t xml:space="preserve">1.1 </w:t>
      </w:r>
      <w:r>
        <w:t>Background</w:t>
      </w:r>
      <w:bookmarkEnd w:id="6"/>
    </w:p>
    <w:p w:rsidR="00AE0CC1" w:rsidRDefault="003B1292">
      <w:pPr>
        <w:jc w:val="both"/>
      </w:pPr>
      <w:r>
        <w:t>Financial literacy and access to analysis tools remain uneven. Professional investors and lenders rely on financial ratios, credit-risk bands, discounted-cash-flow style planning and live market data to make decisions, while students, first-time</w:t>
      </w:r>
      <w:r>
        <w:t xml:space="preserve"> investors and small savers often rely on tips, rules of thumb or fragmented websites. Many free tools cover only one task (an EMI calculator, a SIP calculator, a stock quote page) and rarely explain *why* a result came out the way it did.</w:t>
      </w:r>
    </w:p>
    <w:p w:rsidR="00AE0CC1" w:rsidRDefault="003B1292">
      <w:pPr>
        <w:jc w:val="both"/>
      </w:pPr>
      <w:r>
        <w:t>At the same time</w:t>
      </w:r>
      <w:r>
        <w:t>, the cost of building such tools has fallen sharply. Open-source web frameworks, scientific Python libraries and freely accessible market data make it possible for a single developer to build an integrated analytics platform. The “AI in Finance” internshi</w:t>
      </w:r>
      <w:r>
        <w:t>p provided the context to explore this: how far can a carefully engineered, transparent, free application go in giving ordinary users professional-grade financial analysis?</w:t>
      </w:r>
    </w:p>
    <w:p w:rsidR="00AE0CC1" w:rsidRDefault="003B1292">
      <w:pPr>
        <w:pStyle w:val="Heading2"/>
      </w:pPr>
      <w:bookmarkStart w:id="7" w:name="_Toc241845006"/>
      <w:r>
        <w:t>1.2 Problem Statement</w:t>
      </w:r>
      <w:bookmarkEnd w:id="7"/>
    </w:p>
    <w:p w:rsidR="00AE0CC1" w:rsidRDefault="003B1292">
      <w:pPr>
        <w:jc w:val="both"/>
      </w:pPr>
      <w:r>
        <w:t>To design and build an integrated, free, web-based finance pl</w:t>
      </w:r>
      <w:r>
        <w:t xml:space="preserve">atform that (a) performs the core analyses an individual investor or borrower needs, each with a clear explanation of the underlying formula; (b) provides reliable live market data and relevant news for </w:t>
      </w:r>
      <w:r>
        <w:rPr>
          <w:b/>
        </w:rPr>
        <w:t>any</w:t>
      </w:r>
      <w:r>
        <w:t xml:space="preserve"> listed company without requiring paid API keys; a</w:t>
      </w:r>
      <w:r>
        <w:t>nd (c) critically evaluates whether machine-learning models can meaningfully predict short-term stock prices.</w:t>
      </w:r>
    </w:p>
    <w:p w:rsidR="00AE0CC1" w:rsidRDefault="003B1292">
      <w:pPr>
        <w:pStyle w:val="Heading2"/>
      </w:pPr>
      <w:bookmarkStart w:id="8" w:name="_Toc241845007"/>
      <w:r>
        <w:t>1.3 Objectives</w:t>
      </w:r>
      <w:bookmarkEnd w:id="8"/>
    </w:p>
    <w:p w:rsidR="00AE0CC1" w:rsidRDefault="003B1292">
      <w:pPr>
        <w:pStyle w:val="ListBullet"/>
        <w:spacing w:after="40" w:line="312" w:lineRule="auto"/>
      </w:pPr>
      <w:r>
        <w:t>Implement validated calculators for financial ratios, personal finance health, credit and loan risk, investment scoring, goal/retir</w:t>
      </w:r>
      <w:r>
        <w:t>ement planning, emergency funds, growth/target planning and Indian capital-gains tax.</w:t>
      </w:r>
    </w:p>
    <w:p w:rsidR="00AE0CC1" w:rsidRDefault="003B1292">
      <w:pPr>
        <w:pStyle w:val="ListBullet"/>
        <w:spacing w:after="40" w:line="312" w:lineRule="auto"/>
      </w:pPr>
      <w:r>
        <w:t>Expose every calculation through a documented REST API so the logic is reusable and testable independently of the user interface.</w:t>
      </w:r>
    </w:p>
    <w:p w:rsidR="00AE0CC1" w:rsidRDefault="003B1292">
      <w:pPr>
        <w:pStyle w:val="ListBullet"/>
        <w:spacing w:after="40" w:line="312" w:lineRule="auto"/>
      </w:pPr>
      <w:r>
        <w:t xml:space="preserve">Build a live market workspace with </w:t>
      </w:r>
      <w:r>
        <w:t>company search across exchanges, live quotes, daily history with charts, and company-specific news — with no API key or signup.</w:t>
      </w:r>
    </w:p>
    <w:p w:rsidR="00AE0CC1" w:rsidRDefault="003B1292">
      <w:pPr>
        <w:pStyle w:val="ListBullet"/>
        <w:spacing w:after="40" w:line="312" w:lineRule="auto"/>
      </w:pPr>
      <w:r>
        <w:t>Provide a live watchlist with automatic refresh and price alerts.</w:t>
      </w:r>
    </w:p>
    <w:p w:rsidR="00AE0CC1" w:rsidRDefault="003B1292">
      <w:pPr>
        <w:pStyle w:val="ListBullet"/>
        <w:spacing w:after="40" w:line="312" w:lineRule="auto"/>
      </w:pPr>
      <w:r>
        <w:t>Build and evaluate an ML pipeline (feature engineering, Linear</w:t>
      </w:r>
      <w:r>
        <w:t xml:space="preserve"> Regression, Random Forest) for next-day price prediction against an honest naive baseline.</w:t>
      </w:r>
    </w:p>
    <w:p w:rsidR="00AE0CC1" w:rsidRDefault="003B1292">
      <w:pPr>
        <w:pStyle w:val="ListBullet"/>
        <w:spacing w:after="40" w:line="312" w:lineRule="auto"/>
      </w:pPr>
      <w:r>
        <w:lastRenderedPageBreak/>
        <w:t>Test the complete system end-to-end in a real browser and document defects found and fixed.</w:t>
      </w:r>
    </w:p>
    <w:p w:rsidR="00AE0CC1" w:rsidRDefault="003B1292">
      <w:pPr>
        <w:pStyle w:val="Heading2"/>
      </w:pPr>
      <w:bookmarkStart w:id="9" w:name="_Toc241845008"/>
      <w:r>
        <w:t>1.4 Scope</w:t>
      </w:r>
      <w:bookmarkEnd w:id="9"/>
    </w:p>
    <w:p w:rsidR="00AE0CC1" w:rsidRDefault="003B1292">
      <w:pPr>
        <w:jc w:val="both"/>
      </w:pPr>
      <w:r>
        <w:t>The platform targets individual users in India (Indian Rupee f</w:t>
      </w:r>
      <w:r>
        <w:t>ormatting, NSE/BSE-first search, Indian tax rules) while supporting global markets (US, Korea, Japan, Europe) for quotes and news. It is an educational and decision-support tool; it does not execute trades, store personal data, or constitute investment adv</w:t>
      </w:r>
      <w:r>
        <w:t>ice.</w:t>
      </w:r>
    </w:p>
    <w:p w:rsidR="00AE0CC1" w:rsidRDefault="003B1292">
      <w:pPr>
        <w:pStyle w:val="Heading2"/>
      </w:pPr>
      <w:bookmarkStart w:id="10" w:name="_Toc241845009"/>
      <w:r>
        <w:t>1.5 Organisation of the Report</w:t>
      </w:r>
      <w:bookmarkEnd w:id="10"/>
    </w:p>
    <w:p w:rsidR="00AE0CC1" w:rsidRDefault="003B1292">
      <w:pPr>
        <w:jc w:val="both"/>
      </w:pPr>
      <w:r>
        <w:t xml:space="preserve">Chapter 2 reviews the financial and technical concepts used. Chapter 3 presents requirements and system design. Chapter 4 describes the implementation of each module, with emphasis on the live market-data layer. Chapter </w:t>
      </w:r>
      <w:r>
        <w:t>5 reports the machine-learning experiment. Chapter 6 covers testing and the defects resolved. Chapter 7 discusses limitations and future work, and Chapter 8 concludes. Appendices list the API, setup instructions and project files.</w:t>
      </w:r>
    </w:p>
    <w:p w:rsidR="00AE0CC1" w:rsidRDefault="003B1292">
      <w:r>
        <w:br w:type="page"/>
      </w:r>
    </w:p>
    <w:p w:rsidR="00AE0CC1" w:rsidRDefault="003B1292">
      <w:pPr>
        <w:pStyle w:val="Heading1"/>
      </w:pPr>
      <w:bookmarkStart w:id="11" w:name="_Toc241845010"/>
      <w:r>
        <w:lastRenderedPageBreak/>
        <w:t>Chapter 2: Background a</w:t>
      </w:r>
      <w:r>
        <w:t>nd Literature Review</w:t>
      </w:r>
      <w:bookmarkEnd w:id="11"/>
    </w:p>
    <w:p w:rsidR="00AE0CC1" w:rsidRDefault="003B1292">
      <w:pPr>
        <w:pStyle w:val="Heading2"/>
      </w:pPr>
      <w:bookmarkStart w:id="12" w:name="_Toc241845011"/>
      <w:r>
        <w:t>2.1 Financial Ratio Analysis</w:t>
      </w:r>
      <w:bookmarkEnd w:id="12"/>
    </w:p>
    <w:p w:rsidR="00AE0CC1" w:rsidRDefault="003B1292">
      <w:pPr>
        <w:jc w:val="both"/>
      </w:pPr>
      <w:r>
        <w:t>Ratio analysis condenses financial statements into comparable indicators of profitability, efficiency and leverage (Brealey, Myers &amp; Allen, 2020). FinSuite uses the following standard definitions:</w:t>
      </w:r>
    </w:p>
    <w:p w:rsidR="00AE0CC1" w:rsidRDefault="003B1292">
      <w:pPr>
        <w:jc w:val="center"/>
      </w:pPr>
      <w:r>
        <w:rPr>
          <w:rFonts w:ascii="Cambria Math" w:hAnsi="Cambria Math"/>
          <w:i/>
          <w:sz w:val="23"/>
        </w:rPr>
        <w:t>ROE = Net</w:t>
      </w:r>
      <w:r>
        <w:rPr>
          <w:rFonts w:ascii="Cambria Math" w:hAnsi="Cambria Math"/>
          <w:i/>
          <w:sz w:val="23"/>
        </w:rPr>
        <w:t xml:space="preserve"> Income ÷ Shareholders’ Equity × 100</w:t>
      </w:r>
    </w:p>
    <w:p w:rsidR="00AE0CC1" w:rsidRDefault="003B1292">
      <w:pPr>
        <w:jc w:val="center"/>
      </w:pPr>
      <w:r>
        <w:rPr>
          <w:rFonts w:ascii="Cambria Math" w:hAnsi="Cambria Math"/>
          <w:i/>
          <w:sz w:val="23"/>
        </w:rPr>
        <w:t>ROA = Net Income ÷ Total Assets × 100</w:t>
      </w:r>
    </w:p>
    <w:p w:rsidR="00AE0CC1" w:rsidRDefault="003B1292">
      <w:pPr>
        <w:jc w:val="center"/>
      </w:pPr>
      <w:r>
        <w:rPr>
          <w:rFonts w:ascii="Cambria Math" w:hAnsi="Cambria Math"/>
          <w:i/>
          <w:sz w:val="23"/>
        </w:rPr>
        <w:t>Debt Ratio = Total Liabilities ÷ Total Assets</w:t>
      </w:r>
    </w:p>
    <w:p w:rsidR="00AE0CC1" w:rsidRDefault="003B1292">
      <w:pPr>
        <w:jc w:val="center"/>
      </w:pPr>
      <w:r>
        <w:rPr>
          <w:rFonts w:ascii="Cambria Math" w:hAnsi="Cambria Math"/>
          <w:i/>
          <w:sz w:val="23"/>
        </w:rPr>
        <w:t>Profit Margin = Net Income ÷ Revenue × 100</w:t>
      </w:r>
    </w:p>
    <w:p w:rsidR="00AE0CC1" w:rsidRDefault="003B1292">
      <w:pPr>
        <w:jc w:val="center"/>
      </w:pPr>
      <w:r>
        <w:rPr>
          <w:rFonts w:ascii="Cambria Math" w:hAnsi="Cambria Math"/>
          <w:i/>
          <w:sz w:val="23"/>
        </w:rPr>
        <w:t>Revenue Growth = (Revenueₜ − Revenueₜ₋₁) ÷ Revenueₜ₋₁ × 100</w:t>
      </w:r>
    </w:p>
    <w:p w:rsidR="00AE0CC1" w:rsidRDefault="003B1292">
      <w:pPr>
        <w:jc w:val="both"/>
      </w:pPr>
      <w:r>
        <w:t>Commonly used thresholds — ROE a</w:t>
      </w:r>
      <w:r>
        <w:t>bove 15–20%, ROA above 10%, profit margin above 15% — are used as scoring cut-offs in the investment and portfolio modules. These are heuristics; appropriate levels differ by industry.</w:t>
      </w:r>
    </w:p>
    <w:p w:rsidR="00AE0CC1" w:rsidRDefault="003B1292">
      <w:pPr>
        <w:pStyle w:val="Heading2"/>
      </w:pPr>
      <w:bookmarkStart w:id="13" w:name="_Toc241845012"/>
      <w:r>
        <w:t>2.2 Credit Scores and Repayment Capacity</w:t>
      </w:r>
      <w:bookmarkEnd w:id="13"/>
    </w:p>
    <w:p w:rsidR="00AE0CC1" w:rsidRDefault="003B1292">
      <w:pPr>
        <w:jc w:val="both"/>
      </w:pPr>
      <w:r>
        <w:t xml:space="preserve">Indian credit bureaus such as </w:t>
      </w:r>
      <w:r>
        <w:t>TransUnion CIBIL report scores in the range 300–900, with scores of 750 and above generally regarded as favourable by lenders. Lenders also assess repayment capacity through the ratio of EMI obligations to income (often called FOIR); a burden above roughly</w:t>
      </w:r>
      <w:r>
        <w:t xml:space="preserve"> 40–50% of income is widely treated as a risk signal. FinSuite combines both: the credit score sets a base risk band and an EMI/income ratio above 40% raises the risk by one level.</w:t>
      </w:r>
    </w:p>
    <w:p w:rsidR="00AE0CC1" w:rsidRDefault="003B1292">
      <w:pPr>
        <w:pStyle w:val="Heading2"/>
      </w:pPr>
      <w:bookmarkStart w:id="14" w:name="_Toc241845013"/>
      <w:r>
        <w:t>2.3 Time Value of Money and SIP Planning</w:t>
      </w:r>
      <w:bookmarkEnd w:id="14"/>
    </w:p>
    <w:p w:rsidR="00AE0CC1" w:rsidRDefault="003B1292">
      <w:pPr>
        <w:jc w:val="both"/>
      </w:pPr>
      <w:r>
        <w:t>Goal planning requires inflating t</w:t>
      </w:r>
      <w:r>
        <w:t>oday’s target to its future cost and solving for the monthly investment (an annuity-due, since SIP instalments are invested at the start of each month):</w:t>
      </w:r>
    </w:p>
    <w:p w:rsidR="00AE0CC1" w:rsidRDefault="003B1292">
      <w:pPr>
        <w:jc w:val="center"/>
      </w:pPr>
      <w:r>
        <w:rPr>
          <w:rFonts w:ascii="Cambria Math" w:hAnsi="Cambria Math"/>
          <w:i/>
          <w:sz w:val="23"/>
        </w:rPr>
        <w:t>FV_goal = Target × (1 + π)ⁿ</w:t>
      </w:r>
    </w:p>
    <w:p w:rsidR="00AE0CC1" w:rsidRDefault="003B1292">
      <w:pPr>
        <w:jc w:val="center"/>
      </w:pPr>
      <w:r>
        <w:rPr>
          <w:rFonts w:ascii="Cambria Math" w:hAnsi="Cambria Math"/>
          <w:i/>
          <w:sz w:val="23"/>
        </w:rPr>
        <w:t>SIP = (FV_goal − Savings × (1 + r)ⁿ) ÷ { [((1 + i)ᵐ − 1) ÷ i] × (1 + i) }</w:t>
      </w:r>
    </w:p>
    <w:p w:rsidR="00AE0CC1" w:rsidRDefault="003B1292">
      <w:pPr>
        <w:jc w:val="center"/>
      </w:pPr>
      <w:r>
        <w:rPr>
          <w:rFonts w:ascii="Cambria Math" w:hAnsi="Cambria Math"/>
          <w:i/>
          <w:sz w:val="23"/>
        </w:rPr>
        <w:t>w</w:t>
      </w:r>
      <w:r>
        <w:rPr>
          <w:rFonts w:ascii="Cambria Math" w:hAnsi="Cambria Math"/>
          <w:i/>
          <w:sz w:val="23"/>
        </w:rPr>
        <w:t>here  i = r ÷ 12  and  m = 12n</w:t>
      </w:r>
    </w:p>
    <w:p w:rsidR="00AE0CC1" w:rsidRDefault="003B1292">
      <w:pPr>
        <w:jc w:val="both"/>
      </w:pPr>
      <w:r>
        <w:lastRenderedPageBreak/>
        <w:t>where π is annual inflation, r the expected annual return and n the number of years. The emergency-fund module follows the common guideline of holding six months of expenses in liquid savings.</w:t>
      </w:r>
    </w:p>
    <w:p w:rsidR="00AE0CC1" w:rsidRDefault="003B1292">
      <w:pPr>
        <w:pStyle w:val="Heading2"/>
      </w:pPr>
      <w:bookmarkStart w:id="15" w:name="_Toc241845014"/>
      <w:r>
        <w:t>2.4 Capital Gains Taxation on Li</w:t>
      </w:r>
      <w:r>
        <w:t>sted Equity in India</w:t>
      </w:r>
      <w:bookmarkEnd w:id="15"/>
    </w:p>
    <w:p w:rsidR="00AE0CC1" w:rsidRDefault="003B1292">
      <w:pPr>
        <w:jc w:val="both"/>
      </w:pPr>
      <w:r>
        <w:t xml:space="preserve">Following the Union Budget of July 2024, gains on listed equity shares held for twelve months or less are taxed as short-term capital gains at 20% (Section 111A of the Income-tax Act), and gains on holdings beyond twelve months as </w:t>
      </w:r>
      <w:r>
        <w:t>long-term capital gains at 12.5% on the amount exceeding ₹1.25 lakh per financial year (Section 112A). A 4% health and education cess applies on the tax. FinSuite’s tax estimator implements these rules in simplified form (surcharge, grandfathering and set-</w:t>
      </w:r>
      <w:r>
        <w:t>off of losses are excluded).</w:t>
      </w:r>
    </w:p>
    <w:p w:rsidR="00AE0CC1" w:rsidRDefault="003B1292">
      <w:pPr>
        <w:pStyle w:val="Heading2"/>
      </w:pPr>
      <w:bookmarkStart w:id="16" w:name="_Toc241845015"/>
      <w:r>
        <w:t>2.5 Technical Indicators</w:t>
      </w:r>
      <w:bookmarkEnd w:id="16"/>
    </w:p>
    <w:p w:rsidR="00AE0CC1" w:rsidRDefault="003B1292">
      <w:pPr>
        <w:jc w:val="both"/>
      </w:pPr>
      <w:r>
        <w:t xml:space="preserve">Technical analysis summarises price behaviour into indicators. The project uses simple moving averages over 7 and 30 trading days, the daily return (Pₜ − Pₜ₋₁)/Pₜ₋₁, 21-day rolling volatility (standard </w:t>
      </w:r>
      <w:r>
        <w:t>deviation of daily returns), and Wilder’s Relative Strength Index (Wilder, 1978):</w:t>
      </w:r>
    </w:p>
    <w:p w:rsidR="00AE0CC1" w:rsidRDefault="003B1292">
      <w:pPr>
        <w:jc w:val="center"/>
      </w:pPr>
      <w:r>
        <w:rPr>
          <w:rFonts w:ascii="Cambria Math" w:hAnsi="Cambria Math"/>
          <w:i/>
          <w:sz w:val="23"/>
        </w:rPr>
        <w:t>RSI = 100 − 100 ÷ (1 + RS),    RS = average gain ÷ average loss over 14 days</w:t>
      </w:r>
    </w:p>
    <w:p w:rsidR="00AE0CC1" w:rsidRDefault="003B1292">
      <w:pPr>
        <w:jc w:val="both"/>
      </w:pPr>
      <w:r>
        <w:t>RSI above 70 is conventionally read as “overbought” and below 30 as “oversold”.</w:t>
      </w:r>
    </w:p>
    <w:p w:rsidR="00AE0CC1" w:rsidRDefault="003B1292">
      <w:pPr>
        <w:pStyle w:val="Heading2"/>
      </w:pPr>
      <w:bookmarkStart w:id="17" w:name="_Toc241845016"/>
      <w:r>
        <w:t>2.6 Machine Learn</w:t>
      </w:r>
      <w:r>
        <w:t>ing for Price Prediction</w:t>
      </w:r>
      <w:bookmarkEnd w:id="17"/>
    </w:p>
    <w:p w:rsidR="00AE0CC1" w:rsidRDefault="003B1292">
      <w:pPr>
        <w:jc w:val="both"/>
      </w:pPr>
      <w:r>
        <w:t>A large body of work applies regression, tree ensembles and neural networks to stock-price forecasting. Random Forests (Breiman, 2001) average many decorrelated decision trees and are robust to noisy features, while linear regressi</w:t>
      </w:r>
      <w:r>
        <w:t>on offers interpretability. However, the efficient market hypothesis (Fama, 1970) holds that, in its weak form, past prices are already reflected in the current price, so models built only on price history should not systematically beat a random-walk forec</w:t>
      </w:r>
      <w:r>
        <w:t>ast. A frequent pitfall in student and practitioner studies is reporting low error values without comparing them to the trivial “tomorrow equals today” forecast; this project explicitly includes that baseline (Chapter 5).</w:t>
      </w:r>
    </w:p>
    <w:p w:rsidR="00AE0CC1" w:rsidRDefault="003B1292">
      <w:pPr>
        <w:pStyle w:val="Heading2"/>
      </w:pPr>
      <w:bookmarkStart w:id="18" w:name="_Toc241845017"/>
      <w:r>
        <w:lastRenderedPageBreak/>
        <w:t>2.7 Sources of Market Data</w:t>
      </w:r>
      <w:bookmarkEnd w:id="18"/>
    </w:p>
    <w:p w:rsidR="00AE0CC1" w:rsidRDefault="003B1292">
      <w:pPr>
        <w:jc w:val="both"/>
      </w:pPr>
      <w:r>
        <w:t>The ori</w:t>
      </w:r>
      <w:r>
        <w:t>ginal version of the application used Alpha Vantage, whose free tier requires an API key and allows only 25 requests per day — insufficient for a watchlist that refreshes every 30 seconds. Table 2.1 compares the options.</w:t>
      </w:r>
    </w:p>
    <w:p w:rsidR="00AE0CC1" w:rsidRDefault="003B1292">
      <w:pPr>
        <w:pStyle w:val="Caption"/>
        <w:keepNext/>
        <w:jc w:val="center"/>
      </w:pPr>
      <w:r>
        <w:t>Table 2.1: Comparison of market-dat</w:t>
      </w:r>
      <w:r>
        <w:t>a and news sources</w:t>
      </w:r>
    </w:p>
    <w:tbl>
      <w:tblPr>
        <w:tblStyle w:val="TableGrid"/>
        <w:tblW w:w="0" w:type="auto"/>
        <w:jc w:val="center"/>
        <w:tblLook w:val="04A0" w:firstRow="1" w:lastRow="0" w:firstColumn="1" w:lastColumn="0" w:noHBand="0" w:noVBand="1"/>
      </w:tblPr>
      <w:tblGrid>
        <w:gridCol w:w="2154"/>
        <w:gridCol w:w="1247"/>
        <w:gridCol w:w="2608"/>
        <w:gridCol w:w="2835"/>
      </w:tblGrid>
      <w:tr w:rsidR="00AE0CC1">
        <w:trPr>
          <w:jc w:val="center"/>
        </w:trPr>
        <w:tc>
          <w:tcPr>
            <w:tcW w:w="2154" w:type="dxa"/>
            <w:shd w:val="clear" w:color="auto" w:fill="13224A"/>
          </w:tcPr>
          <w:p w:rsidR="00AE0CC1" w:rsidRDefault="003B1292">
            <w:pPr>
              <w:spacing w:after="20" w:line="264" w:lineRule="auto"/>
            </w:pPr>
            <w:r>
              <w:rPr>
                <w:b/>
                <w:color w:val="FFFFFF"/>
                <w:sz w:val="20"/>
              </w:rPr>
              <w:t>Source</w:t>
            </w:r>
          </w:p>
        </w:tc>
        <w:tc>
          <w:tcPr>
            <w:tcW w:w="1247" w:type="dxa"/>
            <w:shd w:val="clear" w:color="auto" w:fill="13224A"/>
          </w:tcPr>
          <w:p w:rsidR="00AE0CC1" w:rsidRDefault="003B1292">
            <w:pPr>
              <w:spacing w:after="20" w:line="264" w:lineRule="auto"/>
            </w:pPr>
            <w:r>
              <w:rPr>
                <w:b/>
                <w:color w:val="FFFFFF"/>
                <w:sz w:val="20"/>
              </w:rPr>
              <w:t>Key needed</w:t>
            </w:r>
          </w:p>
        </w:tc>
        <w:tc>
          <w:tcPr>
            <w:tcW w:w="2608" w:type="dxa"/>
            <w:shd w:val="clear" w:color="auto" w:fill="13224A"/>
          </w:tcPr>
          <w:p w:rsidR="00AE0CC1" w:rsidRDefault="003B1292">
            <w:pPr>
              <w:spacing w:after="20" w:line="264" w:lineRule="auto"/>
            </w:pPr>
            <w:r>
              <w:rPr>
                <w:b/>
                <w:color w:val="FFFFFF"/>
                <w:sz w:val="20"/>
              </w:rPr>
              <w:t>Coverage</w:t>
            </w:r>
          </w:p>
        </w:tc>
        <w:tc>
          <w:tcPr>
            <w:tcW w:w="2835" w:type="dxa"/>
            <w:shd w:val="clear" w:color="auto" w:fill="13224A"/>
          </w:tcPr>
          <w:p w:rsidR="00AE0CC1" w:rsidRDefault="003B1292">
            <w:pPr>
              <w:spacing w:after="20" w:line="264" w:lineRule="auto"/>
            </w:pPr>
            <w:r>
              <w:rPr>
                <w:b/>
                <w:color w:val="FFFFFF"/>
                <w:sz w:val="20"/>
              </w:rPr>
              <w:t>Limits / caveats</w:t>
            </w:r>
          </w:p>
        </w:tc>
      </w:tr>
      <w:tr w:rsidR="00AE0CC1">
        <w:trPr>
          <w:jc w:val="center"/>
        </w:trPr>
        <w:tc>
          <w:tcPr>
            <w:tcW w:w="2154" w:type="dxa"/>
          </w:tcPr>
          <w:p w:rsidR="00AE0CC1" w:rsidRDefault="003B1292">
            <w:pPr>
              <w:spacing w:after="20" w:line="264" w:lineRule="auto"/>
            </w:pPr>
            <w:r>
              <w:rPr>
                <w:sz w:val="20"/>
              </w:rPr>
              <w:t>Alpha Vantage (free)</w:t>
            </w:r>
          </w:p>
        </w:tc>
        <w:tc>
          <w:tcPr>
            <w:tcW w:w="1247" w:type="dxa"/>
          </w:tcPr>
          <w:p w:rsidR="00AE0CC1" w:rsidRDefault="003B1292">
            <w:pPr>
              <w:spacing w:after="20" w:line="264" w:lineRule="auto"/>
            </w:pPr>
            <w:r>
              <w:rPr>
                <w:sz w:val="20"/>
              </w:rPr>
              <w:t>Yes</w:t>
            </w:r>
          </w:p>
        </w:tc>
        <w:tc>
          <w:tcPr>
            <w:tcW w:w="2608" w:type="dxa"/>
          </w:tcPr>
          <w:p w:rsidR="00AE0CC1" w:rsidRDefault="003B1292">
            <w:pPr>
              <w:spacing w:after="20" w:line="264" w:lineRule="auto"/>
            </w:pPr>
            <w:r>
              <w:rPr>
                <w:sz w:val="20"/>
              </w:rPr>
              <w:t>Global equities</w:t>
            </w:r>
          </w:p>
        </w:tc>
        <w:tc>
          <w:tcPr>
            <w:tcW w:w="2835" w:type="dxa"/>
          </w:tcPr>
          <w:p w:rsidR="00AE0CC1" w:rsidRDefault="003B1292">
            <w:pPr>
              <w:spacing w:after="20" w:line="264" w:lineRule="auto"/>
            </w:pPr>
            <w:r>
              <w:rPr>
                <w:sz w:val="20"/>
              </w:rPr>
              <w:t>25 requests/day; limited Indian coverage</w:t>
            </w:r>
          </w:p>
        </w:tc>
      </w:tr>
      <w:tr w:rsidR="00AE0CC1">
        <w:trPr>
          <w:jc w:val="center"/>
        </w:trPr>
        <w:tc>
          <w:tcPr>
            <w:tcW w:w="2154" w:type="dxa"/>
          </w:tcPr>
          <w:p w:rsidR="00AE0CC1" w:rsidRDefault="003B1292">
            <w:pPr>
              <w:spacing w:after="20" w:line="264" w:lineRule="auto"/>
            </w:pPr>
            <w:r>
              <w:rPr>
                <w:sz w:val="20"/>
              </w:rPr>
              <w:t>Yahoo Finance via yfinance</w:t>
            </w:r>
          </w:p>
        </w:tc>
        <w:tc>
          <w:tcPr>
            <w:tcW w:w="1247" w:type="dxa"/>
          </w:tcPr>
          <w:p w:rsidR="00AE0CC1" w:rsidRDefault="003B1292">
            <w:pPr>
              <w:spacing w:after="20" w:line="264" w:lineRule="auto"/>
            </w:pPr>
            <w:r>
              <w:rPr>
                <w:sz w:val="20"/>
              </w:rPr>
              <w:t>No</w:t>
            </w:r>
          </w:p>
        </w:tc>
        <w:tc>
          <w:tcPr>
            <w:tcW w:w="2608" w:type="dxa"/>
          </w:tcPr>
          <w:p w:rsidR="00AE0CC1" w:rsidRDefault="003B1292">
            <w:pPr>
              <w:spacing w:after="20" w:line="264" w:lineRule="auto"/>
            </w:pPr>
            <w:r>
              <w:rPr>
                <w:sz w:val="20"/>
              </w:rPr>
              <w:t>Global equities, ETFs, indices, search</w:t>
            </w:r>
          </w:p>
        </w:tc>
        <w:tc>
          <w:tcPr>
            <w:tcW w:w="2835" w:type="dxa"/>
          </w:tcPr>
          <w:p w:rsidR="00AE0CC1" w:rsidRDefault="003B1292">
            <w:pPr>
              <w:spacing w:after="20" w:line="264" w:lineRule="auto"/>
            </w:pPr>
            <w:r>
              <w:rPr>
                <w:sz w:val="20"/>
              </w:rPr>
              <w:t>Unofficial; throttles bursts — mitigated</w:t>
            </w:r>
            <w:r>
              <w:rPr>
                <w:sz w:val="20"/>
              </w:rPr>
              <w:t xml:space="preserve"> by caching</w:t>
            </w:r>
          </w:p>
        </w:tc>
      </w:tr>
      <w:tr w:rsidR="00AE0CC1">
        <w:trPr>
          <w:jc w:val="center"/>
        </w:trPr>
        <w:tc>
          <w:tcPr>
            <w:tcW w:w="2154" w:type="dxa"/>
          </w:tcPr>
          <w:p w:rsidR="00AE0CC1" w:rsidRDefault="003B1292">
            <w:pPr>
              <w:spacing w:after="20" w:line="264" w:lineRule="auto"/>
            </w:pPr>
            <w:r>
              <w:rPr>
                <w:sz w:val="20"/>
              </w:rPr>
              <w:t>Google News RSS</w:t>
            </w:r>
          </w:p>
        </w:tc>
        <w:tc>
          <w:tcPr>
            <w:tcW w:w="1247" w:type="dxa"/>
          </w:tcPr>
          <w:p w:rsidR="00AE0CC1" w:rsidRDefault="003B1292">
            <w:pPr>
              <w:spacing w:after="20" w:line="264" w:lineRule="auto"/>
            </w:pPr>
            <w:r>
              <w:rPr>
                <w:sz w:val="20"/>
              </w:rPr>
              <w:t>No</w:t>
            </w:r>
          </w:p>
        </w:tc>
        <w:tc>
          <w:tcPr>
            <w:tcW w:w="2608" w:type="dxa"/>
          </w:tcPr>
          <w:p w:rsidR="00AE0CC1" w:rsidRDefault="003B1292">
            <w:pPr>
              <w:spacing w:after="20" w:line="264" w:lineRule="auto"/>
            </w:pPr>
            <w:r>
              <w:rPr>
                <w:sz w:val="20"/>
              </w:rPr>
              <w:t>Worldwide news, 7-day window filter</w:t>
            </w:r>
          </w:p>
        </w:tc>
        <w:tc>
          <w:tcPr>
            <w:tcW w:w="2835" w:type="dxa"/>
          </w:tcPr>
          <w:p w:rsidR="00AE0CC1" w:rsidRDefault="003B1292">
            <w:pPr>
              <w:spacing w:after="20" w:line="264" w:lineRule="auto"/>
            </w:pPr>
            <w:r>
              <w:rPr>
                <w:sz w:val="20"/>
              </w:rPr>
              <w:t>Full-text matches need relevance filtering</w:t>
            </w:r>
          </w:p>
        </w:tc>
      </w:tr>
    </w:tbl>
    <w:p w:rsidR="00AE0CC1" w:rsidRDefault="00AE0CC1">
      <w:pPr>
        <w:spacing w:after="40"/>
      </w:pPr>
    </w:p>
    <w:p w:rsidR="00AE0CC1" w:rsidRDefault="003B1292">
      <w:r>
        <w:br w:type="page"/>
      </w:r>
    </w:p>
    <w:p w:rsidR="00AE0CC1" w:rsidRDefault="003B1292">
      <w:pPr>
        <w:pStyle w:val="Heading1"/>
      </w:pPr>
      <w:bookmarkStart w:id="19" w:name="_Toc241845018"/>
      <w:r>
        <w:lastRenderedPageBreak/>
        <w:t>Chapter 3: System Requirements and Design</w:t>
      </w:r>
      <w:bookmarkEnd w:id="19"/>
    </w:p>
    <w:p w:rsidR="00AE0CC1" w:rsidRDefault="003B1292">
      <w:pPr>
        <w:pStyle w:val="Heading2"/>
      </w:pPr>
      <w:bookmarkStart w:id="20" w:name="_Toc241845019"/>
      <w:r>
        <w:t>3.1 Functional Requirements</w:t>
      </w:r>
      <w:bookmarkEnd w:id="20"/>
    </w:p>
    <w:p w:rsidR="00AE0CC1" w:rsidRDefault="003B1292">
      <w:pPr>
        <w:pStyle w:val="ListBullet"/>
        <w:spacing w:after="40" w:line="312" w:lineRule="auto"/>
      </w:pPr>
      <w:r>
        <w:t>FR1 — Compute financial ratios, health scores and personal-finance repo</w:t>
      </w:r>
      <w:r>
        <w:t>rts with explanatory tips.</w:t>
      </w:r>
    </w:p>
    <w:p w:rsidR="00AE0CC1" w:rsidRDefault="003B1292">
      <w:pPr>
        <w:pStyle w:val="ListBullet"/>
        <w:spacing w:after="40" w:line="312" w:lineRule="auto"/>
      </w:pPr>
      <w:r>
        <w:t>FR2 — Screen loan applicants and customers by credit score and EMI burden.</w:t>
      </w:r>
    </w:p>
    <w:p w:rsidR="00AE0CC1" w:rsidRDefault="003B1292">
      <w:pPr>
        <w:pStyle w:val="ListBullet"/>
        <w:spacing w:after="40" w:line="312" w:lineRule="auto"/>
      </w:pPr>
      <w:r>
        <w:t>FR3 — Score single companies and portfolios of companies as BUY / HOLD / AVOID (SELL).</w:t>
      </w:r>
    </w:p>
    <w:p w:rsidR="00AE0CC1" w:rsidRDefault="003B1292">
      <w:pPr>
        <w:pStyle w:val="ListBullet"/>
        <w:spacing w:after="40" w:line="312" w:lineRule="auto"/>
      </w:pPr>
      <w:r>
        <w:t>FR4 — Plan goals (SIP required, year-wise projection) and assess em</w:t>
      </w:r>
      <w:r>
        <w:t>ergency-fund adequacy.</w:t>
      </w:r>
    </w:p>
    <w:p w:rsidR="00AE0CC1" w:rsidRDefault="003B1292">
      <w:pPr>
        <w:pStyle w:val="ListBullet"/>
        <w:spacing w:after="40" w:line="312" w:lineRule="auto"/>
      </w:pPr>
      <w:r>
        <w:t>FR5 — Search any listed company by name or ticker and show its live quote, daily OHLCV history, chart and news.</w:t>
      </w:r>
    </w:p>
    <w:p w:rsidR="00AE0CC1" w:rsidRDefault="003B1292">
      <w:pPr>
        <w:pStyle w:val="ListBullet"/>
        <w:spacing w:after="40" w:line="312" w:lineRule="auto"/>
      </w:pPr>
      <w:r>
        <w:t>FR6 — Maintain a watchlist with automatic refresh and price alerts.</w:t>
      </w:r>
    </w:p>
    <w:p w:rsidR="00AE0CC1" w:rsidRDefault="003B1292">
      <w:pPr>
        <w:pStyle w:val="ListBullet"/>
        <w:spacing w:after="40" w:line="312" w:lineRule="auto"/>
      </w:pPr>
      <w:r>
        <w:t xml:space="preserve">FR7 — Estimate capital-gains tax, compare SIP vs </w:t>
      </w:r>
      <w:r>
        <w:t>lump-sum, analyse 52-week range and target/stop-loss plans.</w:t>
      </w:r>
    </w:p>
    <w:p w:rsidR="00AE0CC1" w:rsidRDefault="003B1292">
      <w:pPr>
        <w:pStyle w:val="ListBullet"/>
        <w:spacing w:after="40" w:line="312" w:lineRule="auto"/>
      </w:pPr>
      <w:r>
        <w:t>FR8 — Provide a glossary/assistant explaining finance terms.</w:t>
      </w:r>
    </w:p>
    <w:p w:rsidR="00AE0CC1" w:rsidRDefault="003B1292">
      <w:pPr>
        <w:pStyle w:val="Heading2"/>
      </w:pPr>
      <w:bookmarkStart w:id="21" w:name="_Toc241845020"/>
      <w:r>
        <w:t>3.2 Non-Functional Requirements</w:t>
      </w:r>
      <w:bookmarkEnd w:id="21"/>
    </w:p>
    <w:p w:rsidR="00AE0CC1" w:rsidRDefault="003B1292">
      <w:pPr>
        <w:pStyle w:val="ListBullet"/>
        <w:spacing w:after="40" w:line="312" w:lineRule="auto"/>
      </w:pPr>
      <w:r>
        <w:rPr>
          <w:b/>
        </w:rPr>
        <w:t>No paid keys or signup</w:t>
      </w:r>
      <w:r>
        <w:t xml:space="preserve"> — every data source must be free and keyless.</w:t>
      </w:r>
    </w:p>
    <w:p w:rsidR="00AE0CC1" w:rsidRDefault="003B1292">
      <w:pPr>
        <w:pStyle w:val="ListBullet"/>
        <w:spacing w:after="40" w:line="312" w:lineRule="auto"/>
      </w:pPr>
      <w:r>
        <w:rPr>
          <w:b/>
        </w:rPr>
        <w:t>Responsiveness</w:t>
      </w:r>
      <w:r>
        <w:t xml:space="preserve"> — cached responses </w:t>
      </w:r>
      <w:r>
        <w:t>in under a second; live fetches typically 1–3 seconds.</w:t>
      </w:r>
    </w:p>
    <w:p w:rsidR="00AE0CC1" w:rsidRDefault="003B1292">
      <w:pPr>
        <w:pStyle w:val="ListBullet"/>
        <w:spacing w:after="40" w:line="312" w:lineRule="auto"/>
      </w:pPr>
      <w:r>
        <w:rPr>
          <w:b/>
        </w:rPr>
        <w:t>Robustness</w:t>
      </w:r>
      <w:r>
        <w:t xml:space="preserve"> — clear error messages for unknown symbols, upstream outages and invalid input; graceful handling of market holidays.</w:t>
      </w:r>
    </w:p>
    <w:p w:rsidR="00AE0CC1" w:rsidRDefault="003B1292">
      <w:pPr>
        <w:pStyle w:val="ListBullet"/>
        <w:spacing w:after="40" w:line="312" w:lineRule="auto"/>
      </w:pPr>
      <w:r>
        <w:rPr>
          <w:b/>
        </w:rPr>
        <w:t>Transparency</w:t>
      </w:r>
      <w:r>
        <w:t xml:space="preserve"> — every tool shows or documents its formula; the API is sel</w:t>
      </w:r>
      <w:r>
        <w:t>f-documented (OpenAPI/Swagger).</w:t>
      </w:r>
    </w:p>
    <w:p w:rsidR="00AE0CC1" w:rsidRDefault="003B1292">
      <w:pPr>
        <w:pStyle w:val="ListBullet"/>
        <w:spacing w:after="40" w:line="312" w:lineRule="auto"/>
      </w:pPr>
      <w:r>
        <w:rPr>
          <w:b/>
        </w:rPr>
        <w:t>Portability</w:t>
      </w:r>
      <w:r>
        <w:t xml:space="preserve"> — runs on any machine with Python 3.11+; no database or build step.</w:t>
      </w:r>
    </w:p>
    <w:p w:rsidR="00AE0CC1" w:rsidRDefault="003B1292">
      <w:pPr>
        <w:pStyle w:val="Heading2"/>
      </w:pPr>
      <w:bookmarkStart w:id="22" w:name="_Toc241845021"/>
      <w:r>
        <w:t>3.3 System Architecture</w:t>
      </w:r>
      <w:bookmarkEnd w:id="22"/>
    </w:p>
    <w:p w:rsidR="00AE0CC1" w:rsidRDefault="003B1292">
      <w:pPr>
        <w:jc w:val="both"/>
      </w:pPr>
      <w:r>
        <w:t>FinSuite follows a classic client–server architecture (Figure 3.1). The browser loads a single HTML page whose JavaScrip</w:t>
      </w:r>
      <w:r>
        <w:t>t calls the FastAPI server over JSON/HTTP. The server holds all business logic: pure calculator functions, the market-data layer (which in turn calls Yahoo Finance and Google News over HTTPS) and a glossary. The ML pipeline lives in a separate service pack</w:t>
      </w:r>
      <w:r>
        <w:t>age and is currently used for offline experiments.</w:t>
      </w:r>
    </w:p>
    <w:p w:rsidR="00AE0CC1" w:rsidRDefault="003B1292">
      <w:pPr>
        <w:keepNext/>
        <w:spacing w:after="40"/>
        <w:jc w:val="center"/>
      </w:pPr>
      <w:r>
        <w:rPr>
          <w:noProof/>
          <w:lang w:val="en-IN" w:eastAsia="en-IN"/>
        </w:rPr>
        <w:lastRenderedPageBreak/>
        <w:drawing>
          <wp:inline distT="0" distB="0" distL="0" distR="0">
            <wp:extent cx="5580000" cy="345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580000" cy="3459600"/>
                    </a:xfrm>
                    <a:prstGeom prst="rect">
                      <a:avLst/>
                    </a:prstGeom>
                  </pic:spPr>
                </pic:pic>
              </a:graphicData>
            </a:graphic>
          </wp:inline>
        </w:drawing>
      </w:r>
    </w:p>
    <w:p w:rsidR="00AE0CC1" w:rsidRDefault="003B1292">
      <w:pPr>
        <w:pStyle w:val="Caption"/>
        <w:jc w:val="center"/>
      </w:pPr>
      <w:r>
        <w:t>Figure 3.1: High-level architecture of FinSuite</w:t>
      </w:r>
    </w:p>
    <w:p w:rsidR="00AE0CC1" w:rsidRDefault="003B1292">
      <w:pPr>
        <w:pStyle w:val="Heading2"/>
      </w:pPr>
      <w:bookmarkStart w:id="23" w:name="_Toc241845022"/>
      <w:r>
        <w:t>3.4 Technology Stack</w:t>
      </w:r>
      <w:bookmarkEnd w:id="23"/>
    </w:p>
    <w:p w:rsidR="00AE0CC1" w:rsidRDefault="003B1292">
      <w:pPr>
        <w:pStyle w:val="Caption"/>
        <w:keepNext/>
        <w:jc w:val="center"/>
      </w:pPr>
      <w:r>
        <w:t>Table 3.1: Technology stack</w:t>
      </w:r>
    </w:p>
    <w:tbl>
      <w:tblPr>
        <w:tblStyle w:val="TableGrid"/>
        <w:tblW w:w="0" w:type="auto"/>
        <w:jc w:val="center"/>
        <w:tblLook w:val="04A0" w:firstRow="1" w:lastRow="0" w:firstColumn="1" w:lastColumn="0" w:noHBand="0" w:noVBand="1"/>
      </w:tblPr>
      <w:tblGrid>
        <w:gridCol w:w="1984"/>
        <w:gridCol w:w="3118"/>
        <w:gridCol w:w="3685"/>
      </w:tblGrid>
      <w:tr w:rsidR="00AE0CC1">
        <w:trPr>
          <w:jc w:val="center"/>
        </w:trPr>
        <w:tc>
          <w:tcPr>
            <w:tcW w:w="1984" w:type="dxa"/>
            <w:shd w:val="clear" w:color="auto" w:fill="13224A"/>
          </w:tcPr>
          <w:p w:rsidR="00AE0CC1" w:rsidRDefault="003B1292">
            <w:pPr>
              <w:spacing w:after="20" w:line="264" w:lineRule="auto"/>
            </w:pPr>
            <w:r>
              <w:rPr>
                <w:b/>
                <w:color w:val="FFFFFF"/>
                <w:sz w:val="20"/>
              </w:rPr>
              <w:t>Layer</w:t>
            </w:r>
          </w:p>
        </w:tc>
        <w:tc>
          <w:tcPr>
            <w:tcW w:w="3118" w:type="dxa"/>
            <w:shd w:val="clear" w:color="auto" w:fill="13224A"/>
          </w:tcPr>
          <w:p w:rsidR="00AE0CC1" w:rsidRDefault="003B1292">
            <w:pPr>
              <w:spacing w:after="20" w:line="264" w:lineRule="auto"/>
            </w:pPr>
            <w:r>
              <w:rPr>
                <w:b/>
                <w:color w:val="FFFFFF"/>
                <w:sz w:val="20"/>
              </w:rPr>
              <w:t>Technology</w:t>
            </w:r>
          </w:p>
        </w:tc>
        <w:tc>
          <w:tcPr>
            <w:tcW w:w="3685" w:type="dxa"/>
            <w:shd w:val="clear" w:color="auto" w:fill="13224A"/>
          </w:tcPr>
          <w:p w:rsidR="00AE0CC1" w:rsidRDefault="003B1292">
            <w:pPr>
              <w:spacing w:after="20" w:line="264" w:lineRule="auto"/>
            </w:pPr>
            <w:r>
              <w:rPr>
                <w:b/>
                <w:color w:val="FFFFFF"/>
                <w:sz w:val="20"/>
              </w:rPr>
              <w:t>Purpose</w:t>
            </w:r>
          </w:p>
        </w:tc>
      </w:tr>
      <w:tr w:rsidR="00AE0CC1">
        <w:trPr>
          <w:jc w:val="center"/>
        </w:trPr>
        <w:tc>
          <w:tcPr>
            <w:tcW w:w="1984" w:type="dxa"/>
          </w:tcPr>
          <w:p w:rsidR="00AE0CC1" w:rsidRDefault="003B1292">
            <w:pPr>
              <w:spacing w:after="20" w:line="264" w:lineRule="auto"/>
            </w:pPr>
            <w:r>
              <w:rPr>
                <w:sz w:val="20"/>
              </w:rPr>
              <w:t>Backend framework</w:t>
            </w:r>
          </w:p>
        </w:tc>
        <w:tc>
          <w:tcPr>
            <w:tcW w:w="3118" w:type="dxa"/>
          </w:tcPr>
          <w:p w:rsidR="00AE0CC1" w:rsidRDefault="003B1292">
            <w:pPr>
              <w:spacing w:after="20" w:line="264" w:lineRule="auto"/>
            </w:pPr>
            <w:r>
              <w:rPr>
                <w:sz w:val="20"/>
              </w:rPr>
              <w:t>FastAPI 0.14x on Uvicorn (Python 3.13)</w:t>
            </w:r>
          </w:p>
        </w:tc>
        <w:tc>
          <w:tcPr>
            <w:tcW w:w="3685" w:type="dxa"/>
          </w:tcPr>
          <w:p w:rsidR="00AE0CC1" w:rsidRDefault="003B1292">
            <w:pPr>
              <w:spacing w:after="20" w:line="264" w:lineRule="auto"/>
            </w:pPr>
            <w:r>
              <w:rPr>
                <w:sz w:val="20"/>
              </w:rPr>
              <w:t xml:space="preserve">REST API, validation, </w:t>
            </w:r>
            <w:r>
              <w:rPr>
                <w:sz w:val="20"/>
              </w:rPr>
              <w:t>OpenAPI docs, static files</w:t>
            </w:r>
          </w:p>
        </w:tc>
      </w:tr>
      <w:tr w:rsidR="00AE0CC1">
        <w:trPr>
          <w:jc w:val="center"/>
        </w:trPr>
        <w:tc>
          <w:tcPr>
            <w:tcW w:w="1984" w:type="dxa"/>
          </w:tcPr>
          <w:p w:rsidR="00AE0CC1" w:rsidRDefault="003B1292">
            <w:pPr>
              <w:spacing w:after="20" w:line="264" w:lineRule="auto"/>
            </w:pPr>
            <w:r>
              <w:rPr>
                <w:sz w:val="20"/>
              </w:rPr>
              <w:t>Validation</w:t>
            </w:r>
          </w:p>
        </w:tc>
        <w:tc>
          <w:tcPr>
            <w:tcW w:w="3118" w:type="dxa"/>
          </w:tcPr>
          <w:p w:rsidR="00AE0CC1" w:rsidRDefault="003B1292">
            <w:pPr>
              <w:spacing w:after="20" w:line="264" w:lineRule="auto"/>
            </w:pPr>
            <w:r>
              <w:rPr>
                <w:sz w:val="20"/>
              </w:rPr>
              <w:t>Pydantic 2</w:t>
            </w:r>
          </w:p>
        </w:tc>
        <w:tc>
          <w:tcPr>
            <w:tcW w:w="3685" w:type="dxa"/>
          </w:tcPr>
          <w:p w:rsidR="00AE0CC1" w:rsidRDefault="003B1292">
            <w:pPr>
              <w:spacing w:after="20" w:line="264" w:lineRule="auto"/>
            </w:pPr>
            <w:r>
              <w:rPr>
                <w:sz w:val="20"/>
              </w:rPr>
              <w:t>Typed request schemas; automatic 422 errors</w:t>
            </w:r>
          </w:p>
        </w:tc>
      </w:tr>
      <w:tr w:rsidR="00AE0CC1">
        <w:trPr>
          <w:jc w:val="center"/>
        </w:trPr>
        <w:tc>
          <w:tcPr>
            <w:tcW w:w="1984" w:type="dxa"/>
          </w:tcPr>
          <w:p w:rsidR="00AE0CC1" w:rsidRDefault="003B1292">
            <w:pPr>
              <w:spacing w:after="20" w:line="264" w:lineRule="auto"/>
            </w:pPr>
            <w:r>
              <w:rPr>
                <w:sz w:val="20"/>
              </w:rPr>
              <w:t>Data processing</w:t>
            </w:r>
          </w:p>
        </w:tc>
        <w:tc>
          <w:tcPr>
            <w:tcW w:w="3118" w:type="dxa"/>
          </w:tcPr>
          <w:p w:rsidR="00AE0CC1" w:rsidRDefault="003B1292">
            <w:pPr>
              <w:spacing w:after="20" w:line="264" w:lineRule="auto"/>
            </w:pPr>
            <w:r>
              <w:rPr>
                <w:sz w:val="20"/>
              </w:rPr>
              <w:t>pandas 3, NumPy 2</w:t>
            </w:r>
          </w:p>
        </w:tc>
        <w:tc>
          <w:tcPr>
            <w:tcW w:w="3685" w:type="dxa"/>
          </w:tcPr>
          <w:p w:rsidR="00AE0CC1" w:rsidRDefault="003B1292">
            <w:pPr>
              <w:spacing w:after="20" w:line="264" w:lineRule="auto"/>
            </w:pPr>
            <w:r>
              <w:rPr>
                <w:sz w:val="20"/>
              </w:rPr>
              <w:t>Time-series handling, feature engineering</w:t>
            </w:r>
          </w:p>
        </w:tc>
      </w:tr>
      <w:tr w:rsidR="00AE0CC1">
        <w:trPr>
          <w:jc w:val="center"/>
        </w:trPr>
        <w:tc>
          <w:tcPr>
            <w:tcW w:w="1984" w:type="dxa"/>
          </w:tcPr>
          <w:p w:rsidR="00AE0CC1" w:rsidRDefault="003B1292">
            <w:pPr>
              <w:spacing w:after="20" w:line="264" w:lineRule="auto"/>
            </w:pPr>
            <w:r>
              <w:rPr>
                <w:sz w:val="20"/>
              </w:rPr>
              <w:t>Machine learning</w:t>
            </w:r>
          </w:p>
        </w:tc>
        <w:tc>
          <w:tcPr>
            <w:tcW w:w="3118" w:type="dxa"/>
          </w:tcPr>
          <w:p w:rsidR="00AE0CC1" w:rsidRDefault="003B1292">
            <w:pPr>
              <w:spacing w:after="20" w:line="264" w:lineRule="auto"/>
            </w:pPr>
            <w:r>
              <w:rPr>
                <w:sz w:val="20"/>
              </w:rPr>
              <w:t>scikit-learn 1.9</w:t>
            </w:r>
          </w:p>
        </w:tc>
        <w:tc>
          <w:tcPr>
            <w:tcW w:w="3685" w:type="dxa"/>
          </w:tcPr>
          <w:p w:rsidR="00AE0CC1" w:rsidRDefault="003B1292">
            <w:pPr>
              <w:spacing w:after="20" w:line="264" w:lineRule="auto"/>
            </w:pPr>
            <w:r>
              <w:rPr>
                <w:sz w:val="20"/>
              </w:rPr>
              <w:t>Linear Regression, Random Forest, metrics</w:t>
            </w:r>
          </w:p>
        </w:tc>
      </w:tr>
      <w:tr w:rsidR="00AE0CC1">
        <w:trPr>
          <w:jc w:val="center"/>
        </w:trPr>
        <w:tc>
          <w:tcPr>
            <w:tcW w:w="1984" w:type="dxa"/>
          </w:tcPr>
          <w:p w:rsidR="00AE0CC1" w:rsidRDefault="003B1292">
            <w:pPr>
              <w:spacing w:after="20" w:line="264" w:lineRule="auto"/>
            </w:pPr>
            <w:r>
              <w:rPr>
                <w:sz w:val="20"/>
              </w:rPr>
              <w:t xml:space="preserve">Market </w:t>
            </w:r>
            <w:r>
              <w:rPr>
                <w:sz w:val="20"/>
              </w:rPr>
              <w:t>data</w:t>
            </w:r>
          </w:p>
        </w:tc>
        <w:tc>
          <w:tcPr>
            <w:tcW w:w="3118" w:type="dxa"/>
          </w:tcPr>
          <w:p w:rsidR="00AE0CC1" w:rsidRDefault="003B1292">
            <w:pPr>
              <w:spacing w:after="20" w:line="264" w:lineRule="auto"/>
            </w:pPr>
            <w:r>
              <w:rPr>
                <w:sz w:val="20"/>
              </w:rPr>
              <w:t>yfinance 1.7, requests</w:t>
            </w:r>
          </w:p>
        </w:tc>
        <w:tc>
          <w:tcPr>
            <w:tcW w:w="3685" w:type="dxa"/>
          </w:tcPr>
          <w:p w:rsidR="00AE0CC1" w:rsidRDefault="003B1292">
            <w:pPr>
              <w:spacing w:after="20" w:line="264" w:lineRule="auto"/>
            </w:pPr>
            <w:r>
              <w:rPr>
                <w:sz w:val="20"/>
              </w:rPr>
              <w:t>Search, quotes, OHLCV history; Google News RSS</w:t>
            </w:r>
          </w:p>
        </w:tc>
      </w:tr>
      <w:tr w:rsidR="00AE0CC1">
        <w:trPr>
          <w:jc w:val="center"/>
        </w:trPr>
        <w:tc>
          <w:tcPr>
            <w:tcW w:w="1984" w:type="dxa"/>
          </w:tcPr>
          <w:p w:rsidR="00AE0CC1" w:rsidRDefault="003B1292">
            <w:pPr>
              <w:spacing w:after="20" w:line="264" w:lineRule="auto"/>
            </w:pPr>
            <w:r>
              <w:rPr>
                <w:sz w:val="20"/>
              </w:rPr>
              <w:t>Frontend</w:t>
            </w:r>
          </w:p>
        </w:tc>
        <w:tc>
          <w:tcPr>
            <w:tcW w:w="3118" w:type="dxa"/>
          </w:tcPr>
          <w:p w:rsidR="00AE0CC1" w:rsidRDefault="003B1292">
            <w:pPr>
              <w:spacing w:after="20" w:line="264" w:lineRule="auto"/>
            </w:pPr>
            <w:r>
              <w:rPr>
                <w:sz w:val="20"/>
              </w:rPr>
              <w:t>HTML5, CSS3, vanilla JavaScript</w:t>
            </w:r>
          </w:p>
        </w:tc>
        <w:tc>
          <w:tcPr>
            <w:tcW w:w="3685" w:type="dxa"/>
          </w:tcPr>
          <w:p w:rsidR="00AE0CC1" w:rsidRDefault="003B1292">
            <w:pPr>
              <w:spacing w:after="20" w:line="264" w:lineRule="auto"/>
            </w:pPr>
            <w:r>
              <w:rPr>
                <w:sz w:val="20"/>
              </w:rPr>
              <w:t>16-tab single-page console</w:t>
            </w:r>
          </w:p>
        </w:tc>
      </w:tr>
      <w:tr w:rsidR="00AE0CC1">
        <w:trPr>
          <w:jc w:val="center"/>
        </w:trPr>
        <w:tc>
          <w:tcPr>
            <w:tcW w:w="1984" w:type="dxa"/>
          </w:tcPr>
          <w:p w:rsidR="00AE0CC1" w:rsidRDefault="003B1292">
            <w:pPr>
              <w:spacing w:after="20" w:line="264" w:lineRule="auto"/>
            </w:pPr>
            <w:r>
              <w:rPr>
                <w:sz w:val="20"/>
              </w:rPr>
              <w:t>Charts</w:t>
            </w:r>
          </w:p>
        </w:tc>
        <w:tc>
          <w:tcPr>
            <w:tcW w:w="3118" w:type="dxa"/>
          </w:tcPr>
          <w:p w:rsidR="00AE0CC1" w:rsidRDefault="003B1292">
            <w:pPr>
              <w:spacing w:after="20" w:line="264" w:lineRule="auto"/>
            </w:pPr>
            <w:r>
              <w:rPr>
                <w:sz w:val="20"/>
              </w:rPr>
              <w:t>Chart.js 4.4</w:t>
            </w:r>
          </w:p>
        </w:tc>
        <w:tc>
          <w:tcPr>
            <w:tcW w:w="3685" w:type="dxa"/>
          </w:tcPr>
          <w:p w:rsidR="00AE0CC1" w:rsidRDefault="003B1292">
            <w:pPr>
              <w:spacing w:after="20" w:line="264" w:lineRule="auto"/>
            </w:pPr>
            <w:r>
              <w:rPr>
                <w:sz w:val="20"/>
              </w:rPr>
              <w:t>Price, projection and score charts</w:t>
            </w:r>
          </w:p>
        </w:tc>
      </w:tr>
    </w:tbl>
    <w:p w:rsidR="00AE0CC1" w:rsidRDefault="00AE0CC1">
      <w:pPr>
        <w:spacing w:after="40"/>
      </w:pPr>
    </w:p>
    <w:p w:rsidR="00AE0CC1" w:rsidRDefault="003B1292">
      <w:pPr>
        <w:pStyle w:val="Heading2"/>
      </w:pPr>
      <w:bookmarkStart w:id="24" w:name="_Toc241845023"/>
      <w:r>
        <w:t>3.5 Project Structure</w:t>
      </w:r>
      <w:bookmarkEnd w:id="24"/>
    </w:p>
    <w:p w:rsidR="00AE0CC1" w:rsidRDefault="003B1292">
      <w:pPr>
        <w:pStyle w:val="Caption"/>
        <w:keepNext/>
        <w:jc w:val="center"/>
      </w:pPr>
      <w:r>
        <w:t>Table 3.2: Main source files</w:t>
      </w:r>
    </w:p>
    <w:tbl>
      <w:tblPr>
        <w:tblStyle w:val="TableGrid"/>
        <w:tblW w:w="0" w:type="auto"/>
        <w:jc w:val="center"/>
        <w:tblLook w:val="04A0" w:firstRow="1" w:lastRow="0" w:firstColumn="1" w:lastColumn="0" w:noHBand="0" w:noVBand="1"/>
      </w:tblPr>
      <w:tblGrid>
        <w:gridCol w:w="3405"/>
        <w:gridCol w:w="5599"/>
      </w:tblGrid>
      <w:tr w:rsidR="00AE0CC1">
        <w:trPr>
          <w:jc w:val="center"/>
        </w:trPr>
        <w:tc>
          <w:tcPr>
            <w:tcW w:w="3118" w:type="dxa"/>
            <w:shd w:val="clear" w:color="auto" w:fill="13224A"/>
          </w:tcPr>
          <w:p w:rsidR="00AE0CC1" w:rsidRDefault="003B1292">
            <w:pPr>
              <w:spacing w:after="20" w:line="264" w:lineRule="auto"/>
            </w:pPr>
            <w:r>
              <w:rPr>
                <w:b/>
                <w:color w:val="FFFFFF"/>
                <w:sz w:val="20"/>
              </w:rPr>
              <w:t>Pat</w:t>
            </w:r>
            <w:r>
              <w:rPr>
                <w:b/>
                <w:color w:val="FFFFFF"/>
                <w:sz w:val="20"/>
              </w:rPr>
              <w:t>h</w:t>
            </w:r>
          </w:p>
        </w:tc>
        <w:tc>
          <w:tcPr>
            <w:tcW w:w="5669" w:type="dxa"/>
            <w:shd w:val="clear" w:color="auto" w:fill="13224A"/>
          </w:tcPr>
          <w:p w:rsidR="00AE0CC1" w:rsidRDefault="003B1292">
            <w:pPr>
              <w:spacing w:after="20" w:line="264" w:lineRule="auto"/>
            </w:pPr>
            <w:r>
              <w:rPr>
                <w:b/>
                <w:color w:val="FFFFFF"/>
                <w:sz w:val="20"/>
              </w:rPr>
              <w:t>Responsibility</w:t>
            </w:r>
          </w:p>
        </w:tc>
      </w:tr>
      <w:tr w:rsidR="00AE0CC1">
        <w:trPr>
          <w:jc w:val="center"/>
        </w:trPr>
        <w:tc>
          <w:tcPr>
            <w:tcW w:w="3118" w:type="dxa"/>
          </w:tcPr>
          <w:p w:rsidR="00AE0CC1" w:rsidRDefault="003B1292">
            <w:pPr>
              <w:spacing w:after="20" w:line="264" w:lineRule="auto"/>
            </w:pPr>
            <w:r>
              <w:rPr>
                <w:rFonts w:ascii="Consolas" w:hAnsi="Consolas"/>
                <w:sz w:val="20"/>
              </w:rPr>
              <w:t>app/main.py</w:t>
            </w:r>
          </w:p>
        </w:tc>
        <w:tc>
          <w:tcPr>
            <w:tcW w:w="5669" w:type="dxa"/>
          </w:tcPr>
          <w:p w:rsidR="00AE0CC1" w:rsidRDefault="003B1292">
            <w:pPr>
              <w:spacing w:after="20" w:line="264" w:lineRule="auto"/>
            </w:pPr>
            <w:r>
              <w:rPr>
                <w:sz w:val="20"/>
              </w:rPr>
              <w:t>FastAPI application: 29 routes, error mapping, caching headers, serves the frontend</w:t>
            </w:r>
          </w:p>
        </w:tc>
      </w:tr>
      <w:tr w:rsidR="00AE0CC1">
        <w:trPr>
          <w:jc w:val="center"/>
        </w:trPr>
        <w:tc>
          <w:tcPr>
            <w:tcW w:w="3118" w:type="dxa"/>
          </w:tcPr>
          <w:p w:rsidR="00AE0CC1" w:rsidRDefault="003B1292">
            <w:pPr>
              <w:spacing w:after="20" w:line="264" w:lineRule="auto"/>
            </w:pPr>
            <w:r>
              <w:rPr>
                <w:rFonts w:ascii="Consolas" w:hAnsi="Consolas"/>
                <w:sz w:val="20"/>
              </w:rPr>
              <w:t>app/calculators.py</w:t>
            </w:r>
          </w:p>
        </w:tc>
        <w:tc>
          <w:tcPr>
            <w:tcW w:w="5669" w:type="dxa"/>
          </w:tcPr>
          <w:p w:rsidR="00AE0CC1" w:rsidRDefault="003B1292">
            <w:pPr>
              <w:spacing w:after="20" w:line="264" w:lineRule="auto"/>
            </w:pPr>
            <w:r>
              <w:rPr>
                <w:sz w:val="20"/>
              </w:rPr>
              <w:t>Pure, side-effect-free financial formulas (modules 01–09, 12, 13)</w:t>
            </w:r>
          </w:p>
        </w:tc>
      </w:tr>
      <w:tr w:rsidR="00AE0CC1">
        <w:trPr>
          <w:jc w:val="center"/>
        </w:trPr>
        <w:tc>
          <w:tcPr>
            <w:tcW w:w="3118" w:type="dxa"/>
          </w:tcPr>
          <w:p w:rsidR="00AE0CC1" w:rsidRDefault="003B1292">
            <w:pPr>
              <w:spacing w:after="20" w:line="264" w:lineRule="auto"/>
            </w:pPr>
            <w:r>
              <w:rPr>
                <w:rFonts w:ascii="Consolas" w:hAnsi="Consolas"/>
                <w:sz w:val="20"/>
              </w:rPr>
              <w:t>app/market.py</w:t>
            </w:r>
          </w:p>
        </w:tc>
        <w:tc>
          <w:tcPr>
            <w:tcW w:w="5669" w:type="dxa"/>
          </w:tcPr>
          <w:p w:rsidR="00AE0CC1" w:rsidRDefault="003B1292">
            <w:pPr>
              <w:spacing w:after="20" w:line="264" w:lineRule="auto"/>
            </w:pPr>
            <w:r>
              <w:rPr>
                <w:sz w:val="20"/>
              </w:rPr>
              <w:t xml:space="preserve">Live data layer: search, symbol </w:t>
            </w:r>
            <w:r>
              <w:rPr>
                <w:sz w:val="20"/>
              </w:rPr>
              <w:t>resolution, quotes, history, news, TTL cache</w:t>
            </w:r>
          </w:p>
        </w:tc>
      </w:tr>
      <w:tr w:rsidR="00AE0CC1">
        <w:trPr>
          <w:jc w:val="center"/>
        </w:trPr>
        <w:tc>
          <w:tcPr>
            <w:tcW w:w="3118" w:type="dxa"/>
          </w:tcPr>
          <w:p w:rsidR="00AE0CC1" w:rsidRDefault="003B1292">
            <w:pPr>
              <w:spacing w:after="20" w:line="264" w:lineRule="auto"/>
            </w:pPr>
            <w:r>
              <w:rPr>
                <w:rFonts w:ascii="Consolas" w:hAnsi="Consolas"/>
                <w:sz w:val="20"/>
              </w:rPr>
              <w:t>app/schemas.py</w:t>
            </w:r>
          </w:p>
        </w:tc>
        <w:tc>
          <w:tcPr>
            <w:tcW w:w="5669" w:type="dxa"/>
          </w:tcPr>
          <w:p w:rsidR="00AE0CC1" w:rsidRDefault="003B1292">
            <w:pPr>
              <w:spacing w:after="20" w:line="264" w:lineRule="auto"/>
            </w:pPr>
            <w:r>
              <w:rPr>
                <w:sz w:val="20"/>
              </w:rPr>
              <w:t>Pydantic request models for every POST endpoint</w:t>
            </w:r>
          </w:p>
        </w:tc>
      </w:tr>
      <w:tr w:rsidR="00AE0CC1">
        <w:trPr>
          <w:jc w:val="center"/>
        </w:trPr>
        <w:tc>
          <w:tcPr>
            <w:tcW w:w="3118" w:type="dxa"/>
          </w:tcPr>
          <w:p w:rsidR="00AE0CC1" w:rsidRDefault="003B1292">
            <w:pPr>
              <w:spacing w:after="20" w:line="264" w:lineRule="auto"/>
            </w:pPr>
            <w:r>
              <w:rPr>
                <w:rFonts w:ascii="Consolas" w:hAnsi="Consolas"/>
                <w:sz w:val="20"/>
              </w:rPr>
              <w:lastRenderedPageBreak/>
              <w:t>app/glossary.py</w:t>
            </w:r>
          </w:p>
        </w:tc>
        <w:tc>
          <w:tcPr>
            <w:tcW w:w="5669" w:type="dxa"/>
          </w:tcPr>
          <w:p w:rsidR="00AE0CC1" w:rsidRDefault="003B1292">
            <w:pPr>
              <w:spacing w:after="20" w:line="264" w:lineRule="auto"/>
            </w:pPr>
            <w:r>
              <w:rPr>
                <w:sz w:val="20"/>
              </w:rPr>
              <w:t>Knowledge-centre question/answer pairs</w:t>
            </w:r>
          </w:p>
        </w:tc>
      </w:tr>
      <w:tr w:rsidR="00AE0CC1">
        <w:trPr>
          <w:jc w:val="center"/>
        </w:trPr>
        <w:tc>
          <w:tcPr>
            <w:tcW w:w="3118" w:type="dxa"/>
          </w:tcPr>
          <w:p w:rsidR="00AE0CC1" w:rsidRDefault="003B1292">
            <w:pPr>
              <w:spacing w:after="20" w:line="264" w:lineRule="auto"/>
            </w:pPr>
            <w:r>
              <w:rPr>
                <w:rFonts w:ascii="Consolas" w:hAnsi="Consolas"/>
                <w:sz w:val="20"/>
              </w:rPr>
              <w:t>backend/services/features.py</w:t>
            </w:r>
          </w:p>
        </w:tc>
        <w:tc>
          <w:tcPr>
            <w:tcW w:w="5669" w:type="dxa"/>
          </w:tcPr>
          <w:p w:rsidR="00AE0CC1" w:rsidRDefault="003B1292">
            <w:pPr>
              <w:spacing w:after="20" w:line="264" w:lineRule="auto"/>
            </w:pPr>
            <w:r>
              <w:rPr>
                <w:sz w:val="20"/>
              </w:rPr>
              <w:t>Data cleaning and technical feature engineering</w:t>
            </w:r>
          </w:p>
        </w:tc>
      </w:tr>
      <w:tr w:rsidR="00AE0CC1">
        <w:trPr>
          <w:jc w:val="center"/>
        </w:trPr>
        <w:tc>
          <w:tcPr>
            <w:tcW w:w="3118" w:type="dxa"/>
          </w:tcPr>
          <w:p w:rsidR="00AE0CC1" w:rsidRDefault="003B1292">
            <w:pPr>
              <w:spacing w:after="20" w:line="264" w:lineRule="auto"/>
            </w:pPr>
            <w:r>
              <w:rPr>
                <w:rFonts w:ascii="Consolas" w:hAnsi="Consolas"/>
                <w:sz w:val="20"/>
              </w:rPr>
              <w:t>backend/services/ml_models.py</w:t>
            </w:r>
          </w:p>
        </w:tc>
        <w:tc>
          <w:tcPr>
            <w:tcW w:w="5669" w:type="dxa"/>
          </w:tcPr>
          <w:p w:rsidR="00AE0CC1" w:rsidRDefault="003B1292">
            <w:pPr>
              <w:spacing w:after="20" w:line="264" w:lineRule="auto"/>
            </w:pPr>
            <w:r>
              <w:rPr>
                <w:sz w:val="20"/>
              </w:rPr>
              <w:t>Linear Regression and Random Forest training/evaluation</w:t>
            </w:r>
          </w:p>
        </w:tc>
      </w:tr>
      <w:tr w:rsidR="00AE0CC1">
        <w:trPr>
          <w:jc w:val="center"/>
        </w:trPr>
        <w:tc>
          <w:tcPr>
            <w:tcW w:w="3118" w:type="dxa"/>
          </w:tcPr>
          <w:p w:rsidR="00AE0CC1" w:rsidRDefault="003B1292">
            <w:pPr>
              <w:spacing w:after="20" w:line="264" w:lineRule="auto"/>
            </w:pPr>
            <w:r>
              <w:rPr>
                <w:rFonts w:ascii="Consolas" w:hAnsi="Consolas"/>
                <w:sz w:val="20"/>
              </w:rPr>
              <w:t>backend/services/simulate.py</w:t>
            </w:r>
          </w:p>
        </w:tc>
        <w:tc>
          <w:tcPr>
            <w:tcW w:w="5669" w:type="dxa"/>
          </w:tcPr>
          <w:p w:rsidR="00AE0CC1" w:rsidRDefault="003B1292">
            <w:pPr>
              <w:spacing w:after="20" w:line="264" w:lineRule="auto"/>
            </w:pPr>
            <w:r>
              <w:rPr>
                <w:sz w:val="20"/>
              </w:rPr>
              <w:t>Synthetic OHLCV generator with injected errors (for practice/cleaning)</w:t>
            </w:r>
          </w:p>
        </w:tc>
      </w:tr>
      <w:tr w:rsidR="00AE0CC1">
        <w:trPr>
          <w:jc w:val="center"/>
        </w:trPr>
        <w:tc>
          <w:tcPr>
            <w:tcW w:w="3118" w:type="dxa"/>
          </w:tcPr>
          <w:p w:rsidR="00AE0CC1" w:rsidRDefault="003B1292">
            <w:pPr>
              <w:spacing w:after="20" w:line="264" w:lineRule="auto"/>
            </w:pPr>
            <w:r>
              <w:rPr>
                <w:rFonts w:ascii="Consolas" w:hAnsi="Consolas"/>
                <w:sz w:val="20"/>
              </w:rPr>
              <w:t>frontend/index.html, app.js, style.css</w:t>
            </w:r>
          </w:p>
        </w:tc>
        <w:tc>
          <w:tcPr>
            <w:tcW w:w="5669" w:type="dxa"/>
          </w:tcPr>
          <w:p w:rsidR="00AE0CC1" w:rsidRDefault="003B1292">
            <w:pPr>
              <w:spacing w:after="20" w:line="264" w:lineRule="auto"/>
            </w:pPr>
            <w:r>
              <w:rPr>
                <w:sz w:val="20"/>
              </w:rPr>
              <w:t>User interface</w:t>
            </w:r>
          </w:p>
        </w:tc>
      </w:tr>
    </w:tbl>
    <w:p w:rsidR="00AE0CC1" w:rsidRDefault="00AE0CC1">
      <w:pPr>
        <w:spacing w:after="40"/>
      </w:pPr>
    </w:p>
    <w:p w:rsidR="00AE0CC1" w:rsidRDefault="003B1292">
      <w:pPr>
        <w:pStyle w:val="Heading2"/>
      </w:pPr>
      <w:bookmarkStart w:id="25" w:name="_Toc241845024"/>
      <w:r>
        <w:t>3.6 API Desi</w:t>
      </w:r>
      <w:r>
        <w:t>gn</w:t>
      </w:r>
      <w:bookmarkEnd w:id="25"/>
    </w:p>
    <w:p w:rsidR="00AE0CC1" w:rsidRDefault="003B1292">
      <w:pPr>
        <w:jc w:val="both"/>
      </w:pPr>
      <w:r>
        <w:t xml:space="preserve">Calculators use </w:t>
      </w:r>
      <w:r>
        <w:rPr>
          <w:rFonts w:ascii="Consolas" w:hAnsi="Consolas"/>
          <w:sz w:val="21"/>
        </w:rPr>
        <w:t>POST</w:t>
      </w:r>
      <w:r>
        <w:t xml:space="preserve"> with a JSON body validated by a Pydantic schema; data lookups use </w:t>
      </w:r>
      <w:r>
        <w:rPr>
          <w:rFonts w:ascii="Consolas" w:hAnsi="Consolas"/>
          <w:sz w:val="21"/>
        </w:rPr>
        <w:t>GET</w:t>
      </w:r>
      <w:r>
        <w:t xml:space="preserve"> with query parameters. Validation failures return HTTP 422, an unknown symbol returns 404 with guidance, and an upstream data-provider failure returns 502. Endpoi</w:t>
      </w:r>
      <w:r>
        <w:t xml:space="preserve">nts are grouped by tags that match the sixteen UI sections, so the interactive documentation at </w:t>
      </w:r>
      <w:r>
        <w:rPr>
          <w:rFonts w:ascii="Consolas" w:hAnsi="Consolas"/>
          <w:sz w:val="21"/>
        </w:rPr>
        <w:t>/docs</w:t>
      </w:r>
      <w:r>
        <w:t xml:space="preserve"> mirrors the application (Figure 3.2). The full list is in Appendix A.</w:t>
      </w:r>
    </w:p>
    <w:p w:rsidR="00AE0CC1" w:rsidRDefault="003B1292">
      <w:pPr>
        <w:keepNext/>
        <w:spacing w:after="40"/>
        <w:jc w:val="center"/>
      </w:pPr>
      <w:r>
        <w:rPr>
          <w:noProof/>
          <w:lang w:val="en-IN" w:eastAsia="en-IN"/>
        </w:rPr>
        <w:drawing>
          <wp:inline distT="0" distB="0" distL="0" distR="0">
            <wp:extent cx="5220000" cy="36703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wagger.png"/>
                    <pic:cNvPicPr/>
                  </pic:nvPicPr>
                  <pic:blipFill>
                    <a:blip r:embed="rId9"/>
                    <a:stretch>
                      <a:fillRect/>
                    </a:stretch>
                  </pic:blipFill>
                  <pic:spPr>
                    <a:xfrm>
                      <a:off x="0" y="0"/>
                      <a:ext cx="5220000" cy="3670312"/>
                    </a:xfrm>
                    <a:prstGeom prst="rect">
                      <a:avLst/>
                    </a:prstGeom>
                  </pic:spPr>
                </pic:pic>
              </a:graphicData>
            </a:graphic>
          </wp:inline>
        </w:drawing>
      </w:r>
    </w:p>
    <w:p w:rsidR="00AE0CC1" w:rsidRDefault="003B1292">
      <w:pPr>
        <w:pStyle w:val="Caption"/>
        <w:jc w:val="center"/>
      </w:pPr>
      <w:r>
        <w:t>Figure 3.2: Auto-generated interactive API documentation (Swagger UI at /docs)</w:t>
      </w:r>
    </w:p>
    <w:p w:rsidR="00AE0CC1" w:rsidRDefault="003B1292">
      <w:pPr>
        <w:pStyle w:val="Heading2"/>
      </w:pPr>
      <w:bookmarkStart w:id="26" w:name="_Toc241845025"/>
      <w:r>
        <w:lastRenderedPageBreak/>
        <w:t>3.7</w:t>
      </w:r>
      <w:r>
        <w:t xml:space="preserve"> Request Flow for Live Market Data</w:t>
      </w:r>
      <w:bookmarkEnd w:id="26"/>
    </w:p>
    <w:p w:rsidR="00AE0CC1" w:rsidRDefault="003B1292">
      <w:pPr>
        <w:keepNext/>
        <w:spacing w:after="40"/>
        <w:jc w:val="center"/>
      </w:pPr>
      <w:r>
        <w:rPr>
          <w:noProof/>
          <w:lang w:val="en-IN" w:eastAsia="en-IN"/>
        </w:rPr>
        <w:drawing>
          <wp:inline distT="0" distB="0" distL="0" distR="0">
            <wp:extent cx="5580000" cy="2335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5580000" cy="2335814"/>
                    </a:xfrm>
                    <a:prstGeom prst="rect">
                      <a:avLst/>
                    </a:prstGeom>
                  </pic:spPr>
                </pic:pic>
              </a:graphicData>
            </a:graphic>
          </wp:inline>
        </w:drawing>
      </w:r>
    </w:p>
    <w:p w:rsidR="00AE0CC1" w:rsidRDefault="003B1292">
      <w:pPr>
        <w:pStyle w:val="Caption"/>
        <w:jc w:val="center"/>
      </w:pPr>
      <w:r>
        <w:t>Figure 3.3: Flow of a company lookup from the picker to the rendered quote, chart, table and news</w:t>
      </w:r>
    </w:p>
    <w:p w:rsidR="00AE0CC1" w:rsidRDefault="003B1292">
      <w:r>
        <w:br w:type="page"/>
      </w:r>
    </w:p>
    <w:p w:rsidR="00AE0CC1" w:rsidRDefault="003B1292">
      <w:pPr>
        <w:pStyle w:val="Heading1"/>
      </w:pPr>
      <w:bookmarkStart w:id="27" w:name="_Toc241845026"/>
      <w:r>
        <w:lastRenderedPageBreak/>
        <w:t>Chapter 4: Implementation</w:t>
      </w:r>
      <w:bookmarkEnd w:id="27"/>
    </w:p>
    <w:p w:rsidR="00AE0CC1" w:rsidRDefault="003B1292">
      <w:pPr>
        <w:pStyle w:val="Heading2"/>
      </w:pPr>
      <w:bookmarkStart w:id="28" w:name="_Toc241845027"/>
      <w:r>
        <w:t>4.1 Backend Foundation</w:t>
      </w:r>
      <w:bookmarkEnd w:id="28"/>
    </w:p>
    <w:p w:rsidR="00AE0CC1" w:rsidRDefault="003B1292">
      <w:pPr>
        <w:jc w:val="both"/>
      </w:pPr>
      <w:r>
        <w:t xml:space="preserve">The FastAPI application registers CORS middleware, mounts the frontend as static files and wraps calculator calls in a helper that converts </w:t>
      </w:r>
      <w:r>
        <w:rPr>
          <w:rFonts w:ascii="Consolas" w:hAnsi="Consolas"/>
          <w:sz w:val="21"/>
        </w:rPr>
        <w:t>ValueError</w:t>
      </w:r>
      <w:r>
        <w:t xml:space="preserve"> (e.g. division by zero equity) into HTTP 422 responses with a readable message. A small middleware sets </w:t>
      </w:r>
      <w:r>
        <w:rPr>
          <w:rFonts w:ascii="Consolas" w:hAnsi="Consolas"/>
          <w:sz w:val="21"/>
        </w:rPr>
        <w:t>C</w:t>
      </w:r>
      <w:r>
        <w:rPr>
          <w:rFonts w:ascii="Consolas" w:hAnsi="Consolas"/>
          <w:sz w:val="21"/>
        </w:rPr>
        <w:t>ache-Control: no-cache</w:t>
      </w:r>
      <w:r>
        <w:t xml:space="preserve"> on the page and assets, and the root route stamps </w:t>
      </w:r>
      <w:r>
        <w:rPr>
          <w:rFonts w:ascii="Consolas" w:hAnsi="Consolas"/>
          <w:sz w:val="21"/>
        </w:rPr>
        <w:t>app.js</w:t>
      </w:r>
      <w:r>
        <w:t xml:space="preserve"> and </w:t>
      </w:r>
      <w:r>
        <w:rPr>
          <w:rFonts w:ascii="Consolas" w:hAnsi="Consolas"/>
          <w:sz w:val="21"/>
        </w:rPr>
        <w:t>style.css</w:t>
      </w:r>
      <w:r>
        <w:t xml:space="preserve"> URLs with their file-modification time (</w:t>
      </w:r>
      <w:r>
        <w:rPr>
          <w:rFonts w:ascii="Consolas" w:hAnsi="Consolas"/>
          <w:sz w:val="21"/>
        </w:rPr>
        <w:t>?v=…</w:t>
      </w:r>
      <w:r>
        <w:t xml:space="preserve">), so a browser can never combine a new page with an outdated cached script. The server can be started with </w:t>
      </w:r>
      <w:r>
        <w:rPr>
          <w:rFonts w:ascii="Consolas" w:hAnsi="Consolas"/>
          <w:sz w:val="21"/>
        </w:rPr>
        <w:t>uvicorn ap</w:t>
      </w:r>
      <w:r>
        <w:rPr>
          <w:rFonts w:ascii="Consolas" w:hAnsi="Consolas"/>
          <w:sz w:val="21"/>
        </w:rPr>
        <w:t>p.main:app</w:t>
      </w:r>
      <w:r>
        <w:t xml:space="preserve"> or simply by running </w:t>
      </w:r>
      <w:r>
        <w:rPr>
          <w:rFonts w:ascii="Consolas" w:hAnsi="Consolas"/>
          <w:sz w:val="21"/>
        </w:rPr>
        <w:t>python app/main.py</w:t>
      </w:r>
      <w:r>
        <w:t>.</w:t>
      </w:r>
    </w:p>
    <w:p w:rsidR="00AE0CC1" w:rsidRDefault="003B1292">
      <w:pPr>
        <w:pStyle w:val="Heading2"/>
      </w:pPr>
      <w:bookmarkStart w:id="29" w:name="_Toc241845028"/>
      <w:r>
        <w:t>4.2 Financial Calculator Modules</w:t>
      </w:r>
      <w:bookmarkEnd w:id="29"/>
    </w:p>
    <w:p w:rsidR="00AE0CC1" w:rsidRDefault="003B1292">
      <w:pPr>
        <w:jc w:val="both"/>
      </w:pPr>
      <w:r>
        <w:t xml:space="preserve">All calculators are pure functions in </w:t>
      </w:r>
      <w:r>
        <w:rPr>
          <w:rFonts w:ascii="Consolas" w:hAnsi="Consolas"/>
          <w:sz w:val="21"/>
        </w:rPr>
        <w:t>app/calculators.py</w:t>
      </w:r>
      <w:r>
        <w:t>, which makes them deterministic and easy to test. Table 4.1 summarises the decision rules; the subsections explain</w:t>
      </w:r>
      <w:r>
        <w:t xml:space="preserve"> the more involved ones.</w:t>
      </w:r>
    </w:p>
    <w:p w:rsidR="00AE0CC1" w:rsidRDefault="003B1292">
      <w:pPr>
        <w:pStyle w:val="Caption"/>
        <w:keepNext/>
        <w:jc w:val="center"/>
      </w:pPr>
      <w:r>
        <w:t>Table 4.1: Calculator modules and decision rules</w:t>
      </w:r>
    </w:p>
    <w:tbl>
      <w:tblPr>
        <w:tblStyle w:val="TableGrid"/>
        <w:tblW w:w="0" w:type="auto"/>
        <w:jc w:val="center"/>
        <w:tblLook w:val="04A0" w:firstRow="1" w:lastRow="0" w:firstColumn="1" w:lastColumn="0" w:noHBand="0" w:noVBand="1"/>
      </w:tblPr>
      <w:tblGrid>
        <w:gridCol w:w="1587"/>
        <w:gridCol w:w="2948"/>
        <w:gridCol w:w="4252"/>
      </w:tblGrid>
      <w:tr w:rsidR="00AE0CC1">
        <w:trPr>
          <w:jc w:val="center"/>
        </w:trPr>
        <w:tc>
          <w:tcPr>
            <w:tcW w:w="1587" w:type="dxa"/>
            <w:shd w:val="clear" w:color="auto" w:fill="13224A"/>
          </w:tcPr>
          <w:p w:rsidR="00AE0CC1" w:rsidRDefault="003B1292">
            <w:pPr>
              <w:spacing w:after="20" w:line="264" w:lineRule="auto"/>
            </w:pPr>
            <w:r>
              <w:rPr>
                <w:b/>
                <w:color w:val="FFFFFF"/>
                <w:sz w:val="19"/>
              </w:rPr>
              <w:t>Module</w:t>
            </w:r>
          </w:p>
        </w:tc>
        <w:tc>
          <w:tcPr>
            <w:tcW w:w="2948" w:type="dxa"/>
            <w:shd w:val="clear" w:color="auto" w:fill="13224A"/>
          </w:tcPr>
          <w:p w:rsidR="00AE0CC1" w:rsidRDefault="003B1292">
            <w:pPr>
              <w:spacing w:after="20" w:line="264" w:lineRule="auto"/>
            </w:pPr>
            <w:r>
              <w:rPr>
                <w:b/>
                <w:color w:val="FFFFFF"/>
                <w:sz w:val="19"/>
              </w:rPr>
              <w:t>Inputs</w:t>
            </w:r>
          </w:p>
        </w:tc>
        <w:tc>
          <w:tcPr>
            <w:tcW w:w="4252" w:type="dxa"/>
            <w:shd w:val="clear" w:color="auto" w:fill="13224A"/>
          </w:tcPr>
          <w:p w:rsidR="00AE0CC1" w:rsidRDefault="003B1292">
            <w:pPr>
              <w:spacing w:after="20" w:line="264" w:lineRule="auto"/>
            </w:pPr>
            <w:r>
              <w:rPr>
                <w:b/>
                <w:color w:val="FFFFFF"/>
                <w:sz w:val="19"/>
              </w:rPr>
              <w:t>Logic / output</w:t>
            </w:r>
          </w:p>
        </w:tc>
      </w:tr>
      <w:tr w:rsidR="00AE0CC1">
        <w:trPr>
          <w:jc w:val="center"/>
        </w:trPr>
        <w:tc>
          <w:tcPr>
            <w:tcW w:w="1587" w:type="dxa"/>
          </w:tcPr>
          <w:p w:rsidR="00AE0CC1" w:rsidRDefault="003B1292">
            <w:pPr>
              <w:spacing w:after="20" w:line="264" w:lineRule="auto"/>
            </w:pPr>
            <w:r>
              <w:rPr>
                <w:sz w:val="19"/>
              </w:rPr>
              <w:t>01 Ratios</w:t>
            </w:r>
          </w:p>
        </w:tc>
        <w:tc>
          <w:tcPr>
            <w:tcW w:w="2948" w:type="dxa"/>
          </w:tcPr>
          <w:p w:rsidR="00AE0CC1" w:rsidRDefault="003B1292">
            <w:pPr>
              <w:spacing w:after="20" w:line="264" w:lineRule="auto"/>
            </w:pPr>
            <w:r>
              <w:rPr>
                <w:sz w:val="19"/>
              </w:rPr>
              <w:t>Net income, equity, assets, liabilities</w:t>
            </w:r>
          </w:p>
        </w:tc>
        <w:tc>
          <w:tcPr>
            <w:tcW w:w="4252" w:type="dxa"/>
          </w:tcPr>
          <w:p w:rsidR="00AE0CC1" w:rsidRDefault="003B1292">
            <w:pPr>
              <w:spacing w:after="20" w:line="264" w:lineRule="auto"/>
            </w:pPr>
            <w:r>
              <w:rPr>
                <w:sz w:val="19"/>
              </w:rPr>
              <w:t>ROE, ROA, debt ratio; health: ROE &gt; 20 Excellent, ≥ 10 Good, else Weak</w:t>
            </w:r>
          </w:p>
        </w:tc>
      </w:tr>
      <w:tr w:rsidR="00AE0CC1">
        <w:trPr>
          <w:jc w:val="center"/>
        </w:trPr>
        <w:tc>
          <w:tcPr>
            <w:tcW w:w="1587" w:type="dxa"/>
          </w:tcPr>
          <w:p w:rsidR="00AE0CC1" w:rsidRDefault="003B1292">
            <w:pPr>
              <w:spacing w:after="20" w:line="264" w:lineRule="auto"/>
            </w:pPr>
            <w:r>
              <w:rPr>
                <w:sz w:val="19"/>
              </w:rPr>
              <w:t>02 Finance report</w:t>
            </w:r>
          </w:p>
        </w:tc>
        <w:tc>
          <w:tcPr>
            <w:tcW w:w="2948" w:type="dxa"/>
          </w:tcPr>
          <w:p w:rsidR="00AE0CC1" w:rsidRDefault="003B1292">
            <w:pPr>
              <w:spacing w:after="20" w:line="264" w:lineRule="auto"/>
            </w:pPr>
            <w:r>
              <w:rPr>
                <w:sz w:val="19"/>
              </w:rPr>
              <w:t xml:space="preserve">Income, </w:t>
            </w:r>
            <w:r>
              <w:rPr>
                <w:sz w:val="19"/>
              </w:rPr>
              <w:t>expenses, savings, debt, equity</w:t>
            </w:r>
          </w:p>
        </w:tc>
        <w:tc>
          <w:tcPr>
            <w:tcW w:w="4252" w:type="dxa"/>
          </w:tcPr>
          <w:p w:rsidR="00AE0CC1" w:rsidRDefault="003B1292">
            <w:pPr>
              <w:spacing w:after="20" w:line="264" w:lineRule="auto"/>
            </w:pPr>
            <w:r>
              <w:rPr>
                <w:sz w:val="19"/>
              </w:rPr>
              <w:t>Net profit, ROE, ROA, current ratio, D/E + rule-based tips</w:t>
            </w:r>
          </w:p>
        </w:tc>
      </w:tr>
      <w:tr w:rsidR="00AE0CC1">
        <w:trPr>
          <w:jc w:val="center"/>
        </w:trPr>
        <w:tc>
          <w:tcPr>
            <w:tcW w:w="1587" w:type="dxa"/>
          </w:tcPr>
          <w:p w:rsidR="00AE0CC1" w:rsidRDefault="003B1292">
            <w:pPr>
              <w:spacing w:after="20" w:line="264" w:lineRule="auto"/>
            </w:pPr>
            <w:r>
              <w:rPr>
                <w:sz w:val="19"/>
              </w:rPr>
              <w:t>03 AI assistant</w:t>
            </w:r>
          </w:p>
        </w:tc>
        <w:tc>
          <w:tcPr>
            <w:tcW w:w="2948" w:type="dxa"/>
          </w:tcPr>
          <w:p w:rsidR="00AE0CC1" w:rsidRDefault="003B1292">
            <w:pPr>
              <w:spacing w:after="20" w:line="264" w:lineRule="auto"/>
            </w:pPr>
            <w:r>
              <w:rPr>
                <w:sz w:val="19"/>
              </w:rPr>
              <w:t>Income, expenses, savings, borrowed, owned; question</w:t>
            </w:r>
          </w:p>
        </w:tc>
        <w:tc>
          <w:tcPr>
            <w:tcW w:w="4252" w:type="dxa"/>
          </w:tcPr>
          <w:p w:rsidR="00AE0CC1" w:rsidRDefault="003B1292">
            <w:pPr>
              <w:spacing w:after="20" w:line="264" w:lineRule="auto"/>
            </w:pPr>
            <w:r>
              <w:rPr>
                <w:sz w:val="19"/>
              </w:rPr>
              <w:t>Savings ratio &amp; leverage insight; keyword glossary answers</w:t>
            </w:r>
          </w:p>
        </w:tc>
      </w:tr>
      <w:tr w:rsidR="00AE0CC1">
        <w:trPr>
          <w:jc w:val="center"/>
        </w:trPr>
        <w:tc>
          <w:tcPr>
            <w:tcW w:w="1587" w:type="dxa"/>
          </w:tcPr>
          <w:p w:rsidR="00AE0CC1" w:rsidRDefault="003B1292">
            <w:pPr>
              <w:spacing w:after="20" w:line="264" w:lineRule="auto"/>
            </w:pPr>
            <w:r>
              <w:rPr>
                <w:sz w:val="19"/>
              </w:rPr>
              <w:t>04 Loan insights</w:t>
            </w:r>
          </w:p>
        </w:tc>
        <w:tc>
          <w:tcPr>
            <w:tcW w:w="2948" w:type="dxa"/>
          </w:tcPr>
          <w:p w:rsidR="00AE0CC1" w:rsidRDefault="003B1292">
            <w:pPr>
              <w:spacing w:after="20" w:line="264" w:lineRule="auto"/>
            </w:pPr>
            <w:r>
              <w:rPr>
                <w:sz w:val="19"/>
              </w:rPr>
              <w:t>Table of applicant</w:t>
            </w:r>
            <w:r>
              <w:rPr>
                <w:sz w:val="19"/>
              </w:rPr>
              <w:t>s</w:t>
            </w:r>
          </w:p>
        </w:tc>
        <w:tc>
          <w:tcPr>
            <w:tcW w:w="4252" w:type="dxa"/>
          </w:tcPr>
          <w:p w:rsidR="00AE0CC1" w:rsidRDefault="003B1292">
            <w:pPr>
              <w:spacing w:after="20" w:line="264" w:lineRule="auto"/>
            </w:pPr>
            <w:r>
              <w:rPr>
                <w:sz w:val="19"/>
              </w:rPr>
              <w:t>Per-row credit insight and recommendation</w:t>
            </w:r>
          </w:p>
        </w:tc>
      </w:tr>
      <w:tr w:rsidR="00AE0CC1">
        <w:trPr>
          <w:jc w:val="center"/>
        </w:trPr>
        <w:tc>
          <w:tcPr>
            <w:tcW w:w="1587" w:type="dxa"/>
          </w:tcPr>
          <w:p w:rsidR="00AE0CC1" w:rsidRDefault="003B1292">
            <w:pPr>
              <w:spacing w:after="20" w:line="264" w:lineRule="auto"/>
            </w:pPr>
            <w:r>
              <w:rPr>
                <w:sz w:val="19"/>
              </w:rPr>
              <w:t>05 Credit &amp; risk</w:t>
            </w:r>
          </w:p>
        </w:tc>
        <w:tc>
          <w:tcPr>
            <w:tcW w:w="2948" w:type="dxa"/>
          </w:tcPr>
          <w:p w:rsidR="00AE0CC1" w:rsidRDefault="003B1292">
            <w:pPr>
              <w:spacing w:after="20" w:line="264" w:lineRule="auto"/>
            </w:pPr>
            <w:r>
              <w:rPr>
                <w:sz w:val="19"/>
              </w:rPr>
              <w:t>Score 300–900, income, EMI</w:t>
            </w:r>
          </w:p>
        </w:tc>
        <w:tc>
          <w:tcPr>
            <w:tcW w:w="4252" w:type="dxa"/>
          </w:tcPr>
          <w:p w:rsidR="00AE0CC1" w:rsidRDefault="003B1292">
            <w:pPr>
              <w:spacing w:after="20" w:line="264" w:lineRule="auto"/>
            </w:pPr>
            <w:r>
              <w:rPr>
                <w:sz w:val="19"/>
              </w:rPr>
              <w:t>Category (Poor…Excellent); risk band raised one level if EMI/income &gt; 40%</w:t>
            </w:r>
          </w:p>
        </w:tc>
      </w:tr>
      <w:tr w:rsidR="00AE0CC1">
        <w:trPr>
          <w:jc w:val="center"/>
        </w:trPr>
        <w:tc>
          <w:tcPr>
            <w:tcW w:w="1587" w:type="dxa"/>
          </w:tcPr>
          <w:p w:rsidR="00AE0CC1" w:rsidRDefault="003B1292">
            <w:pPr>
              <w:spacing w:after="20" w:line="264" w:lineRule="auto"/>
            </w:pPr>
            <w:r>
              <w:rPr>
                <w:sz w:val="19"/>
              </w:rPr>
              <w:t>06 Investment call</w:t>
            </w:r>
          </w:p>
        </w:tc>
        <w:tc>
          <w:tcPr>
            <w:tcW w:w="2948" w:type="dxa"/>
          </w:tcPr>
          <w:p w:rsidR="00AE0CC1" w:rsidRDefault="003B1292">
            <w:pPr>
              <w:spacing w:after="20" w:line="264" w:lineRule="auto"/>
            </w:pPr>
            <w:r>
              <w:rPr>
                <w:sz w:val="19"/>
              </w:rPr>
              <w:t>Revenue growth, margin, ROA, ROE</w:t>
            </w:r>
          </w:p>
        </w:tc>
        <w:tc>
          <w:tcPr>
            <w:tcW w:w="4252" w:type="dxa"/>
          </w:tcPr>
          <w:p w:rsidR="00AE0CC1" w:rsidRDefault="003B1292">
            <w:pPr>
              <w:spacing w:after="20" w:line="264" w:lineRule="auto"/>
            </w:pPr>
            <w:r>
              <w:rPr>
                <w:sz w:val="19"/>
              </w:rPr>
              <w:t xml:space="preserve">1 point each for ≥ 15/15/10/15 → BUY (≥ </w:t>
            </w:r>
            <w:r>
              <w:rPr>
                <w:sz w:val="19"/>
              </w:rPr>
              <w:t>3), HOLD (2), AVOID</w:t>
            </w:r>
          </w:p>
        </w:tc>
      </w:tr>
      <w:tr w:rsidR="00AE0CC1">
        <w:trPr>
          <w:jc w:val="center"/>
        </w:trPr>
        <w:tc>
          <w:tcPr>
            <w:tcW w:w="1587" w:type="dxa"/>
          </w:tcPr>
          <w:p w:rsidR="00AE0CC1" w:rsidRDefault="003B1292">
            <w:pPr>
              <w:spacing w:after="20" w:line="264" w:lineRule="auto"/>
            </w:pPr>
            <w:r>
              <w:rPr>
                <w:sz w:val="19"/>
              </w:rPr>
              <w:t>07 Company perf.</w:t>
            </w:r>
          </w:p>
        </w:tc>
        <w:tc>
          <w:tcPr>
            <w:tcW w:w="2948" w:type="dxa"/>
          </w:tcPr>
          <w:p w:rsidR="00AE0CC1" w:rsidRDefault="003B1292">
            <w:pPr>
              <w:spacing w:after="20" w:line="264" w:lineRule="auto"/>
            </w:pPr>
            <w:r>
              <w:rPr>
                <w:sz w:val="19"/>
              </w:rPr>
              <w:t>Revenue growth, CSAT, retention</w:t>
            </w:r>
          </w:p>
        </w:tc>
        <w:tc>
          <w:tcPr>
            <w:tcW w:w="4252" w:type="dxa"/>
          </w:tcPr>
          <w:p w:rsidR="00AE0CC1" w:rsidRDefault="003B1292">
            <w:pPr>
              <w:spacing w:after="20" w:line="264" w:lineRule="auto"/>
            </w:pPr>
            <w:r>
              <w:rPr>
                <w:sz w:val="19"/>
              </w:rPr>
              <w:t>34/33/33 points for &gt; 15%, &gt; 80%, &gt; 85% → Excellent/Good/Needs improvement</w:t>
            </w:r>
          </w:p>
        </w:tc>
      </w:tr>
      <w:tr w:rsidR="00AE0CC1">
        <w:trPr>
          <w:jc w:val="center"/>
        </w:trPr>
        <w:tc>
          <w:tcPr>
            <w:tcW w:w="1587" w:type="dxa"/>
          </w:tcPr>
          <w:p w:rsidR="00AE0CC1" w:rsidRDefault="003B1292">
            <w:pPr>
              <w:spacing w:after="20" w:line="264" w:lineRule="auto"/>
            </w:pPr>
            <w:r>
              <w:rPr>
                <w:sz w:val="19"/>
              </w:rPr>
              <w:t>08 Portfolio</w:t>
            </w:r>
          </w:p>
        </w:tc>
        <w:tc>
          <w:tcPr>
            <w:tcW w:w="2948" w:type="dxa"/>
          </w:tcPr>
          <w:p w:rsidR="00AE0CC1" w:rsidRDefault="003B1292">
            <w:pPr>
              <w:spacing w:after="20" w:line="264" w:lineRule="auto"/>
            </w:pPr>
            <w:r>
              <w:rPr>
                <w:sz w:val="19"/>
              </w:rPr>
              <w:t>Ratios or raw financials per company</w:t>
            </w:r>
          </w:p>
        </w:tc>
        <w:tc>
          <w:tcPr>
            <w:tcW w:w="4252" w:type="dxa"/>
          </w:tcPr>
          <w:p w:rsidR="00AE0CC1" w:rsidRDefault="003B1292">
            <w:pPr>
              <w:spacing w:after="20" w:line="264" w:lineRule="auto"/>
            </w:pPr>
            <w:r>
              <w:rPr>
                <w:sz w:val="19"/>
              </w:rPr>
              <w:t xml:space="preserve">Weighted score (ROE 30, ROA 25, growth 25, margin 20), </w:t>
            </w:r>
            <w:r>
              <w:rPr>
                <w:sz w:val="19"/>
              </w:rPr>
              <w:t>normalised to available data</w:t>
            </w:r>
          </w:p>
        </w:tc>
      </w:tr>
      <w:tr w:rsidR="00AE0CC1">
        <w:trPr>
          <w:jc w:val="center"/>
        </w:trPr>
        <w:tc>
          <w:tcPr>
            <w:tcW w:w="1587" w:type="dxa"/>
          </w:tcPr>
          <w:p w:rsidR="00AE0CC1" w:rsidRDefault="003B1292">
            <w:pPr>
              <w:spacing w:after="20" w:line="264" w:lineRule="auto"/>
            </w:pPr>
            <w:r>
              <w:rPr>
                <w:sz w:val="19"/>
              </w:rPr>
              <w:t>09 Goals</w:t>
            </w:r>
          </w:p>
        </w:tc>
        <w:tc>
          <w:tcPr>
            <w:tcW w:w="2948" w:type="dxa"/>
          </w:tcPr>
          <w:p w:rsidR="00AE0CC1" w:rsidRDefault="003B1292">
            <w:pPr>
              <w:spacing w:after="20" w:line="264" w:lineRule="auto"/>
            </w:pPr>
            <w:r>
              <w:rPr>
                <w:sz w:val="19"/>
              </w:rPr>
              <w:t>Target, years, return, inflation, savings, income</w:t>
            </w:r>
          </w:p>
        </w:tc>
        <w:tc>
          <w:tcPr>
            <w:tcW w:w="4252" w:type="dxa"/>
          </w:tcPr>
          <w:p w:rsidR="00AE0CC1" w:rsidRDefault="003B1292">
            <w:pPr>
              <w:spacing w:after="20" w:line="264" w:lineRule="auto"/>
            </w:pPr>
            <w:r>
              <w:rPr>
                <w:sz w:val="19"/>
              </w:rPr>
              <w:t>FV, monthly SIP, year-wise corpus, affordability vs income</w:t>
            </w:r>
          </w:p>
        </w:tc>
      </w:tr>
      <w:tr w:rsidR="00AE0CC1">
        <w:trPr>
          <w:jc w:val="center"/>
        </w:trPr>
        <w:tc>
          <w:tcPr>
            <w:tcW w:w="1587" w:type="dxa"/>
          </w:tcPr>
          <w:p w:rsidR="00AE0CC1" w:rsidRDefault="003B1292">
            <w:pPr>
              <w:spacing w:after="20" w:line="264" w:lineRule="auto"/>
            </w:pPr>
            <w:r>
              <w:rPr>
                <w:sz w:val="19"/>
              </w:rPr>
              <w:t>12 Planner</w:t>
            </w:r>
          </w:p>
        </w:tc>
        <w:tc>
          <w:tcPr>
            <w:tcW w:w="2948" w:type="dxa"/>
          </w:tcPr>
          <w:p w:rsidR="00AE0CC1" w:rsidRDefault="003B1292">
            <w:pPr>
              <w:spacing w:after="20" w:line="264" w:lineRule="auto"/>
            </w:pPr>
            <w:r>
              <w:rPr>
                <w:sz w:val="19"/>
              </w:rPr>
              <w:t>Amount, prices, days; entry, target %, stop %</w:t>
            </w:r>
          </w:p>
        </w:tc>
        <w:tc>
          <w:tcPr>
            <w:tcW w:w="4252" w:type="dxa"/>
          </w:tcPr>
          <w:p w:rsidR="00AE0CC1" w:rsidRDefault="003B1292">
            <w:pPr>
              <w:spacing w:after="20" w:line="264" w:lineRule="auto"/>
            </w:pPr>
            <w:r>
              <w:rPr>
                <w:sz w:val="19"/>
              </w:rPr>
              <w:t>Value, gain, CAGR; target/stop prices and risk–rew</w:t>
            </w:r>
            <w:r>
              <w:rPr>
                <w:sz w:val="19"/>
              </w:rPr>
              <w:t>ard ratio</w:t>
            </w:r>
          </w:p>
        </w:tc>
      </w:tr>
      <w:tr w:rsidR="00AE0CC1">
        <w:trPr>
          <w:jc w:val="center"/>
        </w:trPr>
        <w:tc>
          <w:tcPr>
            <w:tcW w:w="1587" w:type="dxa"/>
          </w:tcPr>
          <w:p w:rsidR="00AE0CC1" w:rsidRDefault="003B1292">
            <w:pPr>
              <w:spacing w:after="20" w:line="264" w:lineRule="auto"/>
            </w:pPr>
            <w:r>
              <w:rPr>
                <w:sz w:val="19"/>
              </w:rPr>
              <w:t>13 Tax tools</w:t>
            </w:r>
          </w:p>
        </w:tc>
        <w:tc>
          <w:tcPr>
            <w:tcW w:w="2948" w:type="dxa"/>
          </w:tcPr>
          <w:p w:rsidR="00AE0CC1" w:rsidRDefault="003B1292">
            <w:pPr>
              <w:spacing w:after="20" w:line="264" w:lineRule="auto"/>
            </w:pPr>
            <w:r>
              <w:rPr>
                <w:sz w:val="19"/>
              </w:rPr>
              <w:t>Prices, dates, quantity; monthly prices</w:t>
            </w:r>
          </w:p>
        </w:tc>
        <w:tc>
          <w:tcPr>
            <w:tcW w:w="4252" w:type="dxa"/>
          </w:tcPr>
          <w:p w:rsidR="00AE0CC1" w:rsidRDefault="003B1292">
            <w:pPr>
              <w:spacing w:after="20" w:line="264" w:lineRule="auto"/>
            </w:pPr>
            <w:r>
              <w:rPr>
                <w:sz w:val="19"/>
              </w:rPr>
              <w:t>STCG/LTCG with cess; SIP vs lump sum; 52-week position</w:t>
            </w:r>
          </w:p>
        </w:tc>
      </w:tr>
    </w:tbl>
    <w:p w:rsidR="00AE0CC1" w:rsidRDefault="00AE0CC1">
      <w:pPr>
        <w:spacing w:after="40"/>
      </w:pPr>
    </w:p>
    <w:p w:rsidR="00AE0CC1" w:rsidRDefault="003B1292">
      <w:pPr>
        <w:pStyle w:val="Heading3"/>
      </w:pPr>
      <w:r>
        <w:lastRenderedPageBreak/>
        <w:t>4.2.1 Credit Score and Customer Risk</w:t>
      </w:r>
    </w:p>
    <w:p w:rsidR="00AE0CC1" w:rsidRDefault="003B1292">
      <w:pPr>
        <w:jc w:val="both"/>
      </w:pPr>
      <w:r>
        <w:t>Scores below 550 are “Very High Risk”, 550–649 “High”, 650–749 “Medium”, 750–799 “Low” and 800+ “V</w:t>
      </w:r>
      <w:r>
        <w:t>ery Low”. When both income and EMI are supplied and EMI exceeds 40% of income, the band moves one step riskier and the explanation states this explicitly (Figure 4.1).</w:t>
      </w:r>
    </w:p>
    <w:p w:rsidR="00AE0CC1" w:rsidRDefault="003B1292">
      <w:pPr>
        <w:keepNext/>
        <w:spacing w:after="40"/>
        <w:jc w:val="center"/>
      </w:pPr>
      <w:r>
        <w:rPr>
          <w:noProof/>
          <w:lang w:val="en-IN" w:eastAsia="en-IN"/>
        </w:rPr>
        <w:drawing>
          <wp:inline distT="0" distB="0" distL="0" distR="0">
            <wp:extent cx="5220000" cy="27694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redit.png"/>
                    <pic:cNvPicPr/>
                  </pic:nvPicPr>
                  <pic:blipFill>
                    <a:blip r:embed="rId11"/>
                    <a:stretch>
                      <a:fillRect/>
                    </a:stretch>
                  </pic:blipFill>
                  <pic:spPr>
                    <a:xfrm>
                      <a:off x="0" y="0"/>
                      <a:ext cx="5220000" cy="2769413"/>
                    </a:xfrm>
                    <a:prstGeom prst="rect">
                      <a:avLst/>
                    </a:prstGeom>
                  </pic:spPr>
                </pic:pic>
              </a:graphicData>
            </a:graphic>
          </wp:inline>
        </w:drawing>
      </w:r>
    </w:p>
    <w:p w:rsidR="00AE0CC1" w:rsidRDefault="003B1292">
      <w:pPr>
        <w:pStyle w:val="Caption"/>
        <w:jc w:val="center"/>
      </w:pPr>
      <w:r>
        <w:t>Figure 4.1: Credit score lookup and customer risk assessment</w:t>
      </w:r>
    </w:p>
    <w:p w:rsidR="00AE0CC1" w:rsidRDefault="003B1292">
      <w:pPr>
        <w:pStyle w:val="Heading3"/>
      </w:pPr>
      <w:r>
        <w:t>4.2.2 Portfolio Screener</w:t>
      </w:r>
    </w:p>
    <w:p w:rsidR="00AE0CC1" w:rsidRDefault="003B1292">
      <w:pPr>
        <w:jc w:val="both"/>
      </w:pPr>
      <w:r>
        <w:t>The screener accepts either ratios or raw financial statement values for each company; missing ratios are derived (e.g. ROE from net income and equity). Only criteria with data contribute to the denominator, so a company is not penalised for a missing fiel</w:t>
      </w:r>
      <w:r>
        <w:t>d. Scores ≥ 75 map to BUY/low risk, ≥ 50 to HOLD/medium risk and below that to SELL/high risk (Figure 4.2).</w:t>
      </w:r>
    </w:p>
    <w:p w:rsidR="00AE0CC1" w:rsidRDefault="003B1292">
      <w:pPr>
        <w:keepNext/>
        <w:spacing w:after="40"/>
        <w:jc w:val="center"/>
      </w:pPr>
      <w:r>
        <w:rPr>
          <w:noProof/>
          <w:lang w:val="en-IN" w:eastAsia="en-IN"/>
        </w:rPr>
        <w:lastRenderedPageBreak/>
        <w:drawing>
          <wp:inline distT="0" distB="0" distL="0" distR="0">
            <wp:extent cx="5220000" cy="3860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ashboard.png"/>
                    <pic:cNvPicPr/>
                  </pic:nvPicPr>
                  <pic:blipFill>
                    <a:blip r:embed="rId12"/>
                    <a:stretch>
                      <a:fillRect/>
                    </a:stretch>
                  </pic:blipFill>
                  <pic:spPr>
                    <a:xfrm>
                      <a:off x="0" y="0"/>
                      <a:ext cx="5220000" cy="3860299"/>
                    </a:xfrm>
                    <a:prstGeom prst="rect">
                      <a:avLst/>
                    </a:prstGeom>
                  </pic:spPr>
                </pic:pic>
              </a:graphicData>
            </a:graphic>
          </wp:inline>
        </w:drawing>
      </w:r>
    </w:p>
    <w:p w:rsidR="00AE0CC1" w:rsidRDefault="003B1292">
      <w:pPr>
        <w:pStyle w:val="Caption"/>
        <w:jc w:val="center"/>
      </w:pPr>
      <w:r>
        <w:t>Figure 4.2: Multi-company portfolio screener with per-company detail</w:t>
      </w:r>
    </w:p>
    <w:p w:rsidR="00AE0CC1" w:rsidRDefault="003B1292">
      <w:pPr>
        <w:pStyle w:val="Heading3"/>
      </w:pPr>
      <w:r>
        <w:t>4.2.3 Goal Planner</w:t>
      </w:r>
    </w:p>
    <w:p w:rsidR="00AE0CC1" w:rsidRDefault="003B1292">
      <w:pPr>
        <w:jc w:val="both"/>
      </w:pPr>
      <w:r>
        <w:t>The planner applies the formulas of Section 2.3 and produc</w:t>
      </w:r>
      <w:r>
        <w:t>es a year-by-year projection of the corpus against the inflation-adjusted target. For a ₹50 lakh goal in 15 years with ₹2 lakh saved, 12% expected return and 6% inflation, the target grows to about ₹1.20 crore and the required SIP is about ₹21,579 per mont</w:t>
      </w:r>
      <w:r>
        <w:t>h — 27% of an ₹80,000 monthly income, which the insight flags as manageable (Figure 4.3).</w:t>
      </w:r>
    </w:p>
    <w:p w:rsidR="00AE0CC1" w:rsidRDefault="003B1292">
      <w:pPr>
        <w:keepNext/>
        <w:spacing w:after="40"/>
        <w:jc w:val="center"/>
      </w:pPr>
      <w:r>
        <w:rPr>
          <w:noProof/>
          <w:lang w:val="en-IN" w:eastAsia="en-IN"/>
        </w:rPr>
        <w:lastRenderedPageBreak/>
        <w:drawing>
          <wp:inline distT="0" distB="0" distL="0" distR="0">
            <wp:extent cx="5220000" cy="3860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goals.png"/>
                    <pic:cNvPicPr/>
                  </pic:nvPicPr>
                  <pic:blipFill>
                    <a:blip r:embed="rId13"/>
                    <a:stretch>
                      <a:fillRect/>
                    </a:stretch>
                  </pic:blipFill>
                  <pic:spPr>
                    <a:xfrm>
                      <a:off x="0" y="0"/>
                      <a:ext cx="5220000" cy="3860299"/>
                    </a:xfrm>
                    <a:prstGeom prst="rect">
                      <a:avLst/>
                    </a:prstGeom>
                  </pic:spPr>
                </pic:pic>
              </a:graphicData>
            </a:graphic>
          </wp:inline>
        </w:drawing>
      </w:r>
    </w:p>
    <w:p w:rsidR="00AE0CC1" w:rsidRDefault="003B1292">
      <w:pPr>
        <w:pStyle w:val="Caption"/>
        <w:jc w:val="center"/>
      </w:pPr>
      <w:r>
        <w:t>Figure 4.3: Goal planner: required SIP and projected corpus versus inflation-adjusted target</w:t>
      </w:r>
    </w:p>
    <w:p w:rsidR="00AE0CC1" w:rsidRDefault="003B1292">
      <w:pPr>
        <w:pStyle w:val="Heading3"/>
      </w:pPr>
      <w:r>
        <w:t>4.2.4 Capital Gains Tax and Related Tools</w:t>
      </w:r>
    </w:p>
    <w:p w:rsidR="00AE0CC1" w:rsidRDefault="003B1292">
      <w:pPr>
        <w:jc w:val="both"/>
      </w:pPr>
      <w:r>
        <w:t>The tax estimator computes th</w:t>
      </w:r>
      <w:r>
        <w:t>e holding period, classifies the gain as STCG (≤ 365 days, 20%) or LTCG (12.5% above the remaining ₹1.25 lakh exemption, after accounting for other LTCG in the year), adds 4% cess and reports net proceeds. The same tab offers a SIP-versus-lump-sum comparis</w:t>
      </w:r>
      <w:r>
        <w:t>on and a 52-week range check.</w:t>
      </w:r>
    </w:p>
    <w:p w:rsidR="00AE0CC1" w:rsidRDefault="003B1292">
      <w:pPr>
        <w:keepNext/>
        <w:spacing w:after="40"/>
        <w:jc w:val="center"/>
      </w:pPr>
      <w:r>
        <w:rPr>
          <w:noProof/>
          <w:lang w:val="en-IN" w:eastAsia="en-IN"/>
        </w:rPr>
        <w:lastRenderedPageBreak/>
        <w:drawing>
          <wp:inline distT="0" distB="0" distL="0" distR="0">
            <wp:extent cx="5220000" cy="45604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ax.png"/>
                    <pic:cNvPicPr/>
                  </pic:nvPicPr>
                  <pic:blipFill>
                    <a:blip r:embed="rId14"/>
                    <a:stretch>
                      <a:fillRect/>
                    </a:stretch>
                  </pic:blipFill>
                  <pic:spPr>
                    <a:xfrm>
                      <a:off x="0" y="0"/>
                      <a:ext cx="5220000" cy="4560467"/>
                    </a:xfrm>
                    <a:prstGeom prst="rect">
                      <a:avLst/>
                    </a:prstGeom>
                  </pic:spPr>
                </pic:pic>
              </a:graphicData>
            </a:graphic>
          </wp:inline>
        </w:drawing>
      </w:r>
    </w:p>
    <w:p w:rsidR="00AE0CC1" w:rsidRDefault="003B1292">
      <w:pPr>
        <w:pStyle w:val="Caption"/>
        <w:jc w:val="center"/>
      </w:pPr>
      <w:r>
        <w:t>Figure 4.4: Portfolio and tax tools</w:t>
      </w:r>
    </w:p>
    <w:p w:rsidR="00AE0CC1" w:rsidRDefault="003B1292">
      <w:pPr>
        <w:pStyle w:val="Heading2"/>
      </w:pPr>
      <w:bookmarkStart w:id="30" w:name="_Toc241845029"/>
      <w:r>
        <w:t>4.3 Live Market-Data Layer</w:t>
      </w:r>
      <w:bookmarkEnd w:id="30"/>
    </w:p>
    <w:p w:rsidR="00AE0CC1" w:rsidRDefault="003B1292">
      <w:pPr>
        <w:jc w:val="both"/>
      </w:pPr>
      <w:r>
        <w:t>The market layer (</w:t>
      </w:r>
      <w:r>
        <w:rPr>
          <w:rFonts w:ascii="Consolas" w:hAnsi="Consolas"/>
          <w:sz w:val="21"/>
        </w:rPr>
        <w:t>app/market.py</w:t>
      </w:r>
      <w:r>
        <w:t>) is the most engineering-intensive part of the project. Its design goals were: support every listed instrument, accept whatever t</w:t>
      </w:r>
      <w:r>
        <w:t>he user types, never require a key, and stay fast and reliable despite depending on free upstream services.</w:t>
      </w:r>
    </w:p>
    <w:p w:rsidR="00AE0CC1" w:rsidRDefault="003B1292">
      <w:pPr>
        <w:pStyle w:val="Heading3"/>
      </w:pPr>
      <w:r>
        <w:t>4.3.1 Company Search</w:t>
      </w:r>
    </w:p>
    <w:p w:rsidR="00AE0CC1" w:rsidRDefault="003B1292">
      <w:pPr>
        <w:jc w:val="both"/>
      </w:pPr>
      <w:r>
        <w:rPr>
          <w:rFonts w:ascii="Consolas" w:hAnsi="Consolas"/>
          <w:sz w:val="21"/>
        </w:rPr>
        <w:t>GET /market/search</w:t>
      </w:r>
      <w:r>
        <w:t xml:space="preserve"> queries Yahoo Finance’s search through yfinance, keeps equities, ETFs, indices and mutual funds, and re-rank</w:t>
      </w:r>
      <w:r>
        <w:t>s results so NSE listings appear first, then BSE, then other exchanges, with block-deal series last — while otherwise preserving Yahoo’s relevance order. Searching “tata motors”, “samsung” or “nifty” therefore returns TMCV.NS, 005930.KS and ^NSEI respectiv</w:t>
      </w:r>
      <w:r>
        <w:t>ely as top results.</w:t>
      </w:r>
    </w:p>
    <w:p w:rsidR="00AE0CC1" w:rsidRDefault="003B1292">
      <w:pPr>
        <w:pStyle w:val="Heading3"/>
      </w:pPr>
      <w:r>
        <w:lastRenderedPageBreak/>
        <w:t>4.3.2 Symbol Resolution</w:t>
      </w:r>
    </w:p>
    <w:p w:rsidR="00AE0CC1" w:rsidRDefault="003B1292">
      <w:pPr>
        <w:jc w:val="both"/>
      </w:pPr>
      <w:r>
        <w:t>Users may type a company name, a bare ticker or a full symbol. The resolver yields candidates in order: input that looks like a name (contains spaces or lower-case letters) is searched first; ticker-like input is</w:t>
      </w:r>
      <w:r>
        <w:t xml:space="preserve"> tried directly, then with </w:t>
      </w:r>
      <w:r>
        <w:rPr>
          <w:rFonts w:ascii="Consolas" w:hAnsi="Consolas"/>
          <w:sz w:val="21"/>
        </w:rPr>
        <w:t>.NS</w:t>
      </w:r>
      <w:r>
        <w:t xml:space="preserve"> and </w:t>
      </w:r>
      <w:r>
        <w:rPr>
          <w:rFonts w:ascii="Consolas" w:hAnsi="Consolas"/>
          <w:sz w:val="21"/>
        </w:rPr>
        <w:t>.BO</w:t>
      </w:r>
      <w:r>
        <w:t xml:space="preserve"> suffixes, with search as the last resort. Legacy symbols such as </w:t>
      </w:r>
      <w:r>
        <w:rPr>
          <w:rFonts w:ascii="Consolas" w:hAnsi="Consolas"/>
          <w:sz w:val="21"/>
        </w:rPr>
        <w:t>RELIANCE.BSE</w:t>
      </w:r>
      <w:r>
        <w:t xml:space="preserve"> from the earlier Alpha Vantage version are mapped to their NSE equivalents. A wrong guess fails after a single daily-history request, keepi</w:t>
      </w:r>
      <w:r>
        <w:t>ng invalid look-ups fast.</w:t>
      </w:r>
    </w:p>
    <w:p w:rsidR="00AE0CC1" w:rsidRDefault="003B1292">
      <w:pPr>
        <w:pStyle w:val="Heading3"/>
      </w:pPr>
      <w:r>
        <w:t>4.3.3 Quotes and History</w:t>
      </w:r>
    </w:p>
    <w:p w:rsidR="00AE0CC1" w:rsidRDefault="003B1292">
      <w:pPr>
        <w:jc w:val="both"/>
      </w:pPr>
      <w:r>
        <w:t>A quote combines one month of daily bars (which establish the previous close and confirm the symbol exists) with the last five days of one-minute bars, restricted to the latest session. This gives the last</w:t>
      </w:r>
      <w:r>
        <w:t xml:space="preserve"> traded price, day open/high/low, volume and the exact time of the last trade, and works correctly on weekends and exchange holidays — during development, 2 October 2026 was an NSE holiday and the quote correctly showed the 1 October session. The currency </w:t>
      </w:r>
      <w:r>
        <w:t>is read from the response metadata so that prices are labelled ₹, $, KRW, etc.</w:t>
      </w:r>
    </w:p>
    <w:p w:rsidR="00AE0CC1" w:rsidRDefault="003B1292">
      <w:pPr>
        <w:pStyle w:val="Heading3"/>
      </w:pPr>
      <w:r>
        <w:t>4.3.4 Caching and Fault Tolerance</w:t>
      </w:r>
    </w:p>
    <w:p w:rsidR="00AE0CC1" w:rsidRDefault="003B1292">
      <w:pPr>
        <w:pStyle w:val="Caption"/>
        <w:keepNext/>
        <w:jc w:val="center"/>
      </w:pPr>
      <w:r>
        <w:t>Table 4.2: In-memory TTL cache configuration</w:t>
      </w:r>
    </w:p>
    <w:tbl>
      <w:tblPr>
        <w:tblStyle w:val="TableGrid"/>
        <w:tblW w:w="0" w:type="auto"/>
        <w:jc w:val="center"/>
        <w:tblLook w:val="04A0" w:firstRow="1" w:lastRow="0" w:firstColumn="1" w:lastColumn="0" w:noHBand="0" w:noVBand="1"/>
      </w:tblPr>
      <w:tblGrid>
        <w:gridCol w:w="1984"/>
        <w:gridCol w:w="1814"/>
        <w:gridCol w:w="4989"/>
      </w:tblGrid>
      <w:tr w:rsidR="00AE0CC1">
        <w:trPr>
          <w:jc w:val="center"/>
        </w:trPr>
        <w:tc>
          <w:tcPr>
            <w:tcW w:w="1984" w:type="dxa"/>
            <w:shd w:val="clear" w:color="auto" w:fill="13224A"/>
          </w:tcPr>
          <w:p w:rsidR="00AE0CC1" w:rsidRDefault="003B1292">
            <w:pPr>
              <w:spacing w:after="20" w:line="264" w:lineRule="auto"/>
            </w:pPr>
            <w:r>
              <w:rPr>
                <w:b/>
                <w:color w:val="FFFFFF"/>
                <w:sz w:val="20"/>
              </w:rPr>
              <w:t>Data</w:t>
            </w:r>
          </w:p>
        </w:tc>
        <w:tc>
          <w:tcPr>
            <w:tcW w:w="1814" w:type="dxa"/>
            <w:shd w:val="clear" w:color="auto" w:fill="13224A"/>
          </w:tcPr>
          <w:p w:rsidR="00AE0CC1" w:rsidRDefault="003B1292">
            <w:pPr>
              <w:spacing w:after="20" w:line="264" w:lineRule="auto"/>
            </w:pPr>
            <w:r>
              <w:rPr>
                <w:b/>
                <w:color w:val="FFFFFF"/>
                <w:sz w:val="20"/>
              </w:rPr>
              <w:t>Cache lifetime</w:t>
            </w:r>
          </w:p>
        </w:tc>
        <w:tc>
          <w:tcPr>
            <w:tcW w:w="4989" w:type="dxa"/>
            <w:shd w:val="clear" w:color="auto" w:fill="13224A"/>
          </w:tcPr>
          <w:p w:rsidR="00AE0CC1" w:rsidRDefault="003B1292">
            <w:pPr>
              <w:spacing w:after="20" w:line="264" w:lineRule="auto"/>
            </w:pPr>
            <w:r>
              <w:rPr>
                <w:b/>
                <w:color w:val="FFFFFF"/>
                <w:sz w:val="20"/>
              </w:rPr>
              <w:t>Rationale</w:t>
            </w:r>
          </w:p>
        </w:tc>
      </w:tr>
      <w:tr w:rsidR="00AE0CC1">
        <w:trPr>
          <w:jc w:val="center"/>
        </w:trPr>
        <w:tc>
          <w:tcPr>
            <w:tcW w:w="1984" w:type="dxa"/>
          </w:tcPr>
          <w:p w:rsidR="00AE0CC1" w:rsidRDefault="003B1292">
            <w:pPr>
              <w:spacing w:after="20" w:line="264" w:lineRule="auto"/>
            </w:pPr>
            <w:r>
              <w:rPr>
                <w:sz w:val="20"/>
              </w:rPr>
              <w:t>Quote</w:t>
            </w:r>
          </w:p>
        </w:tc>
        <w:tc>
          <w:tcPr>
            <w:tcW w:w="1814" w:type="dxa"/>
          </w:tcPr>
          <w:p w:rsidR="00AE0CC1" w:rsidRDefault="003B1292">
            <w:pPr>
              <w:spacing w:after="20" w:line="264" w:lineRule="auto"/>
            </w:pPr>
            <w:r>
              <w:rPr>
                <w:sz w:val="20"/>
              </w:rPr>
              <w:t>30 seconds</w:t>
            </w:r>
          </w:p>
        </w:tc>
        <w:tc>
          <w:tcPr>
            <w:tcW w:w="4989" w:type="dxa"/>
          </w:tcPr>
          <w:p w:rsidR="00AE0CC1" w:rsidRDefault="003B1292">
            <w:pPr>
              <w:spacing w:after="20" w:line="264" w:lineRule="auto"/>
            </w:pPr>
            <w:r>
              <w:rPr>
                <w:sz w:val="20"/>
              </w:rPr>
              <w:t xml:space="preserve">Matches the auto-refresh interval; absorbs </w:t>
            </w:r>
            <w:r>
              <w:rPr>
                <w:sz w:val="20"/>
              </w:rPr>
              <w:t>watchlist bursts</w:t>
            </w:r>
          </w:p>
        </w:tc>
      </w:tr>
      <w:tr w:rsidR="00AE0CC1">
        <w:trPr>
          <w:jc w:val="center"/>
        </w:trPr>
        <w:tc>
          <w:tcPr>
            <w:tcW w:w="1984" w:type="dxa"/>
          </w:tcPr>
          <w:p w:rsidR="00AE0CC1" w:rsidRDefault="003B1292">
            <w:pPr>
              <w:spacing w:after="20" w:line="264" w:lineRule="auto"/>
            </w:pPr>
            <w:r>
              <w:rPr>
                <w:sz w:val="20"/>
              </w:rPr>
              <w:t>Daily history</w:t>
            </w:r>
          </w:p>
        </w:tc>
        <w:tc>
          <w:tcPr>
            <w:tcW w:w="1814" w:type="dxa"/>
          </w:tcPr>
          <w:p w:rsidR="00AE0CC1" w:rsidRDefault="003B1292">
            <w:pPr>
              <w:spacing w:after="20" w:line="264" w:lineRule="auto"/>
            </w:pPr>
            <w:r>
              <w:rPr>
                <w:sz w:val="20"/>
              </w:rPr>
              <w:t>10 minutes</w:t>
            </w:r>
          </w:p>
        </w:tc>
        <w:tc>
          <w:tcPr>
            <w:tcW w:w="4989" w:type="dxa"/>
          </w:tcPr>
          <w:p w:rsidR="00AE0CC1" w:rsidRDefault="003B1292">
            <w:pPr>
              <w:spacing w:after="20" w:line="264" w:lineRule="auto"/>
            </w:pPr>
            <w:r>
              <w:rPr>
                <w:sz w:val="20"/>
              </w:rPr>
              <w:t>Changes at most once per session</w:t>
            </w:r>
          </w:p>
        </w:tc>
      </w:tr>
      <w:tr w:rsidR="00AE0CC1">
        <w:trPr>
          <w:jc w:val="center"/>
        </w:trPr>
        <w:tc>
          <w:tcPr>
            <w:tcW w:w="1984" w:type="dxa"/>
          </w:tcPr>
          <w:p w:rsidR="00AE0CC1" w:rsidRDefault="003B1292">
            <w:pPr>
              <w:spacing w:after="20" w:line="264" w:lineRule="auto"/>
            </w:pPr>
            <w:r>
              <w:rPr>
                <w:sz w:val="20"/>
              </w:rPr>
              <w:t>News</w:t>
            </w:r>
          </w:p>
        </w:tc>
        <w:tc>
          <w:tcPr>
            <w:tcW w:w="1814" w:type="dxa"/>
          </w:tcPr>
          <w:p w:rsidR="00AE0CC1" w:rsidRDefault="003B1292">
            <w:pPr>
              <w:spacing w:after="20" w:line="264" w:lineRule="auto"/>
            </w:pPr>
            <w:r>
              <w:rPr>
                <w:sz w:val="20"/>
              </w:rPr>
              <w:t>5 minutes</w:t>
            </w:r>
          </w:p>
        </w:tc>
        <w:tc>
          <w:tcPr>
            <w:tcW w:w="4989" w:type="dxa"/>
          </w:tcPr>
          <w:p w:rsidR="00AE0CC1" w:rsidRDefault="003B1292">
            <w:pPr>
              <w:spacing w:after="20" w:line="264" w:lineRule="auto"/>
            </w:pPr>
            <w:r>
              <w:rPr>
                <w:sz w:val="20"/>
              </w:rPr>
              <w:t>Headlines change slowly; avoids hammering the RSS feed</w:t>
            </w:r>
          </w:p>
        </w:tc>
      </w:tr>
      <w:tr w:rsidR="00AE0CC1">
        <w:trPr>
          <w:jc w:val="center"/>
        </w:trPr>
        <w:tc>
          <w:tcPr>
            <w:tcW w:w="1984" w:type="dxa"/>
          </w:tcPr>
          <w:p w:rsidR="00AE0CC1" w:rsidRDefault="003B1292">
            <w:pPr>
              <w:spacing w:after="20" w:line="264" w:lineRule="auto"/>
            </w:pPr>
            <w:r>
              <w:rPr>
                <w:sz w:val="20"/>
              </w:rPr>
              <w:t>Search results</w:t>
            </w:r>
          </w:p>
        </w:tc>
        <w:tc>
          <w:tcPr>
            <w:tcW w:w="1814" w:type="dxa"/>
          </w:tcPr>
          <w:p w:rsidR="00AE0CC1" w:rsidRDefault="003B1292">
            <w:pPr>
              <w:spacing w:after="20" w:line="264" w:lineRule="auto"/>
            </w:pPr>
            <w:r>
              <w:rPr>
                <w:sz w:val="20"/>
              </w:rPr>
              <w:t>1 hour</w:t>
            </w:r>
          </w:p>
        </w:tc>
        <w:tc>
          <w:tcPr>
            <w:tcW w:w="4989" w:type="dxa"/>
          </w:tcPr>
          <w:p w:rsidR="00AE0CC1" w:rsidRDefault="003B1292">
            <w:pPr>
              <w:spacing w:after="20" w:line="264" w:lineRule="auto"/>
            </w:pPr>
            <w:r>
              <w:rPr>
                <w:sz w:val="20"/>
              </w:rPr>
              <w:t>Listings rarely change</w:t>
            </w:r>
          </w:p>
        </w:tc>
      </w:tr>
      <w:tr w:rsidR="00AE0CC1">
        <w:trPr>
          <w:jc w:val="center"/>
        </w:trPr>
        <w:tc>
          <w:tcPr>
            <w:tcW w:w="1984" w:type="dxa"/>
          </w:tcPr>
          <w:p w:rsidR="00AE0CC1" w:rsidRDefault="003B1292">
            <w:pPr>
              <w:spacing w:after="20" w:line="264" w:lineRule="auto"/>
            </w:pPr>
            <w:r>
              <w:rPr>
                <w:sz w:val="20"/>
              </w:rPr>
              <w:t>Company names</w:t>
            </w:r>
          </w:p>
        </w:tc>
        <w:tc>
          <w:tcPr>
            <w:tcW w:w="1814" w:type="dxa"/>
          </w:tcPr>
          <w:p w:rsidR="00AE0CC1" w:rsidRDefault="003B1292">
            <w:pPr>
              <w:spacing w:after="20" w:line="264" w:lineRule="auto"/>
            </w:pPr>
            <w:r>
              <w:rPr>
                <w:sz w:val="20"/>
              </w:rPr>
              <w:t>24 hours</w:t>
            </w:r>
          </w:p>
        </w:tc>
        <w:tc>
          <w:tcPr>
            <w:tcW w:w="4989" w:type="dxa"/>
          </w:tcPr>
          <w:p w:rsidR="00AE0CC1" w:rsidRDefault="003B1292">
            <w:pPr>
              <w:spacing w:after="20" w:line="264" w:lineRule="auto"/>
            </w:pPr>
            <w:r>
              <w:rPr>
                <w:sz w:val="20"/>
              </w:rPr>
              <w:t>Static reference data</w:t>
            </w:r>
          </w:p>
        </w:tc>
      </w:tr>
    </w:tbl>
    <w:p w:rsidR="00AE0CC1" w:rsidRDefault="00AE0CC1">
      <w:pPr>
        <w:spacing w:after="40"/>
      </w:pPr>
    </w:p>
    <w:p w:rsidR="00AE0CC1" w:rsidRDefault="003B1292">
      <w:pPr>
        <w:jc w:val="both"/>
      </w:pPr>
      <w:r>
        <w:t xml:space="preserve">If a live call </w:t>
      </w:r>
      <w:r>
        <w:t>fails, the last good value is served instead of an error. Google News occasionally returns a transient 404 for valid queries, so requests are retried up to three times with back-off.</w:t>
      </w:r>
    </w:p>
    <w:p w:rsidR="00AE0CC1" w:rsidRDefault="003B1292">
      <w:pPr>
        <w:pStyle w:val="Heading3"/>
      </w:pPr>
      <w:r>
        <w:t>4.3.5 Relevant News</w:t>
      </w:r>
    </w:p>
    <w:p w:rsidR="00AE0CC1" w:rsidRDefault="003B1292">
      <w:pPr>
        <w:jc w:val="both"/>
      </w:pPr>
      <w:r>
        <w:t>A naive full-text search for a company sorted by date</w:t>
      </w:r>
      <w:r>
        <w:t xml:space="preserve"> surfaced pages that merely mention the company — index pages, rich lists, other companies’ quote pages. The final algorithm (i) converts a ticker into keywords: the company’s legal name without suffixes plus, where it differs, the ticker as a brand alias </w:t>
      </w:r>
      <w:r>
        <w:t xml:space="preserve">(Avenue Supermarts + DMart, Tata Consultancy Services + TCS); (ii) searches headlines with </w:t>
      </w:r>
      <w:r>
        <w:rPr>
          <w:rFonts w:ascii="Consolas" w:hAnsi="Consolas"/>
          <w:sz w:val="21"/>
        </w:rPr>
        <w:t>intitle:</w:t>
      </w:r>
      <w:r>
        <w:t xml:space="preserve"> operators over the last seven days; </w:t>
      </w:r>
      <w:r>
        <w:lastRenderedPageBreak/>
        <w:t>(iii) keeps only headlines that contain a keyword; (iv) tops up from a looser search if fewer than ten remain; and (v) r</w:t>
      </w:r>
      <w:r>
        <w:t>emoves syndicated duplicates. After this change, all ten DMart headlines in testing named the company, compared with only about half before.</w:t>
      </w:r>
    </w:p>
    <w:p w:rsidR="00AE0CC1" w:rsidRDefault="003B1292">
      <w:pPr>
        <w:pStyle w:val="Heading2"/>
      </w:pPr>
      <w:bookmarkStart w:id="31" w:name="_Toc241845030"/>
      <w:r>
        <w:t>4.4 Frontend</w:t>
      </w:r>
      <w:bookmarkEnd w:id="31"/>
    </w:p>
    <w:p w:rsidR="00AE0CC1" w:rsidRDefault="003B1292">
      <w:pPr>
        <w:jc w:val="both"/>
      </w:pPr>
      <w:r>
        <w:t xml:space="preserve">The interface is a single page with sixteen tabs. A small </w:t>
      </w:r>
      <w:r>
        <w:rPr>
          <w:rFonts w:ascii="Consolas" w:hAnsi="Consolas"/>
          <w:sz w:val="21"/>
        </w:rPr>
        <w:t>api()</w:t>
      </w:r>
      <w:r>
        <w:t xml:space="preserve"> helper wraps </w:t>
      </w:r>
      <w:r>
        <w:rPr>
          <w:rFonts w:ascii="Consolas" w:hAnsi="Consolas"/>
          <w:sz w:val="21"/>
        </w:rPr>
        <w:t>fetch</w:t>
      </w:r>
      <w:r>
        <w:t xml:space="preserve"> and surfaces server</w:t>
      </w:r>
      <w:r>
        <w:t xml:space="preserve"> error messages. Notable components are described below.</w:t>
      </w:r>
    </w:p>
    <w:p w:rsidR="00AE0CC1" w:rsidRDefault="003B1292">
      <w:pPr>
        <w:pStyle w:val="Heading3"/>
      </w:pPr>
      <w:r>
        <w:t>4.4.1 Company Picker</w:t>
      </w:r>
    </w:p>
    <w:p w:rsidR="00AE0CC1" w:rsidRDefault="003B1292">
      <w:pPr>
        <w:jc w:val="both"/>
      </w:pPr>
      <w:r>
        <w:t>The company selector behaves like a dropdown with an embedded search box (Figure 4.5). Closed, it shows the selected company’s name and ticker. Opened, it lists 77 curated instru</w:t>
      </w:r>
      <w:r>
        <w:t xml:space="preserve">ments grouped as Indices, India (NSE) and US &amp; Global; typing filters these instantly and appends live “All markets” results from </w:t>
      </w:r>
      <w:r>
        <w:rPr>
          <w:rFonts w:ascii="Consolas" w:hAnsi="Consolas"/>
          <w:sz w:val="21"/>
        </w:rPr>
        <w:t>/market/search</w:t>
      </w:r>
      <w:r>
        <w:t xml:space="preserve"> after a 250 ms debounce. Keyboard navigation (↑ ↓ Enter Esc) and click-outside are supported, and the same comp</w:t>
      </w:r>
      <w:r>
        <w:t>onent is reused in the watchlist.</w:t>
      </w:r>
    </w:p>
    <w:p w:rsidR="00AE0CC1" w:rsidRDefault="003B1292">
      <w:pPr>
        <w:keepNext/>
        <w:spacing w:after="40"/>
        <w:jc w:val="center"/>
      </w:pPr>
      <w:r>
        <w:rPr>
          <w:noProof/>
          <w:lang w:val="en-IN" w:eastAsia="en-IN"/>
        </w:rPr>
        <w:drawing>
          <wp:inline distT="0" distB="0" distL="0" distR="0">
            <wp:extent cx="5220000" cy="2860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picker.png"/>
                    <pic:cNvPicPr/>
                  </pic:nvPicPr>
                  <pic:blipFill>
                    <a:blip r:embed="rId15"/>
                    <a:stretch>
                      <a:fillRect/>
                    </a:stretch>
                  </pic:blipFill>
                  <pic:spPr>
                    <a:xfrm>
                      <a:off x="0" y="0"/>
                      <a:ext cx="5220000" cy="2860060"/>
                    </a:xfrm>
                    <a:prstGeom prst="rect">
                      <a:avLst/>
                    </a:prstGeom>
                  </pic:spPr>
                </pic:pic>
              </a:graphicData>
            </a:graphic>
          </wp:inline>
        </w:drawing>
      </w:r>
    </w:p>
    <w:p w:rsidR="00AE0CC1" w:rsidRDefault="003B1292">
      <w:pPr>
        <w:pStyle w:val="Caption"/>
        <w:jc w:val="center"/>
      </w:pPr>
      <w:r>
        <w:t>Figure 4.5: Company picker: dropdown with built-in search across all markets</w:t>
      </w:r>
    </w:p>
    <w:p w:rsidR="00AE0CC1" w:rsidRDefault="003B1292">
      <w:pPr>
        <w:pStyle w:val="Heading3"/>
      </w:pPr>
      <w:r>
        <w:t>4.4.2 Quote, Chart and OHLC Table</w:t>
      </w:r>
    </w:p>
    <w:p w:rsidR="00AE0CC1" w:rsidRDefault="003B1292">
      <w:pPr>
        <w:jc w:val="both"/>
      </w:pPr>
      <w:r>
        <w:t>Selecting a company loads the quote, a Chart.js price chart for the chosen period (1 month to maximum) and an</w:t>
      </w:r>
      <w:r>
        <w:t xml:space="preserve"> OHLC table (Figure 4.6). The table shows formatted dates, prices in the instrument’s currency, a day-on-day change column coloured green/red, Indian digit </w:t>
      </w:r>
      <w:r>
        <w:lastRenderedPageBreak/>
        <w:t xml:space="preserve">grouping for volume, tooltips on each column heading and a legend explaining Open, High, Low, Close </w:t>
      </w:r>
      <w:r>
        <w:t>and Volume for non-expert users.</w:t>
      </w:r>
    </w:p>
    <w:p w:rsidR="00AE0CC1" w:rsidRDefault="003B1292">
      <w:pPr>
        <w:keepNext/>
        <w:spacing w:after="40"/>
        <w:jc w:val="center"/>
      </w:pPr>
      <w:r>
        <w:rPr>
          <w:noProof/>
          <w:lang w:val="en-IN" w:eastAsia="en-IN"/>
        </w:rPr>
        <w:drawing>
          <wp:inline distT="0" distB="0" distL="0" distR="0">
            <wp:extent cx="4860000" cy="58756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market.png"/>
                    <pic:cNvPicPr/>
                  </pic:nvPicPr>
                  <pic:blipFill>
                    <a:blip r:embed="rId16"/>
                    <a:stretch>
                      <a:fillRect/>
                    </a:stretch>
                  </pic:blipFill>
                  <pic:spPr>
                    <a:xfrm>
                      <a:off x="0" y="0"/>
                      <a:ext cx="4860000" cy="5875653"/>
                    </a:xfrm>
                    <a:prstGeom prst="rect">
                      <a:avLst/>
                    </a:prstGeom>
                  </pic:spPr>
                </pic:pic>
              </a:graphicData>
            </a:graphic>
          </wp:inline>
        </w:drawing>
      </w:r>
    </w:p>
    <w:p w:rsidR="00AE0CC1" w:rsidRDefault="003B1292">
      <w:pPr>
        <w:pStyle w:val="Caption"/>
        <w:jc w:val="center"/>
      </w:pPr>
      <w:r>
        <w:t>Figure 4.6: Stock market workspace: live quote, price chart and OHLC history for Tata Steel</w:t>
      </w:r>
    </w:p>
    <w:p w:rsidR="00AE0CC1" w:rsidRDefault="003B1292">
      <w:pPr>
        <w:pStyle w:val="Heading3"/>
      </w:pPr>
      <w:r>
        <w:t>4.4.3 News, Auto-Refresh and Consistency</w:t>
      </w:r>
    </w:p>
    <w:p w:rsidR="00AE0CC1" w:rsidRDefault="003B1292">
      <w:pPr>
        <w:jc w:val="both"/>
      </w:pPr>
      <w:r>
        <w:t xml:space="preserve">News for the selected company loads automatically (Figure 4.7). A scheduler refreshes </w:t>
      </w:r>
      <w:r>
        <w:t>the quote every 30 seconds, history every 10 minutes and news every 5 minutes — but only while the relevant tab is open, the browser tab is visible and the user has not switched the feature off, so no requests are wasted. Each request carries a sequence nu</w:t>
      </w:r>
      <w:r>
        <w:t>mber and any reply belonging to an older request is discarded, so quickly switching companies can never leave the previous company’s data on screen.</w:t>
      </w:r>
    </w:p>
    <w:p w:rsidR="00AE0CC1" w:rsidRDefault="003B1292">
      <w:pPr>
        <w:keepNext/>
        <w:spacing w:after="40"/>
        <w:jc w:val="center"/>
      </w:pPr>
      <w:r>
        <w:rPr>
          <w:noProof/>
          <w:lang w:val="en-IN" w:eastAsia="en-IN"/>
        </w:rPr>
        <w:lastRenderedPageBreak/>
        <w:drawing>
          <wp:inline distT="0" distB="0" distL="0" distR="0">
            <wp:extent cx="5040000" cy="34374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news.png"/>
                    <pic:cNvPicPr/>
                  </pic:nvPicPr>
                  <pic:blipFill>
                    <a:blip r:embed="rId17"/>
                    <a:stretch>
                      <a:fillRect/>
                    </a:stretch>
                  </pic:blipFill>
                  <pic:spPr>
                    <a:xfrm>
                      <a:off x="0" y="0"/>
                      <a:ext cx="5040000" cy="3437461"/>
                    </a:xfrm>
                    <a:prstGeom prst="rect">
                      <a:avLst/>
                    </a:prstGeom>
                  </pic:spPr>
                </pic:pic>
              </a:graphicData>
            </a:graphic>
          </wp:inline>
        </w:drawing>
      </w:r>
    </w:p>
    <w:p w:rsidR="00AE0CC1" w:rsidRDefault="003B1292">
      <w:pPr>
        <w:pStyle w:val="Caption"/>
        <w:jc w:val="center"/>
      </w:pPr>
      <w:r>
        <w:t>Figure 4.7: Company-specific news feed</w:t>
      </w:r>
    </w:p>
    <w:p w:rsidR="00AE0CC1" w:rsidRDefault="003B1292">
      <w:pPr>
        <w:pStyle w:val="Heading3"/>
      </w:pPr>
      <w:r>
        <w:t>4.4.4 Watchlist and Price Alerts</w:t>
      </w:r>
    </w:p>
    <w:p w:rsidR="00AE0CC1" w:rsidRDefault="003B1292">
      <w:pPr>
        <w:jc w:val="both"/>
      </w:pPr>
      <w:r>
        <w:t>Users can add any company through</w:t>
      </w:r>
      <w:r>
        <w:t xml:space="preserve"> the same picker; prices refresh automatically and every refresh evaluates the user’s “rises above / falls below” alerts (Figure 4.8).</w:t>
      </w:r>
    </w:p>
    <w:p w:rsidR="00AE0CC1" w:rsidRDefault="003B1292">
      <w:pPr>
        <w:keepNext/>
        <w:spacing w:after="40"/>
        <w:jc w:val="center"/>
      </w:pPr>
      <w:r>
        <w:rPr>
          <w:noProof/>
          <w:lang w:val="en-IN" w:eastAsia="en-IN"/>
        </w:rPr>
        <w:drawing>
          <wp:inline distT="0" distB="0" distL="0" distR="0">
            <wp:extent cx="5220000" cy="30194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watchlist.png"/>
                    <pic:cNvPicPr/>
                  </pic:nvPicPr>
                  <pic:blipFill>
                    <a:blip r:embed="rId18"/>
                    <a:stretch>
                      <a:fillRect/>
                    </a:stretch>
                  </pic:blipFill>
                  <pic:spPr>
                    <a:xfrm>
                      <a:off x="0" y="0"/>
                      <a:ext cx="5220000" cy="3019473"/>
                    </a:xfrm>
                    <a:prstGeom prst="rect">
                      <a:avLst/>
                    </a:prstGeom>
                  </pic:spPr>
                </pic:pic>
              </a:graphicData>
            </a:graphic>
          </wp:inline>
        </w:drawing>
      </w:r>
    </w:p>
    <w:p w:rsidR="00AE0CC1" w:rsidRDefault="003B1292">
      <w:pPr>
        <w:pStyle w:val="Caption"/>
        <w:jc w:val="center"/>
      </w:pPr>
      <w:r>
        <w:t>Figure 4.8: Live watchlist with price alerts</w:t>
      </w:r>
    </w:p>
    <w:p w:rsidR="00AE0CC1" w:rsidRDefault="003B1292">
      <w:r>
        <w:br w:type="page"/>
      </w:r>
    </w:p>
    <w:p w:rsidR="00AE0CC1" w:rsidRDefault="003B1292">
      <w:pPr>
        <w:pStyle w:val="Heading1"/>
      </w:pPr>
      <w:bookmarkStart w:id="32" w:name="_Toc241845031"/>
      <w:r>
        <w:lastRenderedPageBreak/>
        <w:t>Chapter 5: Machine-Learning Experiment: Next-Day Price Prediction</w:t>
      </w:r>
      <w:bookmarkEnd w:id="32"/>
    </w:p>
    <w:p w:rsidR="00AE0CC1" w:rsidRDefault="003B1292">
      <w:pPr>
        <w:pStyle w:val="Heading2"/>
      </w:pPr>
      <w:bookmarkStart w:id="33" w:name="_Toc241845032"/>
      <w:r>
        <w:t xml:space="preserve">5.1 </w:t>
      </w:r>
      <w:r>
        <w:t>Pipeline</w:t>
      </w:r>
      <w:bookmarkEnd w:id="33"/>
    </w:p>
    <w:p w:rsidR="00AE0CC1" w:rsidRDefault="003B1292">
      <w:pPr>
        <w:jc w:val="both"/>
      </w:pPr>
      <w:r>
        <w:t xml:space="preserve">The ML pipeline in </w:t>
      </w:r>
      <w:r>
        <w:rPr>
          <w:rFonts w:ascii="Consolas" w:hAnsi="Consolas"/>
          <w:sz w:val="21"/>
        </w:rPr>
        <w:t>backend/services</w:t>
      </w:r>
      <w:r>
        <w:t xml:space="preserve"> follows four stages. </w:t>
      </w:r>
      <w:r>
        <w:rPr>
          <w:b/>
        </w:rPr>
        <w:t>Cleaning</w:t>
      </w:r>
      <w:r>
        <w:t xml:space="preserve"> removes rows with a missing close and duplicate dates and reports what was removed (a synthetic data generator deliberately injects such errors for practice; the real Yahoo data use</w:t>
      </w:r>
      <w:r>
        <w:t xml:space="preserve">d here contained none). </w:t>
      </w:r>
      <w:r>
        <w:rPr>
          <w:b/>
        </w:rPr>
        <w:t>Feature engineering</w:t>
      </w:r>
      <w:r>
        <w:t xml:space="preserve"> adds daily return, MA7, MA30, price change, 21-day volatility and RSI(14) (Figure 5.1). </w:t>
      </w:r>
      <w:r>
        <w:rPr>
          <w:b/>
        </w:rPr>
        <w:t>Dataset preparation</w:t>
      </w:r>
      <w:r>
        <w:t xml:space="preserve"> uses the features Close, MA7, MA30, DailyReturn and Volatility to predict the next day’s close, drops ro</w:t>
      </w:r>
      <w:r>
        <w:t xml:space="preserve">ws without full history, and performs a </w:t>
      </w:r>
      <w:r>
        <w:rPr>
          <w:b/>
        </w:rPr>
        <w:t>chronological</w:t>
      </w:r>
      <w:r>
        <w:t xml:space="preserve"> 80/20 split — no shuffling, so the model is always tested on data that comes after its training data. </w:t>
      </w:r>
      <w:r>
        <w:rPr>
          <w:b/>
        </w:rPr>
        <w:t>Modelling</w:t>
      </w:r>
      <w:r>
        <w:t xml:space="preserve"> trains a Linear Regression on standardised features and a Random Forest with 200 trees of </w:t>
      </w:r>
      <w:r>
        <w:t>maximum depth 8.</w:t>
      </w:r>
    </w:p>
    <w:p w:rsidR="00AE0CC1" w:rsidRDefault="003B1292">
      <w:pPr>
        <w:keepNext/>
        <w:spacing w:after="40"/>
        <w:jc w:val="center"/>
      </w:pPr>
      <w:r>
        <w:rPr>
          <w:noProof/>
          <w:lang w:val="en-IN" w:eastAsia="en-IN"/>
        </w:rPr>
        <w:drawing>
          <wp:inline distT="0" distB="0" distL="0" distR="0">
            <wp:extent cx="540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png"/>
                    <pic:cNvPicPr/>
                  </pic:nvPicPr>
                  <pic:blipFill>
                    <a:blip r:embed="rId19"/>
                    <a:stretch>
                      <a:fillRect/>
                    </a:stretch>
                  </pic:blipFill>
                  <pic:spPr>
                    <a:xfrm>
                      <a:off x="0" y="0"/>
                      <a:ext cx="5400000" cy="3120000"/>
                    </a:xfrm>
                    <a:prstGeom prst="rect">
                      <a:avLst/>
                    </a:prstGeom>
                  </pic:spPr>
                </pic:pic>
              </a:graphicData>
            </a:graphic>
          </wp:inline>
        </w:drawing>
      </w:r>
    </w:p>
    <w:p w:rsidR="00AE0CC1" w:rsidRDefault="003B1292">
      <w:pPr>
        <w:pStyle w:val="Caption"/>
        <w:jc w:val="center"/>
      </w:pPr>
      <w:r>
        <w:t>Figure 5.1: Engineered features for Reliance Industries: moving averages and RSI(14)</w:t>
      </w:r>
    </w:p>
    <w:p w:rsidR="00AE0CC1" w:rsidRDefault="003B1292">
      <w:pPr>
        <w:pStyle w:val="Heading2"/>
      </w:pPr>
      <w:bookmarkStart w:id="34" w:name="_Toc241845033"/>
      <w:r>
        <w:t>5.2 Experimental Setup</w:t>
      </w:r>
      <w:bookmarkEnd w:id="34"/>
    </w:p>
    <w:p w:rsidR="00AE0CC1" w:rsidRDefault="003B1292">
      <w:pPr>
        <w:jc w:val="both"/>
      </w:pPr>
      <w:r>
        <w:t>Two years of daily data were downloaded on 2 October 2026 for Reliance Industries, Tata Consultancy Services and Infosys. After t</w:t>
      </w:r>
      <w:r>
        <w:t xml:space="preserve">he 30-day warm-up for MA30 and removal of the last row (no next-day target), each stock had 470 usable rows from 2024-11-13 to 2026-09-30: 376 for training and 94 for testing (test period 2026-05-22 to 2026-09-30). Models </w:t>
      </w:r>
      <w:r>
        <w:lastRenderedPageBreak/>
        <w:t xml:space="preserve">were evaluated with MAE, RMSE and </w:t>
      </w:r>
      <w:r>
        <w:t>directional accuracy (whether the predicted move from today’s close had the correct sign), and compared with a naive persistence forecast that predicts tomorrow’s close equals today’s.</w:t>
      </w:r>
    </w:p>
    <w:p w:rsidR="00AE0CC1" w:rsidRDefault="003B1292">
      <w:pPr>
        <w:pStyle w:val="Heading2"/>
      </w:pPr>
      <w:bookmarkStart w:id="35" w:name="_Toc241845034"/>
      <w:r>
        <w:t>5.3 Results</w:t>
      </w:r>
      <w:bookmarkEnd w:id="35"/>
    </w:p>
    <w:p w:rsidR="00AE0CC1" w:rsidRDefault="003B1292">
      <w:pPr>
        <w:pStyle w:val="Caption"/>
        <w:keepNext/>
        <w:jc w:val="center"/>
      </w:pPr>
      <w:r>
        <w:t>Table 5.1: Test-set performance (94 trading days, 2026-05-2</w:t>
      </w:r>
      <w:r>
        <w:t>2 to 2026-09-30)</w:t>
      </w:r>
    </w:p>
    <w:tbl>
      <w:tblPr>
        <w:tblStyle w:val="TableGrid"/>
        <w:tblW w:w="0" w:type="auto"/>
        <w:jc w:val="center"/>
        <w:tblLook w:val="04A0" w:firstRow="1" w:lastRow="0" w:firstColumn="1" w:lastColumn="0" w:noHBand="0" w:noVBand="1"/>
      </w:tblPr>
      <w:tblGrid>
        <w:gridCol w:w="1361"/>
        <w:gridCol w:w="2948"/>
        <w:gridCol w:w="1474"/>
        <w:gridCol w:w="1474"/>
        <w:gridCol w:w="1701"/>
      </w:tblGrid>
      <w:tr w:rsidR="00AE0CC1">
        <w:trPr>
          <w:jc w:val="center"/>
        </w:trPr>
        <w:tc>
          <w:tcPr>
            <w:tcW w:w="1361" w:type="dxa"/>
            <w:shd w:val="clear" w:color="auto" w:fill="13224A"/>
          </w:tcPr>
          <w:p w:rsidR="00AE0CC1" w:rsidRDefault="003B1292">
            <w:pPr>
              <w:spacing w:after="20" w:line="264" w:lineRule="auto"/>
            </w:pPr>
            <w:r>
              <w:rPr>
                <w:b/>
                <w:color w:val="FFFFFF"/>
                <w:sz w:val="20"/>
              </w:rPr>
              <w:t>Stock</w:t>
            </w:r>
          </w:p>
        </w:tc>
        <w:tc>
          <w:tcPr>
            <w:tcW w:w="2948" w:type="dxa"/>
            <w:shd w:val="clear" w:color="auto" w:fill="13224A"/>
          </w:tcPr>
          <w:p w:rsidR="00AE0CC1" w:rsidRDefault="003B1292">
            <w:pPr>
              <w:spacing w:after="20" w:line="264" w:lineRule="auto"/>
            </w:pPr>
            <w:r>
              <w:rPr>
                <w:b/>
                <w:color w:val="FFFFFF"/>
                <w:sz w:val="20"/>
              </w:rPr>
              <w:t>Model</w:t>
            </w:r>
          </w:p>
        </w:tc>
        <w:tc>
          <w:tcPr>
            <w:tcW w:w="1474" w:type="dxa"/>
            <w:shd w:val="clear" w:color="auto" w:fill="13224A"/>
          </w:tcPr>
          <w:p w:rsidR="00AE0CC1" w:rsidRDefault="003B1292">
            <w:pPr>
              <w:spacing w:after="20" w:line="264" w:lineRule="auto"/>
            </w:pPr>
            <w:r>
              <w:rPr>
                <w:b/>
                <w:color w:val="FFFFFF"/>
                <w:sz w:val="20"/>
              </w:rPr>
              <w:t>MAE</w:t>
            </w:r>
          </w:p>
        </w:tc>
        <w:tc>
          <w:tcPr>
            <w:tcW w:w="1474" w:type="dxa"/>
            <w:shd w:val="clear" w:color="auto" w:fill="13224A"/>
          </w:tcPr>
          <w:p w:rsidR="00AE0CC1" w:rsidRDefault="003B1292">
            <w:pPr>
              <w:spacing w:after="20" w:line="264" w:lineRule="auto"/>
            </w:pPr>
            <w:r>
              <w:rPr>
                <w:b/>
                <w:color w:val="FFFFFF"/>
                <w:sz w:val="20"/>
              </w:rPr>
              <w:t>RMSE</w:t>
            </w:r>
          </w:p>
        </w:tc>
        <w:tc>
          <w:tcPr>
            <w:tcW w:w="1701" w:type="dxa"/>
            <w:shd w:val="clear" w:color="auto" w:fill="13224A"/>
          </w:tcPr>
          <w:p w:rsidR="00AE0CC1" w:rsidRDefault="003B1292">
            <w:pPr>
              <w:spacing w:after="20" w:line="264" w:lineRule="auto"/>
            </w:pPr>
            <w:r>
              <w:rPr>
                <w:b/>
                <w:color w:val="FFFFFF"/>
                <w:sz w:val="20"/>
              </w:rPr>
              <w:t>Direction correct</w:t>
            </w:r>
          </w:p>
        </w:tc>
      </w:tr>
      <w:tr w:rsidR="00AE0CC1">
        <w:trPr>
          <w:jc w:val="center"/>
        </w:trPr>
        <w:tc>
          <w:tcPr>
            <w:tcW w:w="1361" w:type="dxa"/>
          </w:tcPr>
          <w:p w:rsidR="00AE0CC1" w:rsidRDefault="003B1292">
            <w:pPr>
              <w:spacing w:after="20" w:line="264" w:lineRule="auto"/>
            </w:pPr>
            <w:r>
              <w:rPr>
                <w:sz w:val="20"/>
              </w:rPr>
              <w:t>Reliance</w:t>
            </w:r>
          </w:p>
        </w:tc>
        <w:tc>
          <w:tcPr>
            <w:tcW w:w="2948" w:type="dxa"/>
          </w:tcPr>
          <w:p w:rsidR="00AE0CC1" w:rsidRDefault="003B1292">
            <w:pPr>
              <w:spacing w:after="20" w:line="264" w:lineRule="auto"/>
            </w:pPr>
            <w:r>
              <w:rPr>
                <w:sz w:val="20"/>
              </w:rPr>
              <w:t>Naive (tomorrow = today)</w:t>
            </w:r>
          </w:p>
        </w:tc>
        <w:tc>
          <w:tcPr>
            <w:tcW w:w="1474" w:type="dxa"/>
          </w:tcPr>
          <w:p w:rsidR="00AE0CC1" w:rsidRDefault="003B1292">
            <w:pPr>
              <w:spacing w:after="20" w:line="264" w:lineRule="auto"/>
            </w:pPr>
            <w:r>
              <w:rPr>
                <w:sz w:val="20"/>
              </w:rPr>
              <w:t>₹11.89</w:t>
            </w:r>
          </w:p>
        </w:tc>
        <w:tc>
          <w:tcPr>
            <w:tcW w:w="1474" w:type="dxa"/>
          </w:tcPr>
          <w:p w:rsidR="00AE0CC1" w:rsidRDefault="003B1292">
            <w:pPr>
              <w:spacing w:after="20" w:line="264" w:lineRule="auto"/>
            </w:pPr>
            <w:r>
              <w:rPr>
                <w:sz w:val="20"/>
              </w:rPr>
              <w:t>₹14.97</w:t>
            </w:r>
          </w:p>
        </w:tc>
        <w:tc>
          <w:tcPr>
            <w:tcW w:w="1701" w:type="dxa"/>
          </w:tcPr>
          <w:p w:rsidR="00AE0CC1" w:rsidRDefault="003B1292">
            <w:pPr>
              <w:spacing w:after="20" w:line="264" w:lineRule="auto"/>
            </w:pPr>
            <w:r>
              <w:rPr>
                <w:sz w:val="20"/>
              </w:rPr>
              <w:t>—</w:t>
            </w:r>
          </w:p>
        </w:tc>
      </w:tr>
      <w:tr w:rsidR="00AE0CC1">
        <w:trPr>
          <w:jc w:val="center"/>
        </w:trPr>
        <w:tc>
          <w:tcPr>
            <w:tcW w:w="1361" w:type="dxa"/>
          </w:tcPr>
          <w:p w:rsidR="00AE0CC1" w:rsidRDefault="003B1292">
            <w:pPr>
              <w:spacing w:after="20" w:line="264" w:lineRule="auto"/>
            </w:pPr>
            <w:r>
              <w:rPr>
                <w:sz w:val="20"/>
              </w:rPr>
              <w:t>Reliance</w:t>
            </w:r>
          </w:p>
        </w:tc>
        <w:tc>
          <w:tcPr>
            <w:tcW w:w="2948" w:type="dxa"/>
          </w:tcPr>
          <w:p w:rsidR="00AE0CC1" w:rsidRDefault="003B1292">
            <w:pPr>
              <w:spacing w:after="20" w:line="264" w:lineRule="auto"/>
            </w:pPr>
            <w:r>
              <w:rPr>
                <w:sz w:val="20"/>
              </w:rPr>
              <w:t>Linear Regression</w:t>
            </w:r>
          </w:p>
        </w:tc>
        <w:tc>
          <w:tcPr>
            <w:tcW w:w="1474" w:type="dxa"/>
          </w:tcPr>
          <w:p w:rsidR="00AE0CC1" w:rsidRDefault="003B1292">
            <w:pPr>
              <w:spacing w:after="20" w:line="264" w:lineRule="auto"/>
            </w:pPr>
            <w:r>
              <w:rPr>
                <w:sz w:val="20"/>
              </w:rPr>
              <w:t>₹12.03</w:t>
            </w:r>
          </w:p>
        </w:tc>
        <w:tc>
          <w:tcPr>
            <w:tcW w:w="1474" w:type="dxa"/>
          </w:tcPr>
          <w:p w:rsidR="00AE0CC1" w:rsidRDefault="003B1292">
            <w:pPr>
              <w:spacing w:after="20" w:line="264" w:lineRule="auto"/>
            </w:pPr>
            <w:r>
              <w:rPr>
                <w:sz w:val="20"/>
              </w:rPr>
              <w:t>₹15.30</w:t>
            </w:r>
          </w:p>
        </w:tc>
        <w:tc>
          <w:tcPr>
            <w:tcW w:w="1701" w:type="dxa"/>
          </w:tcPr>
          <w:p w:rsidR="00AE0CC1" w:rsidRDefault="003B1292">
            <w:pPr>
              <w:spacing w:after="20" w:line="264" w:lineRule="auto"/>
            </w:pPr>
            <w:r>
              <w:rPr>
                <w:sz w:val="20"/>
              </w:rPr>
              <w:t>44.7%</w:t>
            </w:r>
          </w:p>
        </w:tc>
      </w:tr>
      <w:tr w:rsidR="00AE0CC1">
        <w:trPr>
          <w:jc w:val="center"/>
        </w:trPr>
        <w:tc>
          <w:tcPr>
            <w:tcW w:w="1361" w:type="dxa"/>
          </w:tcPr>
          <w:p w:rsidR="00AE0CC1" w:rsidRDefault="003B1292">
            <w:pPr>
              <w:spacing w:after="20" w:line="264" w:lineRule="auto"/>
            </w:pPr>
            <w:r>
              <w:rPr>
                <w:sz w:val="20"/>
              </w:rPr>
              <w:t>Reliance</w:t>
            </w:r>
          </w:p>
        </w:tc>
        <w:tc>
          <w:tcPr>
            <w:tcW w:w="2948" w:type="dxa"/>
          </w:tcPr>
          <w:p w:rsidR="00AE0CC1" w:rsidRDefault="003B1292">
            <w:pPr>
              <w:spacing w:after="20" w:line="264" w:lineRule="auto"/>
            </w:pPr>
            <w:r>
              <w:rPr>
                <w:sz w:val="20"/>
              </w:rPr>
              <w:t>Random Forest</w:t>
            </w:r>
          </w:p>
        </w:tc>
        <w:tc>
          <w:tcPr>
            <w:tcW w:w="1474" w:type="dxa"/>
          </w:tcPr>
          <w:p w:rsidR="00AE0CC1" w:rsidRDefault="003B1292">
            <w:pPr>
              <w:spacing w:after="20" w:line="264" w:lineRule="auto"/>
            </w:pPr>
            <w:r>
              <w:rPr>
                <w:sz w:val="20"/>
              </w:rPr>
              <w:t>₹15.19</w:t>
            </w:r>
          </w:p>
        </w:tc>
        <w:tc>
          <w:tcPr>
            <w:tcW w:w="1474" w:type="dxa"/>
          </w:tcPr>
          <w:p w:rsidR="00AE0CC1" w:rsidRDefault="003B1292">
            <w:pPr>
              <w:spacing w:after="20" w:line="264" w:lineRule="auto"/>
            </w:pPr>
            <w:r>
              <w:rPr>
                <w:sz w:val="20"/>
              </w:rPr>
              <w:t>₹19.03</w:t>
            </w:r>
          </w:p>
        </w:tc>
        <w:tc>
          <w:tcPr>
            <w:tcW w:w="1701" w:type="dxa"/>
          </w:tcPr>
          <w:p w:rsidR="00AE0CC1" w:rsidRDefault="003B1292">
            <w:pPr>
              <w:spacing w:after="20" w:line="264" w:lineRule="auto"/>
            </w:pPr>
            <w:r>
              <w:rPr>
                <w:sz w:val="20"/>
              </w:rPr>
              <w:t>45.7%</w:t>
            </w:r>
          </w:p>
        </w:tc>
      </w:tr>
      <w:tr w:rsidR="00AE0CC1">
        <w:trPr>
          <w:jc w:val="center"/>
        </w:trPr>
        <w:tc>
          <w:tcPr>
            <w:tcW w:w="1361" w:type="dxa"/>
          </w:tcPr>
          <w:p w:rsidR="00AE0CC1" w:rsidRDefault="003B1292">
            <w:pPr>
              <w:spacing w:after="20" w:line="264" w:lineRule="auto"/>
            </w:pPr>
            <w:r>
              <w:rPr>
                <w:sz w:val="20"/>
              </w:rPr>
              <w:t>TCS</w:t>
            </w:r>
          </w:p>
        </w:tc>
        <w:tc>
          <w:tcPr>
            <w:tcW w:w="2948" w:type="dxa"/>
          </w:tcPr>
          <w:p w:rsidR="00AE0CC1" w:rsidRDefault="003B1292">
            <w:pPr>
              <w:spacing w:after="20" w:line="264" w:lineRule="auto"/>
            </w:pPr>
            <w:r>
              <w:rPr>
                <w:sz w:val="20"/>
              </w:rPr>
              <w:t>Naive (tomorrow = today)</w:t>
            </w:r>
          </w:p>
        </w:tc>
        <w:tc>
          <w:tcPr>
            <w:tcW w:w="1474" w:type="dxa"/>
          </w:tcPr>
          <w:p w:rsidR="00AE0CC1" w:rsidRDefault="003B1292">
            <w:pPr>
              <w:spacing w:after="20" w:line="264" w:lineRule="auto"/>
            </w:pPr>
            <w:r>
              <w:rPr>
                <w:sz w:val="20"/>
              </w:rPr>
              <w:t>₹34.35</w:t>
            </w:r>
          </w:p>
        </w:tc>
        <w:tc>
          <w:tcPr>
            <w:tcW w:w="1474" w:type="dxa"/>
          </w:tcPr>
          <w:p w:rsidR="00AE0CC1" w:rsidRDefault="003B1292">
            <w:pPr>
              <w:spacing w:after="20" w:line="264" w:lineRule="auto"/>
            </w:pPr>
            <w:r>
              <w:rPr>
                <w:sz w:val="20"/>
              </w:rPr>
              <w:t>₹48.46</w:t>
            </w:r>
          </w:p>
        </w:tc>
        <w:tc>
          <w:tcPr>
            <w:tcW w:w="1701" w:type="dxa"/>
          </w:tcPr>
          <w:p w:rsidR="00AE0CC1" w:rsidRDefault="003B1292">
            <w:pPr>
              <w:spacing w:after="20" w:line="264" w:lineRule="auto"/>
            </w:pPr>
            <w:r>
              <w:rPr>
                <w:sz w:val="20"/>
              </w:rPr>
              <w:t>—</w:t>
            </w:r>
          </w:p>
        </w:tc>
      </w:tr>
      <w:tr w:rsidR="00AE0CC1">
        <w:trPr>
          <w:jc w:val="center"/>
        </w:trPr>
        <w:tc>
          <w:tcPr>
            <w:tcW w:w="1361" w:type="dxa"/>
          </w:tcPr>
          <w:p w:rsidR="00AE0CC1" w:rsidRDefault="003B1292">
            <w:pPr>
              <w:spacing w:after="20" w:line="264" w:lineRule="auto"/>
            </w:pPr>
            <w:r>
              <w:rPr>
                <w:sz w:val="20"/>
              </w:rPr>
              <w:t>TCS</w:t>
            </w:r>
          </w:p>
        </w:tc>
        <w:tc>
          <w:tcPr>
            <w:tcW w:w="2948" w:type="dxa"/>
          </w:tcPr>
          <w:p w:rsidR="00AE0CC1" w:rsidRDefault="003B1292">
            <w:pPr>
              <w:spacing w:after="20" w:line="264" w:lineRule="auto"/>
            </w:pPr>
            <w:r>
              <w:rPr>
                <w:sz w:val="20"/>
              </w:rPr>
              <w:t>Linear</w:t>
            </w:r>
            <w:r>
              <w:rPr>
                <w:sz w:val="20"/>
              </w:rPr>
              <w:t xml:space="preserve"> Regression</w:t>
            </w:r>
          </w:p>
        </w:tc>
        <w:tc>
          <w:tcPr>
            <w:tcW w:w="1474" w:type="dxa"/>
          </w:tcPr>
          <w:p w:rsidR="00AE0CC1" w:rsidRDefault="003B1292">
            <w:pPr>
              <w:spacing w:after="20" w:line="264" w:lineRule="auto"/>
            </w:pPr>
            <w:r>
              <w:rPr>
                <w:sz w:val="20"/>
              </w:rPr>
              <w:t>₹34.27</w:t>
            </w:r>
          </w:p>
        </w:tc>
        <w:tc>
          <w:tcPr>
            <w:tcW w:w="1474" w:type="dxa"/>
          </w:tcPr>
          <w:p w:rsidR="00AE0CC1" w:rsidRDefault="003B1292">
            <w:pPr>
              <w:spacing w:after="20" w:line="264" w:lineRule="auto"/>
            </w:pPr>
            <w:r>
              <w:rPr>
                <w:sz w:val="20"/>
              </w:rPr>
              <w:t>₹48.33</w:t>
            </w:r>
          </w:p>
        </w:tc>
        <w:tc>
          <w:tcPr>
            <w:tcW w:w="1701" w:type="dxa"/>
          </w:tcPr>
          <w:p w:rsidR="00AE0CC1" w:rsidRDefault="003B1292">
            <w:pPr>
              <w:spacing w:after="20" w:line="264" w:lineRule="auto"/>
            </w:pPr>
            <w:r>
              <w:rPr>
                <w:sz w:val="20"/>
              </w:rPr>
              <w:t>56.4%</w:t>
            </w:r>
          </w:p>
        </w:tc>
      </w:tr>
      <w:tr w:rsidR="00AE0CC1">
        <w:trPr>
          <w:jc w:val="center"/>
        </w:trPr>
        <w:tc>
          <w:tcPr>
            <w:tcW w:w="1361" w:type="dxa"/>
          </w:tcPr>
          <w:p w:rsidR="00AE0CC1" w:rsidRDefault="003B1292">
            <w:pPr>
              <w:spacing w:after="20" w:line="264" w:lineRule="auto"/>
            </w:pPr>
            <w:r>
              <w:rPr>
                <w:sz w:val="20"/>
              </w:rPr>
              <w:t>TCS</w:t>
            </w:r>
          </w:p>
        </w:tc>
        <w:tc>
          <w:tcPr>
            <w:tcW w:w="2948" w:type="dxa"/>
          </w:tcPr>
          <w:p w:rsidR="00AE0CC1" w:rsidRDefault="003B1292">
            <w:pPr>
              <w:spacing w:after="20" w:line="264" w:lineRule="auto"/>
            </w:pPr>
            <w:r>
              <w:rPr>
                <w:sz w:val="20"/>
              </w:rPr>
              <w:t>Random Forest</w:t>
            </w:r>
          </w:p>
        </w:tc>
        <w:tc>
          <w:tcPr>
            <w:tcW w:w="1474" w:type="dxa"/>
          </w:tcPr>
          <w:p w:rsidR="00AE0CC1" w:rsidRDefault="003B1292">
            <w:pPr>
              <w:spacing w:after="20" w:line="264" w:lineRule="auto"/>
            </w:pPr>
            <w:r>
              <w:rPr>
                <w:sz w:val="20"/>
              </w:rPr>
              <w:t>₹88.64</w:t>
            </w:r>
          </w:p>
        </w:tc>
        <w:tc>
          <w:tcPr>
            <w:tcW w:w="1474" w:type="dxa"/>
          </w:tcPr>
          <w:p w:rsidR="00AE0CC1" w:rsidRDefault="003B1292">
            <w:pPr>
              <w:spacing w:after="20" w:line="264" w:lineRule="auto"/>
            </w:pPr>
            <w:r>
              <w:rPr>
                <w:sz w:val="20"/>
              </w:rPr>
              <w:t>₹115.46</w:t>
            </w:r>
          </w:p>
        </w:tc>
        <w:tc>
          <w:tcPr>
            <w:tcW w:w="1701" w:type="dxa"/>
          </w:tcPr>
          <w:p w:rsidR="00AE0CC1" w:rsidRDefault="003B1292">
            <w:pPr>
              <w:spacing w:after="20" w:line="264" w:lineRule="auto"/>
            </w:pPr>
            <w:r>
              <w:rPr>
                <w:sz w:val="20"/>
              </w:rPr>
              <w:t>51.1%</w:t>
            </w:r>
          </w:p>
        </w:tc>
      </w:tr>
      <w:tr w:rsidR="00AE0CC1">
        <w:trPr>
          <w:jc w:val="center"/>
        </w:trPr>
        <w:tc>
          <w:tcPr>
            <w:tcW w:w="1361" w:type="dxa"/>
          </w:tcPr>
          <w:p w:rsidR="00AE0CC1" w:rsidRDefault="003B1292">
            <w:pPr>
              <w:spacing w:after="20" w:line="264" w:lineRule="auto"/>
            </w:pPr>
            <w:r>
              <w:rPr>
                <w:sz w:val="20"/>
              </w:rPr>
              <w:t>Infosys</w:t>
            </w:r>
          </w:p>
        </w:tc>
        <w:tc>
          <w:tcPr>
            <w:tcW w:w="2948" w:type="dxa"/>
          </w:tcPr>
          <w:p w:rsidR="00AE0CC1" w:rsidRDefault="003B1292">
            <w:pPr>
              <w:spacing w:after="20" w:line="264" w:lineRule="auto"/>
            </w:pPr>
            <w:r>
              <w:rPr>
                <w:sz w:val="20"/>
              </w:rPr>
              <w:t>Naive (tomorrow = today)</w:t>
            </w:r>
          </w:p>
        </w:tc>
        <w:tc>
          <w:tcPr>
            <w:tcW w:w="1474" w:type="dxa"/>
          </w:tcPr>
          <w:p w:rsidR="00AE0CC1" w:rsidRDefault="003B1292">
            <w:pPr>
              <w:spacing w:after="20" w:line="264" w:lineRule="auto"/>
            </w:pPr>
            <w:r>
              <w:rPr>
                <w:sz w:val="20"/>
              </w:rPr>
              <w:t>₹17.07</w:t>
            </w:r>
          </w:p>
        </w:tc>
        <w:tc>
          <w:tcPr>
            <w:tcW w:w="1474" w:type="dxa"/>
          </w:tcPr>
          <w:p w:rsidR="00AE0CC1" w:rsidRDefault="003B1292">
            <w:pPr>
              <w:spacing w:after="20" w:line="264" w:lineRule="auto"/>
            </w:pPr>
            <w:r>
              <w:rPr>
                <w:sz w:val="20"/>
              </w:rPr>
              <w:t>₹23.23</w:t>
            </w:r>
          </w:p>
        </w:tc>
        <w:tc>
          <w:tcPr>
            <w:tcW w:w="1701" w:type="dxa"/>
          </w:tcPr>
          <w:p w:rsidR="00AE0CC1" w:rsidRDefault="003B1292">
            <w:pPr>
              <w:spacing w:after="20" w:line="264" w:lineRule="auto"/>
            </w:pPr>
            <w:r>
              <w:rPr>
                <w:sz w:val="20"/>
              </w:rPr>
              <w:t>—</w:t>
            </w:r>
          </w:p>
        </w:tc>
      </w:tr>
      <w:tr w:rsidR="00AE0CC1">
        <w:trPr>
          <w:jc w:val="center"/>
        </w:trPr>
        <w:tc>
          <w:tcPr>
            <w:tcW w:w="1361" w:type="dxa"/>
          </w:tcPr>
          <w:p w:rsidR="00AE0CC1" w:rsidRDefault="003B1292">
            <w:pPr>
              <w:spacing w:after="20" w:line="264" w:lineRule="auto"/>
            </w:pPr>
            <w:r>
              <w:rPr>
                <w:sz w:val="20"/>
              </w:rPr>
              <w:t>Infosys</w:t>
            </w:r>
          </w:p>
        </w:tc>
        <w:tc>
          <w:tcPr>
            <w:tcW w:w="2948" w:type="dxa"/>
          </w:tcPr>
          <w:p w:rsidR="00AE0CC1" w:rsidRDefault="003B1292">
            <w:pPr>
              <w:spacing w:after="20" w:line="264" w:lineRule="auto"/>
            </w:pPr>
            <w:r>
              <w:rPr>
                <w:sz w:val="20"/>
              </w:rPr>
              <w:t>Linear Regression</w:t>
            </w:r>
          </w:p>
        </w:tc>
        <w:tc>
          <w:tcPr>
            <w:tcW w:w="1474" w:type="dxa"/>
          </w:tcPr>
          <w:p w:rsidR="00AE0CC1" w:rsidRDefault="003B1292">
            <w:pPr>
              <w:spacing w:after="20" w:line="264" w:lineRule="auto"/>
            </w:pPr>
            <w:r>
              <w:rPr>
                <w:sz w:val="20"/>
              </w:rPr>
              <w:t>₹17.58</w:t>
            </w:r>
          </w:p>
        </w:tc>
        <w:tc>
          <w:tcPr>
            <w:tcW w:w="1474" w:type="dxa"/>
          </w:tcPr>
          <w:p w:rsidR="00AE0CC1" w:rsidRDefault="003B1292">
            <w:pPr>
              <w:spacing w:after="20" w:line="264" w:lineRule="auto"/>
            </w:pPr>
            <w:r>
              <w:rPr>
                <w:sz w:val="20"/>
              </w:rPr>
              <w:t>₹23.43</w:t>
            </w:r>
          </w:p>
        </w:tc>
        <w:tc>
          <w:tcPr>
            <w:tcW w:w="1701" w:type="dxa"/>
          </w:tcPr>
          <w:p w:rsidR="00AE0CC1" w:rsidRDefault="003B1292">
            <w:pPr>
              <w:spacing w:after="20" w:line="264" w:lineRule="auto"/>
            </w:pPr>
            <w:r>
              <w:rPr>
                <w:sz w:val="20"/>
              </w:rPr>
              <w:t>44.7%</w:t>
            </w:r>
          </w:p>
        </w:tc>
      </w:tr>
      <w:tr w:rsidR="00AE0CC1">
        <w:trPr>
          <w:jc w:val="center"/>
        </w:trPr>
        <w:tc>
          <w:tcPr>
            <w:tcW w:w="1361" w:type="dxa"/>
          </w:tcPr>
          <w:p w:rsidR="00AE0CC1" w:rsidRDefault="003B1292">
            <w:pPr>
              <w:spacing w:after="20" w:line="264" w:lineRule="auto"/>
            </w:pPr>
            <w:r>
              <w:rPr>
                <w:sz w:val="20"/>
              </w:rPr>
              <w:t>Infosys</w:t>
            </w:r>
          </w:p>
        </w:tc>
        <w:tc>
          <w:tcPr>
            <w:tcW w:w="2948" w:type="dxa"/>
          </w:tcPr>
          <w:p w:rsidR="00AE0CC1" w:rsidRDefault="003B1292">
            <w:pPr>
              <w:spacing w:after="20" w:line="264" w:lineRule="auto"/>
            </w:pPr>
            <w:r>
              <w:rPr>
                <w:sz w:val="20"/>
              </w:rPr>
              <w:t>Random Forest</w:t>
            </w:r>
          </w:p>
        </w:tc>
        <w:tc>
          <w:tcPr>
            <w:tcW w:w="1474" w:type="dxa"/>
          </w:tcPr>
          <w:p w:rsidR="00AE0CC1" w:rsidRDefault="003B1292">
            <w:pPr>
              <w:spacing w:after="20" w:line="264" w:lineRule="auto"/>
            </w:pPr>
            <w:r>
              <w:rPr>
                <w:sz w:val="20"/>
              </w:rPr>
              <w:t>₹39.46</w:t>
            </w:r>
          </w:p>
        </w:tc>
        <w:tc>
          <w:tcPr>
            <w:tcW w:w="1474" w:type="dxa"/>
          </w:tcPr>
          <w:p w:rsidR="00AE0CC1" w:rsidRDefault="003B1292">
            <w:pPr>
              <w:spacing w:after="20" w:line="264" w:lineRule="auto"/>
            </w:pPr>
            <w:r>
              <w:rPr>
                <w:sz w:val="20"/>
              </w:rPr>
              <w:t>₹49.94</w:t>
            </w:r>
          </w:p>
        </w:tc>
        <w:tc>
          <w:tcPr>
            <w:tcW w:w="1701" w:type="dxa"/>
          </w:tcPr>
          <w:p w:rsidR="00AE0CC1" w:rsidRDefault="003B1292">
            <w:pPr>
              <w:spacing w:after="20" w:line="264" w:lineRule="auto"/>
            </w:pPr>
            <w:r>
              <w:rPr>
                <w:sz w:val="20"/>
              </w:rPr>
              <w:t>53.2%</w:t>
            </w:r>
          </w:p>
        </w:tc>
      </w:tr>
    </w:tbl>
    <w:p w:rsidR="00AE0CC1" w:rsidRDefault="00AE0CC1">
      <w:pPr>
        <w:spacing w:after="40"/>
      </w:pPr>
    </w:p>
    <w:p w:rsidR="00AE0CC1" w:rsidRDefault="003B1292">
      <w:pPr>
        <w:keepNext/>
        <w:spacing w:after="40"/>
        <w:jc w:val="center"/>
      </w:pPr>
      <w:r>
        <w:rPr>
          <w:noProof/>
          <w:lang w:val="en-IN" w:eastAsia="en-IN"/>
        </w:rPr>
        <w:drawing>
          <wp:inline distT="0" distB="0" distL="0" distR="0">
            <wp:extent cx="5580000" cy="260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l_reliance.png"/>
                    <pic:cNvPicPr/>
                  </pic:nvPicPr>
                  <pic:blipFill>
                    <a:blip r:embed="rId20"/>
                    <a:stretch>
                      <a:fillRect/>
                    </a:stretch>
                  </pic:blipFill>
                  <pic:spPr>
                    <a:xfrm>
                      <a:off x="0" y="0"/>
                      <a:ext cx="5580000" cy="2604000"/>
                    </a:xfrm>
                    <a:prstGeom prst="rect">
                      <a:avLst/>
                    </a:prstGeom>
                  </pic:spPr>
                </pic:pic>
              </a:graphicData>
            </a:graphic>
          </wp:inline>
        </w:drawing>
      </w:r>
    </w:p>
    <w:p w:rsidR="00AE0CC1" w:rsidRDefault="003B1292">
      <w:pPr>
        <w:pStyle w:val="Caption"/>
        <w:jc w:val="center"/>
      </w:pPr>
      <w:r>
        <w:t xml:space="preserve">Figure 5.2: Reliance Industries: </w:t>
      </w:r>
      <w:r>
        <w:t>predicted versus actual next-day close on the test period</w:t>
      </w:r>
    </w:p>
    <w:p w:rsidR="00AE0CC1" w:rsidRDefault="003B1292">
      <w:pPr>
        <w:pStyle w:val="Heading2"/>
      </w:pPr>
      <w:bookmarkStart w:id="36" w:name="_Toc241845035"/>
      <w:r>
        <w:t>5.4 Discussion</w:t>
      </w:r>
      <w:bookmarkEnd w:id="36"/>
    </w:p>
    <w:p w:rsidR="00AE0CC1" w:rsidRDefault="003B1292">
      <w:pPr>
        <w:jc w:val="both"/>
      </w:pPr>
      <w:r>
        <w:rPr>
          <w:b/>
        </w:rPr>
        <w:t>Linear Regression matches, but does not beat, the naive baseline.</w:t>
      </w:r>
      <w:r>
        <w:t xml:space="preserve"> For Reliance its MAE of ₹12.03 is about 0.9% of the average price — which looks impressive in isolation, yet the naiv</w:t>
      </w:r>
      <w:r>
        <w:t>e forecast achieves ₹11.89. The learned coefficients explain why: the coefficient on the standardised Close (102.2) dwarfs all others (at most 3.3), i.e. the model essentially learned to repeat today’s price. Figure 5.2 shows the prediction tracking the ac</w:t>
      </w:r>
      <w:r>
        <w:t>tual series with a one-day lag.</w:t>
      </w:r>
    </w:p>
    <w:p w:rsidR="00AE0CC1" w:rsidRDefault="003B1292">
      <w:pPr>
        <w:jc w:val="both"/>
      </w:pPr>
      <w:r>
        <w:rPr>
          <w:b/>
        </w:rPr>
        <w:lastRenderedPageBreak/>
        <w:t>Random Forest performs worse, especially when prices trend.</w:t>
      </w:r>
      <w:r>
        <w:t xml:space="preserve"> Its MAE was ₹88.64 for TCS versus ₹34.35 for the baseline. Tree ensembles cannot extrapolate beyond the range of target values seen in training; when a stock moves </w:t>
      </w:r>
      <w:r>
        <w:t>to price levels outside that range in the test period, the forest’s predictions are capped. Its feature importances (Close 0.94 for Reliance) again show reliance on the current price.</w:t>
      </w:r>
    </w:p>
    <w:p w:rsidR="00AE0CC1" w:rsidRDefault="003B1292">
      <w:pPr>
        <w:jc w:val="both"/>
      </w:pPr>
      <w:r>
        <w:rPr>
          <w:b/>
        </w:rPr>
        <w:t>Neither model predicts direction better than chance.</w:t>
      </w:r>
      <w:r>
        <w:t xml:space="preserve"> Directional accurac</w:t>
      </w:r>
      <w:r>
        <w:t>y ranged from about 45% to 56%, close to a coin toss and not consistent across stocks. This is what the weak-form efficient market hypothesis predicts for models that use only past prices.</w:t>
      </w:r>
    </w:p>
    <w:p w:rsidR="00AE0CC1" w:rsidRDefault="003B1292">
      <w:pPr>
        <w:pStyle w:val="Heading2"/>
      </w:pPr>
      <w:bookmarkStart w:id="37" w:name="_Toc241845036"/>
      <w:r>
        <w:t>5.5 Implications</w:t>
      </w:r>
      <w:bookmarkEnd w:id="37"/>
    </w:p>
    <w:p w:rsidR="00AE0CC1" w:rsidRDefault="003B1292">
      <w:pPr>
        <w:pStyle w:val="ListBullet"/>
        <w:spacing w:after="40" w:line="312" w:lineRule="auto"/>
      </w:pPr>
      <w:r>
        <w:t>Low error figures alone are misleading for price-l</w:t>
      </w:r>
      <w:r>
        <w:t>evel prediction; a persistence baseline must always be reported.</w:t>
      </w:r>
    </w:p>
    <w:p w:rsidR="00AE0CC1" w:rsidRDefault="003B1292">
      <w:pPr>
        <w:pStyle w:val="ListBullet"/>
        <w:spacing w:after="40" w:line="312" w:lineRule="auto"/>
      </w:pPr>
      <w:r>
        <w:t xml:space="preserve">Predicting </w:t>
      </w:r>
      <w:r>
        <w:rPr>
          <w:b/>
        </w:rPr>
        <w:t>returns</w:t>
      </w:r>
      <w:r>
        <w:t xml:space="preserve"> (or direction) rather than price levels, and using models that can extrapolate, gives a fairer test.</w:t>
      </w:r>
    </w:p>
    <w:p w:rsidR="00AE0CC1" w:rsidRDefault="003B1292">
      <w:pPr>
        <w:pStyle w:val="ListBullet"/>
        <w:spacing w:after="40" w:line="312" w:lineRule="auto"/>
      </w:pPr>
      <w:r>
        <w:t>Additional information — fundamentals, news sentiment from the news mod</w:t>
      </w:r>
      <w:r>
        <w:t>ule, market-wide factors — is required for any genuine edge; price-only technical features are insufficient.</w:t>
      </w:r>
    </w:p>
    <w:p w:rsidR="00AE0CC1" w:rsidRDefault="003B1292">
      <w:pPr>
        <w:pStyle w:val="ListBullet"/>
        <w:spacing w:after="40" w:line="312" w:lineRule="auto"/>
      </w:pPr>
      <w:r>
        <w:t>For these reasons the ML pipeline is presented as an educational, transparent experiment and is not exposed in the user interface as a “prediction”</w:t>
      </w:r>
      <w:r>
        <w:t xml:space="preserve"> feature, avoiding the risk of users trading on it.</w:t>
      </w:r>
    </w:p>
    <w:p w:rsidR="00AE0CC1" w:rsidRDefault="003B1292">
      <w:r>
        <w:br w:type="page"/>
      </w:r>
    </w:p>
    <w:p w:rsidR="00AE0CC1" w:rsidRDefault="003B1292">
      <w:pPr>
        <w:pStyle w:val="Heading1"/>
      </w:pPr>
      <w:bookmarkStart w:id="38" w:name="_Toc241845037"/>
      <w:r>
        <w:lastRenderedPageBreak/>
        <w:t>Chapter 6: Testing and Validation</w:t>
      </w:r>
      <w:bookmarkEnd w:id="38"/>
    </w:p>
    <w:p w:rsidR="00AE0CC1" w:rsidRDefault="003B1292">
      <w:pPr>
        <w:pStyle w:val="Heading2"/>
      </w:pPr>
      <w:bookmarkStart w:id="39" w:name="_Toc241845038"/>
      <w:r>
        <w:t>6.1 Approach</w:t>
      </w:r>
      <w:bookmarkEnd w:id="39"/>
    </w:p>
    <w:p w:rsidR="00AE0CC1" w:rsidRDefault="003B1292">
      <w:pPr>
        <w:jc w:val="both"/>
      </w:pPr>
      <w:r>
        <w:t>Testing combined three levels: (1) direct function tests of the calculators and the market layer from Python; (2) API tests of each endpoint over HTTP, inc</w:t>
      </w:r>
      <w:r>
        <w:t>luding error cases; and (3) end-to-end tests that drove the real user interface in Microsoft Edge and Google Chrome using the Playwright browser-automation library, checking on-screen values, network requests and JavaScript errors. Tests were run against l</w:t>
      </w:r>
      <w:r>
        <w:t>ive data on 1–2 October 2026.</w:t>
      </w:r>
    </w:p>
    <w:p w:rsidR="00AE0CC1" w:rsidRDefault="003B1292">
      <w:pPr>
        <w:pStyle w:val="Heading2"/>
      </w:pPr>
      <w:bookmarkStart w:id="40" w:name="_Toc241845039"/>
      <w:r>
        <w:t>6.2 Representative Test Cases</w:t>
      </w:r>
      <w:bookmarkEnd w:id="40"/>
    </w:p>
    <w:p w:rsidR="00AE0CC1" w:rsidRDefault="003B1292">
      <w:pPr>
        <w:pStyle w:val="Caption"/>
        <w:keepNext/>
        <w:jc w:val="center"/>
      </w:pPr>
      <w:r>
        <w:t>Table 6.1: Representative end-to-end test cases</w:t>
      </w:r>
    </w:p>
    <w:tbl>
      <w:tblPr>
        <w:tblStyle w:val="TableGrid"/>
        <w:tblW w:w="0" w:type="auto"/>
        <w:jc w:val="center"/>
        <w:tblLook w:val="04A0" w:firstRow="1" w:lastRow="0" w:firstColumn="1" w:lastColumn="0" w:noHBand="0" w:noVBand="1"/>
      </w:tblPr>
      <w:tblGrid>
        <w:gridCol w:w="567"/>
        <w:gridCol w:w="3061"/>
        <w:gridCol w:w="3061"/>
        <w:gridCol w:w="2098"/>
      </w:tblGrid>
      <w:tr w:rsidR="00AE0CC1">
        <w:trPr>
          <w:jc w:val="center"/>
        </w:trPr>
        <w:tc>
          <w:tcPr>
            <w:tcW w:w="567" w:type="dxa"/>
            <w:shd w:val="clear" w:color="auto" w:fill="13224A"/>
          </w:tcPr>
          <w:p w:rsidR="00AE0CC1" w:rsidRDefault="003B1292">
            <w:pPr>
              <w:spacing w:after="20" w:line="264" w:lineRule="auto"/>
            </w:pPr>
            <w:r>
              <w:rPr>
                <w:b/>
                <w:color w:val="FFFFFF"/>
                <w:sz w:val="19"/>
              </w:rPr>
              <w:t>#</w:t>
            </w:r>
          </w:p>
        </w:tc>
        <w:tc>
          <w:tcPr>
            <w:tcW w:w="3061" w:type="dxa"/>
            <w:shd w:val="clear" w:color="auto" w:fill="13224A"/>
          </w:tcPr>
          <w:p w:rsidR="00AE0CC1" w:rsidRDefault="003B1292">
            <w:pPr>
              <w:spacing w:after="20" w:line="264" w:lineRule="auto"/>
            </w:pPr>
            <w:r>
              <w:rPr>
                <w:b/>
                <w:color w:val="FFFFFF"/>
                <w:sz w:val="19"/>
              </w:rPr>
              <w:t>Scenario</w:t>
            </w:r>
          </w:p>
        </w:tc>
        <w:tc>
          <w:tcPr>
            <w:tcW w:w="3061" w:type="dxa"/>
            <w:shd w:val="clear" w:color="auto" w:fill="13224A"/>
          </w:tcPr>
          <w:p w:rsidR="00AE0CC1" w:rsidRDefault="003B1292">
            <w:pPr>
              <w:spacing w:after="20" w:line="264" w:lineRule="auto"/>
            </w:pPr>
            <w:r>
              <w:rPr>
                <w:b/>
                <w:color w:val="FFFFFF"/>
                <w:sz w:val="19"/>
              </w:rPr>
              <w:t>Expected</w:t>
            </w:r>
          </w:p>
        </w:tc>
        <w:tc>
          <w:tcPr>
            <w:tcW w:w="2098" w:type="dxa"/>
            <w:shd w:val="clear" w:color="auto" w:fill="13224A"/>
          </w:tcPr>
          <w:p w:rsidR="00AE0CC1" w:rsidRDefault="003B1292">
            <w:pPr>
              <w:spacing w:after="20" w:line="264" w:lineRule="auto"/>
            </w:pPr>
            <w:r>
              <w:rPr>
                <w:b/>
                <w:color w:val="FFFFFF"/>
                <w:sz w:val="19"/>
              </w:rPr>
              <w:t>Result</w:t>
            </w:r>
          </w:p>
        </w:tc>
      </w:tr>
      <w:tr w:rsidR="00AE0CC1">
        <w:trPr>
          <w:jc w:val="center"/>
        </w:trPr>
        <w:tc>
          <w:tcPr>
            <w:tcW w:w="567" w:type="dxa"/>
          </w:tcPr>
          <w:p w:rsidR="00AE0CC1" w:rsidRDefault="003B1292">
            <w:pPr>
              <w:spacing w:after="20" w:line="264" w:lineRule="auto"/>
            </w:pPr>
            <w:r>
              <w:rPr>
                <w:sz w:val="19"/>
              </w:rPr>
              <w:t>T1</w:t>
            </w:r>
          </w:p>
        </w:tc>
        <w:tc>
          <w:tcPr>
            <w:tcW w:w="3061" w:type="dxa"/>
          </w:tcPr>
          <w:p w:rsidR="00AE0CC1" w:rsidRDefault="003B1292">
            <w:pPr>
              <w:spacing w:after="20" w:line="264" w:lineRule="auto"/>
            </w:pPr>
            <w:r>
              <w:rPr>
                <w:sz w:val="19"/>
              </w:rPr>
              <w:t>Quote for RELIANCE.BSE (legacy symbol)</w:t>
            </w:r>
          </w:p>
        </w:tc>
        <w:tc>
          <w:tcPr>
            <w:tcW w:w="3061" w:type="dxa"/>
          </w:tcPr>
          <w:p w:rsidR="00AE0CC1" w:rsidRDefault="003B1292">
            <w:pPr>
              <w:spacing w:after="20" w:line="264" w:lineRule="auto"/>
            </w:pPr>
            <w:r>
              <w:rPr>
                <w:sz w:val="19"/>
              </w:rPr>
              <w:t>Resolved to RELIANCE.NS with name, ₹ price, last-trade time</w:t>
            </w:r>
          </w:p>
        </w:tc>
        <w:tc>
          <w:tcPr>
            <w:tcW w:w="2098" w:type="dxa"/>
          </w:tcPr>
          <w:p w:rsidR="00AE0CC1" w:rsidRDefault="003B1292">
            <w:pPr>
              <w:spacing w:after="20" w:line="264" w:lineRule="auto"/>
            </w:pPr>
            <w:r>
              <w:rPr>
                <w:sz w:val="19"/>
              </w:rPr>
              <w:t>Pass (₹1,167.70, 1</w:t>
            </w:r>
            <w:r>
              <w:rPr>
                <w:sz w:val="19"/>
              </w:rPr>
              <w:t xml:space="preserve"> Oct 15:15)</w:t>
            </w:r>
          </w:p>
        </w:tc>
      </w:tr>
      <w:tr w:rsidR="00AE0CC1">
        <w:trPr>
          <w:jc w:val="center"/>
        </w:trPr>
        <w:tc>
          <w:tcPr>
            <w:tcW w:w="567" w:type="dxa"/>
          </w:tcPr>
          <w:p w:rsidR="00AE0CC1" w:rsidRDefault="003B1292">
            <w:pPr>
              <w:spacing w:after="20" w:line="264" w:lineRule="auto"/>
            </w:pPr>
            <w:r>
              <w:rPr>
                <w:sz w:val="19"/>
              </w:rPr>
              <w:t>T2</w:t>
            </w:r>
          </w:p>
        </w:tc>
        <w:tc>
          <w:tcPr>
            <w:tcW w:w="3061" w:type="dxa"/>
          </w:tcPr>
          <w:p w:rsidR="00AE0CC1" w:rsidRDefault="003B1292">
            <w:pPr>
              <w:spacing w:after="20" w:line="264" w:lineRule="auto"/>
            </w:pPr>
            <w:r>
              <w:rPr>
                <w:sz w:val="19"/>
              </w:rPr>
              <w:t>Quote on an exchange holiday (2 Oct)</w:t>
            </w:r>
          </w:p>
        </w:tc>
        <w:tc>
          <w:tcPr>
            <w:tcW w:w="3061" w:type="dxa"/>
          </w:tcPr>
          <w:p w:rsidR="00AE0CC1" w:rsidRDefault="003B1292">
            <w:pPr>
              <w:spacing w:after="20" w:line="264" w:lineRule="auto"/>
            </w:pPr>
            <w:r>
              <w:rPr>
                <w:sz w:val="19"/>
              </w:rPr>
              <w:t>Latest session shown with day range</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T3</w:t>
            </w:r>
          </w:p>
        </w:tc>
        <w:tc>
          <w:tcPr>
            <w:tcW w:w="3061" w:type="dxa"/>
          </w:tcPr>
          <w:p w:rsidR="00AE0CC1" w:rsidRDefault="003B1292">
            <w:pPr>
              <w:spacing w:after="20" w:line="264" w:lineRule="auto"/>
            </w:pPr>
            <w:r>
              <w:rPr>
                <w:sz w:val="19"/>
              </w:rPr>
              <w:t>Type “samsung” and press Get live quote</w:t>
            </w:r>
          </w:p>
        </w:tc>
        <w:tc>
          <w:tcPr>
            <w:tcW w:w="3061" w:type="dxa"/>
          </w:tcPr>
          <w:p w:rsidR="00AE0CC1" w:rsidRDefault="003B1292">
            <w:pPr>
              <w:spacing w:after="20" w:line="264" w:lineRule="auto"/>
            </w:pPr>
            <w:r>
              <w:rPr>
                <w:sz w:val="19"/>
              </w:rPr>
              <w:t>Resolved to 005930.KS, price in KRW</w:t>
            </w:r>
          </w:p>
        </w:tc>
        <w:tc>
          <w:tcPr>
            <w:tcW w:w="2098" w:type="dxa"/>
          </w:tcPr>
          <w:p w:rsidR="00AE0CC1" w:rsidRDefault="003B1292">
            <w:pPr>
              <w:spacing w:after="20" w:line="264" w:lineRule="auto"/>
            </w:pPr>
            <w:r>
              <w:rPr>
                <w:sz w:val="19"/>
              </w:rPr>
              <w:t>Pass (KRW 275,250)</w:t>
            </w:r>
          </w:p>
        </w:tc>
      </w:tr>
      <w:tr w:rsidR="00AE0CC1">
        <w:trPr>
          <w:jc w:val="center"/>
        </w:trPr>
        <w:tc>
          <w:tcPr>
            <w:tcW w:w="567" w:type="dxa"/>
          </w:tcPr>
          <w:p w:rsidR="00AE0CC1" w:rsidRDefault="003B1292">
            <w:pPr>
              <w:spacing w:after="20" w:line="264" w:lineRule="auto"/>
            </w:pPr>
            <w:r>
              <w:rPr>
                <w:sz w:val="19"/>
              </w:rPr>
              <w:t>T4</w:t>
            </w:r>
          </w:p>
        </w:tc>
        <w:tc>
          <w:tcPr>
            <w:tcW w:w="3061" w:type="dxa"/>
          </w:tcPr>
          <w:p w:rsidR="00AE0CC1" w:rsidRDefault="003B1292">
            <w:pPr>
              <w:spacing w:after="20" w:line="264" w:lineRule="auto"/>
            </w:pPr>
            <w:r>
              <w:rPr>
                <w:sz w:val="19"/>
              </w:rPr>
              <w:t>Bare ticker “TATASTEEL”, “WIPRO”</w:t>
            </w:r>
          </w:p>
        </w:tc>
        <w:tc>
          <w:tcPr>
            <w:tcW w:w="3061" w:type="dxa"/>
          </w:tcPr>
          <w:p w:rsidR="00AE0CC1" w:rsidRDefault="003B1292">
            <w:pPr>
              <w:spacing w:after="20" w:line="264" w:lineRule="auto"/>
            </w:pPr>
            <w:r>
              <w:rPr>
                <w:sz w:val="19"/>
              </w:rPr>
              <w:t>Resolved to .NS listing</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T5</w:t>
            </w:r>
          </w:p>
        </w:tc>
        <w:tc>
          <w:tcPr>
            <w:tcW w:w="3061" w:type="dxa"/>
          </w:tcPr>
          <w:p w:rsidR="00AE0CC1" w:rsidRDefault="003B1292">
            <w:pPr>
              <w:spacing w:after="20" w:line="264" w:lineRule="auto"/>
            </w:pPr>
            <w:r>
              <w:rPr>
                <w:sz w:val="19"/>
              </w:rPr>
              <w:t>Unknown symbol “NOSUCHCO123”</w:t>
            </w:r>
          </w:p>
        </w:tc>
        <w:tc>
          <w:tcPr>
            <w:tcW w:w="3061" w:type="dxa"/>
          </w:tcPr>
          <w:p w:rsidR="00AE0CC1" w:rsidRDefault="003B1292">
            <w:pPr>
              <w:spacing w:after="20" w:line="264" w:lineRule="auto"/>
            </w:pPr>
            <w:r>
              <w:rPr>
                <w:sz w:val="19"/>
              </w:rPr>
              <w:t>HTTP 404 with guidance message</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T6</w:t>
            </w:r>
          </w:p>
        </w:tc>
        <w:tc>
          <w:tcPr>
            <w:tcW w:w="3061" w:type="dxa"/>
          </w:tcPr>
          <w:p w:rsidR="00AE0CC1" w:rsidRDefault="003B1292">
            <w:pPr>
              <w:spacing w:after="20" w:line="264" w:lineRule="auto"/>
            </w:pPr>
            <w:r>
              <w:rPr>
                <w:sz w:val="19"/>
              </w:rPr>
              <w:t>Search “tata”, “hdfc”, “nifty”</w:t>
            </w:r>
          </w:p>
        </w:tc>
        <w:tc>
          <w:tcPr>
            <w:tcW w:w="3061" w:type="dxa"/>
          </w:tcPr>
          <w:p w:rsidR="00AE0CC1" w:rsidRDefault="003B1292">
            <w:pPr>
              <w:spacing w:after="20" w:line="264" w:lineRule="auto"/>
            </w:pPr>
            <w:r>
              <w:rPr>
                <w:sz w:val="19"/>
              </w:rPr>
              <w:t>Grouped suggestions incl. all-market results</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T7</w:t>
            </w:r>
          </w:p>
        </w:tc>
        <w:tc>
          <w:tcPr>
            <w:tcW w:w="3061" w:type="dxa"/>
          </w:tcPr>
          <w:p w:rsidR="00AE0CC1" w:rsidRDefault="003B1292">
            <w:pPr>
              <w:spacing w:after="20" w:line="264" w:lineRule="auto"/>
            </w:pPr>
            <w:r>
              <w:rPr>
                <w:sz w:val="19"/>
              </w:rPr>
              <w:t>Daily history, period 1 year</w:t>
            </w:r>
          </w:p>
        </w:tc>
        <w:tc>
          <w:tcPr>
            <w:tcW w:w="3061" w:type="dxa"/>
          </w:tcPr>
          <w:p w:rsidR="00AE0CC1" w:rsidRDefault="003B1292">
            <w:pPr>
              <w:spacing w:after="20" w:line="264" w:lineRule="auto"/>
            </w:pPr>
            <w:r>
              <w:rPr>
                <w:sz w:val="19"/>
              </w:rPr>
              <w:t>≈ 250 rows, chart and OHLC table</w:t>
            </w:r>
          </w:p>
        </w:tc>
        <w:tc>
          <w:tcPr>
            <w:tcW w:w="2098" w:type="dxa"/>
          </w:tcPr>
          <w:p w:rsidR="00AE0CC1" w:rsidRDefault="003B1292">
            <w:pPr>
              <w:spacing w:after="20" w:line="264" w:lineRule="auto"/>
            </w:pPr>
            <w:r>
              <w:rPr>
                <w:sz w:val="19"/>
              </w:rPr>
              <w:t>Pass (251 rows for WIPRO)</w:t>
            </w:r>
          </w:p>
        </w:tc>
      </w:tr>
      <w:tr w:rsidR="00AE0CC1">
        <w:trPr>
          <w:jc w:val="center"/>
        </w:trPr>
        <w:tc>
          <w:tcPr>
            <w:tcW w:w="567" w:type="dxa"/>
          </w:tcPr>
          <w:p w:rsidR="00AE0CC1" w:rsidRDefault="003B1292">
            <w:pPr>
              <w:spacing w:after="20" w:line="264" w:lineRule="auto"/>
            </w:pPr>
            <w:r>
              <w:rPr>
                <w:sz w:val="19"/>
              </w:rPr>
              <w:t>T8</w:t>
            </w:r>
          </w:p>
        </w:tc>
        <w:tc>
          <w:tcPr>
            <w:tcW w:w="3061" w:type="dxa"/>
          </w:tcPr>
          <w:p w:rsidR="00AE0CC1" w:rsidRDefault="003B1292">
            <w:pPr>
              <w:spacing w:after="20" w:line="264" w:lineRule="auto"/>
            </w:pPr>
            <w:r>
              <w:rPr>
                <w:sz w:val="19"/>
              </w:rPr>
              <w:t>N</w:t>
            </w:r>
            <w:r>
              <w:rPr>
                <w:sz w:val="19"/>
              </w:rPr>
              <w:t>ews for DMART.BO</w:t>
            </w:r>
          </w:p>
        </w:tc>
        <w:tc>
          <w:tcPr>
            <w:tcW w:w="3061" w:type="dxa"/>
          </w:tcPr>
          <w:p w:rsidR="00AE0CC1" w:rsidRDefault="003B1292">
            <w:pPr>
              <w:spacing w:after="20" w:line="264" w:lineRule="auto"/>
            </w:pPr>
            <w:r>
              <w:rPr>
                <w:sz w:val="19"/>
              </w:rPr>
              <w:t>Headlines naming DMart/Avenue Supermarts</w:t>
            </w:r>
          </w:p>
        </w:tc>
        <w:tc>
          <w:tcPr>
            <w:tcW w:w="2098" w:type="dxa"/>
          </w:tcPr>
          <w:p w:rsidR="00AE0CC1" w:rsidRDefault="003B1292">
            <w:pPr>
              <w:spacing w:after="20" w:line="264" w:lineRule="auto"/>
            </w:pPr>
            <w:r>
              <w:rPr>
                <w:sz w:val="19"/>
              </w:rPr>
              <w:t>Pass (10 of 10)</w:t>
            </w:r>
          </w:p>
        </w:tc>
      </w:tr>
      <w:tr w:rsidR="00AE0CC1">
        <w:trPr>
          <w:jc w:val="center"/>
        </w:trPr>
        <w:tc>
          <w:tcPr>
            <w:tcW w:w="567" w:type="dxa"/>
          </w:tcPr>
          <w:p w:rsidR="00AE0CC1" w:rsidRDefault="003B1292">
            <w:pPr>
              <w:spacing w:after="20" w:line="264" w:lineRule="auto"/>
            </w:pPr>
            <w:r>
              <w:rPr>
                <w:sz w:val="19"/>
              </w:rPr>
              <w:t>T9</w:t>
            </w:r>
          </w:p>
        </w:tc>
        <w:tc>
          <w:tcPr>
            <w:tcW w:w="3061" w:type="dxa"/>
          </w:tcPr>
          <w:p w:rsidR="00AE0CC1" w:rsidRDefault="003B1292">
            <w:pPr>
              <w:spacing w:after="20" w:line="264" w:lineRule="auto"/>
            </w:pPr>
            <w:r>
              <w:rPr>
                <w:sz w:val="19"/>
              </w:rPr>
              <w:t>Switch vivo → Tata Steel quickly</w:t>
            </w:r>
          </w:p>
        </w:tc>
        <w:tc>
          <w:tcPr>
            <w:tcW w:w="3061" w:type="dxa"/>
          </w:tcPr>
          <w:p w:rsidR="00AE0CC1" w:rsidRDefault="003B1292">
            <w:pPr>
              <w:spacing w:after="20" w:line="264" w:lineRule="auto"/>
            </w:pPr>
            <w:r>
              <w:rPr>
                <w:sz w:val="19"/>
              </w:rPr>
              <w:t>No stale VivoPower news shown</w:t>
            </w:r>
          </w:p>
        </w:tc>
        <w:tc>
          <w:tcPr>
            <w:tcW w:w="2098" w:type="dxa"/>
          </w:tcPr>
          <w:p w:rsidR="00AE0CC1" w:rsidRDefault="003B1292">
            <w:pPr>
              <w:spacing w:after="20" w:line="264" w:lineRule="auto"/>
            </w:pPr>
            <w:r>
              <w:rPr>
                <w:sz w:val="19"/>
              </w:rPr>
              <w:t>Pass (0 of 10 stale)</w:t>
            </w:r>
          </w:p>
        </w:tc>
      </w:tr>
      <w:tr w:rsidR="00AE0CC1">
        <w:trPr>
          <w:jc w:val="center"/>
        </w:trPr>
        <w:tc>
          <w:tcPr>
            <w:tcW w:w="567" w:type="dxa"/>
          </w:tcPr>
          <w:p w:rsidR="00AE0CC1" w:rsidRDefault="003B1292">
            <w:pPr>
              <w:spacing w:after="20" w:line="264" w:lineRule="auto"/>
            </w:pPr>
            <w:r>
              <w:rPr>
                <w:sz w:val="19"/>
              </w:rPr>
              <w:t>T10</w:t>
            </w:r>
          </w:p>
        </w:tc>
        <w:tc>
          <w:tcPr>
            <w:tcW w:w="3061" w:type="dxa"/>
          </w:tcPr>
          <w:p w:rsidR="00AE0CC1" w:rsidRDefault="003B1292">
            <w:pPr>
              <w:spacing w:after="20" w:line="264" w:lineRule="auto"/>
            </w:pPr>
            <w:r>
              <w:rPr>
                <w:sz w:val="19"/>
              </w:rPr>
              <w:t>Auto-refresh on market tab, then switch tab</w:t>
            </w:r>
          </w:p>
        </w:tc>
        <w:tc>
          <w:tcPr>
            <w:tcW w:w="3061" w:type="dxa"/>
          </w:tcPr>
          <w:p w:rsidR="00AE0CC1" w:rsidRDefault="003B1292">
            <w:pPr>
              <w:spacing w:after="20" w:line="264" w:lineRule="auto"/>
            </w:pPr>
            <w:r>
              <w:rPr>
                <w:sz w:val="19"/>
              </w:rPr>
              <w:t>Refresh at 30 s; none on other tabs</w:t>
            </w:r>
          </w:p>
        </w:tc>
        <w:tc>
          <w:tcPr>
            <w:tcW w:w="2098" w:type="dxa"/>
          </w:tcPr>
          <w:p w:rsidR="00AE0CC1" w:rsidRDefault="003B1292">
            <w:pPr>
              <w:spacing w:after="20" w:line="264" w:lineRule="auto"/>
            </w:pPr>
            <w:r>
              <w:rPr>
                <w:sz w:val="19"/>
              </w:rPr>
              <w:t xml:space="preserve">Pass </w:t>
            </w:r>
            <w:r>
              <w:rPr>
                <w:sz w:val="19"/>
              </w:rPr>
              <w:t>(server log)</w:t>
            </w:r>
          </w:p>
        </w:tc>
      </w:tr>
      <w:tr w:rsidR="00AE0CC1">
        <w:trPr>
          <w:jc w:val="center"/>
        </w:trPr>
        <w:tc>
          <w:tcPr>
            <w:tcW w:w="567" w:type="dxa"/>
          </w:tcPr>
          <w:p w:rsidR="00AE0CC1" w:rsidRDefault="003B1292">
            <w:pPr>
              <w:spacing w:after="20" w:line="264" w:lineRule="auto"/>
            </w:pPr>
            <w:r>
              <w:rPr>
                <w:sz w:val="19"/>
              </w:rPr>
              <w:t>T11</w:t>
            </w:r>
          </w:p>
        </w:tc>
        <w:tc>
          <w:tcPr>
            <w:tcW w:w="3061" w:type="dxa"/>
          </w:tcPr>
          <w:p w:rsidR="00AE0CC1" w:rsidRDefault="003B1292">
            <w:pPr>
              <w:spacing w:after="20" w:line="264" w:lineRule="auto"/>
            </w:pPr>
            <w:r>
              <w:rPr>
                <w:sz w:val="19"/>
              </w:rPr>
              <w:t>Watchlist add via picker (Eternal, Apple, Samsung)</w:t>
            </w:r>
          </w:p>
        </w:tc>
        <w:tc>
          <w:tcPr>
            <w:tcW w:w="3061" w:type="dxa"/>
          </w:tcPr>
          <w:p w:rsidR="00AE0CC1" w:rsidRDefault="003B1292">
            <w:pPr>
              <w:spacing w:after="20" w:line="264" w:lineRule="auto"/>
            </w:pPr>
            <w:r>
              <w:rPr>
                <w:sz w:val="19"/>
              </w:rPr>
              <w:t>Live price, name, currency</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T12</w:t>
            </w:r>
          </w:p>
        </w:tc>
        <w:tc>
          <w:tcPr>
            <w:tcW w:w="3061" w:type="dxa"/>
          </w:tcPr>
          <w:p w:rsidR="00AE0CC1" w:rsidRDefault="003B1292">
            <w:pPr>
              <w:spacing w:after="20" w:line="264" w:lineRule="auto"/>
            </w:pPr>
            <w:r>
              <w:rPr>
                <w:sz w:val="19"/>
              </w:rPr>
              <w:t>Empty news box → Market news</w:t>
            </w:r>
          </w:p>
        </w:tc>
        <w:tc>
          <w:tcPr>
            <w:tcW w:w="3061" w:type="dxa"/>
          </w:tcPr>
          <w:p w:rsidR="00AE0CC1" w:rsidRDefault="003B1292">
            <w:pPr>
              <w:spacing w:after="20" w:line="264" w:lineRule="auto"/>
            </w:pPr>
            <w:r>
              <w:rPr>
                <w:sz w:val="19"/>
              </w:rPr>
              <w:t>Sensex/Nifty headlines</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T13</w:t>
            </w:r>
          </w:p>
        </w:tc>
        <w:tc>
          <w:tcPr>
            <w:tcW w:w="3061" w:type="dxa"/>
          </w:tcPr>
          <w:p w:rsidR="00AE0CC1" w:rsidRDefault="003B1292">
            <w:pPr>
              <w:spacing w:after="20" w:line="264" w:lineRule="auto"/>
            </w:pPr>
            <w:r>
              <w:rPr>
                <w:sz w:val="19"/>
              </w:rPr>
              <w:t>Goal plan ₹50 L, 15 y, 12% / 6%</w:t>
            </w:r>
          </w:p>
        </w:tc>
        <w:tc>
          <w:tcPr>
            <w:tcW w:w="3061" w:type="dxa"/>
          </w:tcPr>
          <w:p w:rsidR="00AE0CC1" w:rsidRDefault="003B1292">
            <w:pPr>
              <w:spacing w:after="20" w:line="264" w:lineRule="auto"/>
            </w:pPr>
            <w:r>
              <w:rPr>
                <w:sz w:val="19"/>
              </w:rPr>
              <w:t>SIP ≈ ₹21,579/month</w:t>
            </w:r>
          </w:p>
        </w:tc>
        <w:tc>
          <w:tcPr>
            <w:tcW w:w="2098" w:type="dxa"/>
          </w:tcPr>
          <w:p w:rsidR="00AE0CC1" w:rsidRDefault="003B1292">
            <w:pPr>
              <w:spacing w:after="20" w:line="264" w:lineRule="auto"/>
            </w:pPr>
            <w:r>
              <w:rPr>
                <w:sz w:val="19"/>
              </w:rPr>
              <w:t>Pass</w:t>
            </w:r>
          </w:p>
        </w:tc>
      </w:tr>
      <w:tr w:rsidR="00AE0CC1">
        <w:trPr>
          <w:jc w:val="center"/>
        </w:trPr>
        <w:tc>
          <w:tcPr>
            <w:tcW w:w="567" w:type="dxa"/>
          </w:tcPr>
          <w:p w:rsidR="00AE0CC1" w:rsidRDefault="003B1292">
            <w:pPr>
              <w:spacing w:after="20" w:line="264" w:lineRule="auto"/>
            </w:pPr>
            <w:r>
              <w:rPr>
                <w:sz w:val="19"/>
              </w:rPr>
              <w:t>T14</w:t>
            </w:r>
          </w:p>
        </w:tc>
        <w:tc>
          <w:tcPr>
            <w:tcW w:w="3061" w:type="dxa"/>
          </w:tcPr>
          <w:p w:rsidR="00AE0CC1" w:rsidRDefault="003B1292">
            <w:pPr>
              <w:spacing w:after="20" w:line="264" w:lineRule="auto"/>
            </w:pPr>
            <w:r>
              <w:rPr>
                <w:sz w:val="19"/>
              </w:rPr>
              <w:t xml:space="preserve">Run </w:t>
            </w:r>
            <w:r>
              <w:rPr>
                <w:rFonts w:ascii="Consolas" w:hAnsi="Consolas"/>
                <w:sz w:val="19"/>
              </w:rPr>
              <w:t>python app/main.py</w:t>
            </w:r>
            <w:r>
              <w:rPr>
                <w:sz w:val="19"/>
              </w:rPr>
              <w:t xml:space="preserve"> from another folder</w:t>
            </w:r>
          </w:p>
        </w:tc>
        <w:tc>
          <w:tcPr>
            <w:tcW w:w="3061" w:type="dxa"/>
          </w:tcPr>
          <w:p w:rsidR="00AE0CC1" w:rsidRDefault="003B1292">
            <w:pPr>
              <w:spacing w:after="20" w:line="264" w:lineRule="auto"/>
            </w:pPr>
            <w:r>
              <w:rPr>
                <w:sz w:val="19"/>
              </w:rPr>
              <w:t>Server starts on port 8000</w:t>
            </w:r>
          </w:p>
        </w:tc>
        <w:tc>
          <w:tcPr>
            <w:tcW w:w="2098" w:type="dxa"/>
          </w:tcPr>
          <w:p w:rsidR="00AE0CC1" w:rsidRDefault="003B1292">
            <w:pPr>
              <w:spacing w:after="20" w:line="264" w:lineRule="auto"/>
            </w:pPr>
            <w:r>
              <w:rPr>
                <w:sz w:val="19"/>
              </w:rPr>
              <w:t>Pass</w:t>
            </w:r>
          </w:p>
        </w:tc>
      </w:tr>
    </w:tbl>
    <w:p w:rsidR="00AE0CC1" w:rsidRDefault="00AE0CC1">
      <w:pPr>
        <w:spacing w:after="40"/>
      </w:pPr>
    </w:p>
    <w:p w:rsidR="00AE0CC1" w:rsidRDefault="003B1292">
      <w:pPr>
        <w:pStyle w:val="Heading2"/>
      </w:pPr>
      <w:bookmarkStart w:id="41" w:name="_Toc241845040"/>
      <w:r>
        <w:lastRenderedPageBreak/>
        <w:t>6.3 Defects Found and Resolved</w:t>
      </w:r>
      <w:bookmarkEnd w:id="41"/>
    </w:p>
    <w:p w:rsidR="00AE0CC1" w:rsidRDefault="003B1292">
      <w:pPr>
        <w:jc w:val="both"/>
      </w:pPr>
      <w:r>
        <w:t>Testing on live data surfaced several real-world issues, summarised in Table 6.2. Most stem from depending on free external services and from browser caching — problems t</w:t>
      </w:r>
      <w:r>
        <w:t>hat do not appear with static demo data.</w:t>
      </w:r>
    </w:p>
    <w:p w:rsidR="00AE0CC1" w:rsidRDefault="003B1292">
      <w:pPr>
        <w:pStyle w:val="Caption"/>
        <w:keepNext/>
        <w:jc w:val="center"/>
      </w:pPr>
      <w:r>
        <w:t>Table 6.2: Defects found during testing and their fixes</w:t>
      </w:r>
    </w:p>
    <w:tbl>
      <w:tblPr>
        <w:tblStyle w:val="TableGrid"/>
        <w:tblW w:w="0" w:type="auto"/>
        <w:jc w:val="center"/>
        <w:tblLook w:val="04A0" w:firstRow="1" w:lastRow="0" w:firstColumn="1" w:lastColumn="0" w:noHBand="0" w:noVBand="1"/>
      </w:tblPr>
      <w:tblGrid>
        <w:gridCol w:w="2381"/>
        <w:gridCol w:w="2948"/>
        <w:gridCol w:w="3458"/>
      </w:tblGrid>
      <w:tr w:rsidR="00AE0CC1">
        <w:trPr>
          <w:jc w:val="center"/>
        </w:trPr>
        <w:tc>
          <w:tcPr>
            <w:tcW w:w="2381" w:type="dxa"/>
            <w:shd w:val="clear" w:color="auto" w:fill="13224A"/>
          </w:tcPr>
          <w:p w:rsidR="00AE0CC1" w:rsidRDefault="003B1292">
            <w:pPr>
              <w:spacing w:after="20" w:line="264" w:lineRule="auto"/>
            </w:pPr>
            <w:r>
              <w:rPr>
                <w:b/>
                <w:color w:val="FFFFFF"/>
                <w:sz w:val="19"/>
              </w:rPr>
              <w:t>Defect</w:t>
            </w:r>
          </w:p>
        </w:tc>
        <w:tc>
          <w:tcPr>
            <w:tcW w:w="2948" w:type="dxa"/>
            <w:shd w:val="clear" w:color="auto" w:fill="13224A"/>
          </w:tcPr>
          <w:p w:rsidR="00AE0CC1" w:rsidRDefault="003B1292">
            <w:pPr>
              <w:spacing w:after="20" w:line="264" w:lineRule="auto"/>
            </w:pPr>
            <w:r>
              <w:rPr>
                <w:b/>
                <w:color w:val="FFFFFF"/>
                <w:sz w:val="19"/>
              </w:rPr>
              <w:t>Root cause</w:t>
            </w:r>
          </w:p>
        </w:tc>
        <w:tc>
          <w:tcPr>
            <w:tcW w:w="3458" w:type="dxa"/>
            <w:shd w:val="clear" w:color="auto" w:fill="13224A"/>
          </w:tcPr>
          <w:p w:rsidR="00AE0CC1" w:rsidRDefault="003B1292">
            <w:pPr>
              <w:spacing w:after="20" w:line="264" w:lineRule="auto"/>
            </w:pPr>
            <w:r>
              <w:rPr>
                <w:b/>
                <w:color w:val="FFFFFF"/>
                <w:sz w:val="19"/>
              </w:rPr>
              <w:t>Resolution</w:t>
            </w:r>
          </w:p>
        </w:tc>
      </w:tr>
      <w:tr w:rsidR="00AE0CC1">
        <w:trPr>
          <w:jc w:val="center"/>
        </w:trPr>
        <w:tc>
          <w:tcPr>
            <w:tcW w:w="2381" w:type="dxa"/>
          </w:tcPr>
          <w:p w:rsidR="00AE0CC1" w:rsidRDefault="003B1292">
            <w:pPr>
              <w:spacing w:after="20" w:line="264" w:lineRule="auto"/>
            </w:pPr>
            <w:r>
              <w:rPr>
                <w:sz w:val="19"/>
              </w:rPr>
              <w:t>All market tabs returned errors</w:t>
            </w:r>
          </w:p>
        </w:tc>
        <w:tc>
          <w:tcPr>
            <w:tcW w:w="2948" w:type="dxa"/>
          </w:tcPr>
          <w:p w:rsidR="00AE0CC1" w:rsidRDefault="003B1292">
            <w:pPr>
              <w:spacing w:after="20" w:line="264" w:lineRule="auto"/>
            </w:pPr>
            <w:r>
              <w:rPr>
                <w:sz w:val="19"/>
              </w:rPr>
              <w:t>Market endpoints missing from main.py (file truncated)</w:t>
            </w:r>
          </w:p>
        </w:tc>
        <w:tc>
          <w:tcPr>
            <w:tcW w:w="3458" w:type="dxa"/>
          </w:tcPr>
          <w:p w:rsidR="00AE0CC1" w:rsidRDefault="003B1292">
            <w:pPr>
              <w:spacing w:after="20" w:line="264" w:lineRule="auto"/>
            </w:pPr>
            <w:r>
              <w:rPr>
                <w:sz w:val="19"/>
              </w:rPr>
              <w:t xml:space="preserve">Restored /market/quote, /daily, /news and </w:t>
            </w:r>
            <w:r>
              <w:rPr>
                <w:sz w:val="19"/>
              </w:rPr>
              <w:t>/planner/what-if</w:t>
            </w:r>
          </w:p>
        </w:tc>
      </w:tr>
      <w:tr w:rsidR="00AE0CC1">
        <w:trPr>
          <w:jc w:val="center"/>
        </w:trPr>
        <w:tc>
          <w:tcPr>
            <w:tcW w:w="2381" w:type="dxa"/>
          </w:tcPr>
          <w:p w:rsidR="00AE0CC1" w:rsidRDefault="003B1292">
            <w:pPr>
              <w:spacing w:after="20" w:line="264" w:lineRule="auto"/>
            </w:pPr>
            <w:r>
              <w:rPr>
                <w:sz w:val="19"/>
              </w:rPr>
              <w:t>Only 3 companies selectable</w:t>
            </w:r>
          </w:p>
        </w:tc>
        <w:tc>
          <w:tcPr>
            <w:tcW w:w="2948" w:type="dxa"/>
          </w:tcPr>
          <w:p w:rsidR="00AE0CC1" w:rsidRDefault="003B1292">
            <w:pPr>
              <w:spacing w:after="20" w:line="264" w:lineRule="auto"/>
            </w:pPr>
            <w:r>
              <w:rPr>
                <w:sz w:val="19"/>
              </w:rPr>
              <w:t>Hard-coded dropdown</w:t>
            </w:r>
          </w:p>
        </w:tc>
        <w:tc>
          <w:tcPr>
            <w:tcW w:w="3458" w:type="dxa"/>
          </w:tcPr>
          <w:p w:rsidR="00AE0CC1" w:rsidRDefault="003B1292">
            <w:pPr>
              <w:spacing w:after="20" w:line="264" w:lineRule="auto"/>
            </w:pPr>
            <w:r>
              <w:rPr>
                <w:sz w:val="19"/>
              </w:rPr>
              <w:t>Search endpoint + resolver supporting any listed instrument</w:t>
            </w:r>
          </w:p>
        </w:tc>
      </w:tr>
      <w:tr w:rsidR="00AE0CC1">
        <w:trPr>
          <w:jc w:val="center"/>
        </w:trPr>
        <w:tc>
          <w:tcPr>
            <w:tcW w:w="2381" w:type="dxa"/>
          </w:tcPr>
          <w:p w:rsidR="00AE0CC1" w:rsidRDefault="003B1292">
            <w:pPr>
              <w:spacing w:after="20" w:line="264" w:lineRule="auto"/>
            </w:pPr>
            <w:r>
              <w:rPr>
                <w:sz w:val="19"/>
              </w:rPr>
              <w:t>Typed company names failed</w:t>
            </w:r>
          </w:p>
        </w:tc>
        <w:tc>
          <w:tcPr>
            <w:tcW w:w="2948" w:type="dxa"/>
          </w:tcPr>
          <w:p w:rsidR="00AE0CC1" w:rsidRDefault="003B1292">
            <w:pPr>
              <w:spacing w:after="20" w:line="264" w:lineRule="auto"/>
            </w:pPr>
            <w:r>
              <w:rPr>
                <w:sz w:val="19"/>
              </w:rPr>
              <w:t>Input treated as ticker</w:t>
            </w:r>
          </w:p>
        </w:tc>
        <w:tc>
          <w:tcPr>
            <w:tcW w:w="3458" w:type="dxa"/>
          </w:tcPr>
          <w:p w:rsidR="00AE0CC1" w:rsidRDefault="003B1292">
            <w:pPr>
              <w:spacing w:after="20" w:line="264" w:lineRule="auto"/>
            </w:pPr>
            <w:r>
              <w:rPr>
                <w:sz w:val="19"/>
              </w:rPr>
              <w:t>Name-first resolution through search</w:t>
            </w:r>
          </w:p>
        </w:tc>
      </w:tr>
      <w:tr w:rsidR="00AE0CC1">
        <w:trPr>
          <w:jc w:val="center"/>
        </w:trPr>
        <w:tc>
          <w:tcPr>
            <w:tcW w:w="2381" w:type="dxa"/>
          </w:tcPr>
          <w:p w:rsidR="00AE0CC1" w:rsidRDefault="003B1292">
            <w:pPr>
              <w:spacing w:after="20" w:line="264" w:lineRule="auto"/>
            </w:pPr>
            <w:r>
              <w:rPr>
                <w:sz w:val="19"/>
              </w:rPr>
              <w:t>Missing day range on holidays</w:t>
            </w:r>
          </w:p>
        </w:tc>
        <w:tc>
          <w:tcPr>
            <w:tcW w:w="2948" w:type="dxa"/>
          </w:tcPr>
          <w:p w:rsidR="00AE0CC1" w:rsidRDefault="003B1292">
            <w:pPr>
              <w:spacing w:after="20" w:line="264" w:lineRule="auto"/>
            </w:pPr>
            <w:r>
              <w:rPr>
                <w:sz w:val="19"/>
              </w:rPr>
              <w:t>1-day intr</w:t>
            </w:r>
            <w:r>
              <w:rPr>
                <w:sz w:val="19"/>
              </w:rPr>
              <w:t>aday window empty</w:t>
            </w:r>
          </w:p>
        </w:tc>
        <w:tc>
          <w:tcPr>
            <w:tcW w:w="3458" w:type="dxa"/>
          </w:tcPr>
          <w:p w:rsidR="00AE0CC1" w:rsidRDefault="003B1292">
            <w:pPr>
              <w:spacing w:after="20" w:line="264" w:lineRule="auto"/>
            </w:pPr>
            <w:r>
              <w:rPr>
                <w:sz w:val="19"/>
              </w:rPr>
              <w:t>5-day window, latest session</w:t>
            </w:r>
          </w:p>
        </w:tc>
      </w:tr>
      <w:tr w:rsidR="00AE0CC1">
        <w:trPr>
          <w:jc w:val="center"/>
        </w:trPr>
        <w:tc>
          <w:tcPr>
            <w:tcW w:w="2381" w:type="dxa"/>
          </w:tcPr>
          <w:p w:rsidR="00AE0CC1" w:rsidRDefault="003B1292">
            <w:pPr>
              <w:spacing w:after="20" w:line="264" w:lineRule="auto"/>
            </w:pPr>
            <w:r>
              <w:rPr>
                <w:sz w:val="19"/>
              </w:rPr>
              <w:t>Old UI after updates</w:t>
            </w:r>
          </w:p>
        </w:tc>
        <w:tc>
          <w:tcPr>
            <w:tcW w:w="2948" w:type="dxa"/>
          </w:tcPr>
          <w:p w:rsidR="00AE0CC1" w:rsidRDefault="003B1292">
            <w:pPr>
              <w:spacing w:after="20" w:line="264" w:lineRule="auto"/>
            </w:pPr>
            <w:r>
              <w:rPr>
                <w:sz w:val="19"/>
              </w:rPr>
              <w:t>Browser served cached JS/CSS</w:t>
            </w:r>
          </w:p>
        </w:tc>
        <w:tc>
          <w:tcPr>
            <w:tcW w:w="3458" w:type="dxa"/>
          </w:tcPr>
          <w:p w:rsidR="00AE0CC1" w:rsidRDefault="003B1292">
            <w:pPr>
              <w:spacing w:after="20" w:line="264" w:lineRule="auto"/>
            </w:pPr>
            <w:r>
              <w:rPr>
                <w:sz w:val="19"/>
              </w:rPr>
              <w:t>no-cache headers and versioned asset URLs</w:t>
            </w:r>
          </w:p>
        </w:tc>
      </w:tr>
      <w:tr w:rsidR="00AE0CC1">
        <w:trPr>
          <w:jc w:val="center"/>
        </w:trPr>
        <w:tc>
          <w:tcPr>
            <w:tcW w:w="2381" w:type="dxa"/>
          </w:tcPr>
          <w:p w:rsidR="00AE0CC1" w:rsidRDefault="003B1292">
            <w:pPr>
              <w:spacing w:after="20" w:line="264" w:lineRule="auto"/>
            </w:pPr>
            <w:r>
              <w:rPr>
                <w:sz w:val="19"/>
              </w:rPr>
              <w:t>Irrelevant news headlines</w:t>
            </w:r>
          </w:p>
        </w:tc>
        <w:tc>
          <w:tcPr>
            <w:tcW w:w="2948" w:type="dxa"/>
          </w:tcPr>
          <w:p w:rsidR="00AE0CC1" w:rsidRDefault="003B1292">
            <w:pPr>
              <w:spacing w:after="20" w:line="264" w:lineRule="auto"/>
            </w:pPr>
            <w:r>
              <w:rPr>
                <w:sz w:val="19"/>
              </w:rPr>
              <w:t>Full-text match sorted by date</w:t>
            </w:r>
          </w:p>
        </w:tc>
        <w:tc>
          <w:tcPr>
            <w:tcW w:w="3458" w:type="dxa"/>
          </w:tcPr>
          <w:p w:rsidR="00AE0CC1" w:rsidRDefault="003B1292">
            <w:pPr>
              <w:spacing w:after="20" w:line="264" w:lineRule="auto"/>
            </w:pPr>
            <w:r>
              <w:rPr>
                <w:sz w:val="19"/>
              </w:rPr>
              <w:t>Headline keyword filter with brand aliases, de-duplication</w:t>
            </w:r>
          </w:p>
        </w:tc>
      </w:tr>
      <w:tr w:rsidR="00AE0CC1">
        <w:trPr>
          <w:jc w:val="center"/>
        </w:trPr>
        <w:tc>
          <w:tcPr>
            <w:tcW w:w="2381" w:type="dxa"/>
          </w:tcPr>
          <w:p w:rsidR="00AE0CC1" w:rsidRDefault="003B1292">
            <w:pPr>
              <w:spacing w:after="20" w:line="264" w:lineRule="auto"/>
            </w:pPr>
            <w:r>
              <w:rPr>
                <w:sz w:val="19"/>
              </w:rPr>
              <w:t>Previous company’s news shown</w:t>
            </w:r>
          </w:p>
        </w:tc>
        <w:tc>
          <w:tcPr>
            <w:tcW w:w="2948" w:type="dxa"/>
          </w:tcPr>
          <w:p w:rsidR="00AE0CC1" w:rsidRDefault="003B1292">
            <w:pPr>
              <w:spacing w:after="20" w:line="264" w:lineRule="auto"/>
            </w:pPr>
            <w:r>
              <w:rPr>
                <w:sz w:val="19"/>
              </w:rPr>
              <w:t>Out-of-order HTTP responses</w:t>
            </w:r>
          </w:p>
        </w:tc>
        <w:tc>
          <w:tcPr>
            <w:tcW w:w="3458" w:type="dxa"/>
          </w:tcPr>
          <w:p w:rsidR="00AE0CC1" w:rsidRDefault="003B1292">
            <w:pPr>
              <w:spacing w:after="20" w:line="264" w:lineRule="auto"/>
            </w:pPr>
            <w:r>
              <w:rPr>
                <w:sz w:val="19"/>
              </w:rPr>
              <w:t>Per-request sequence numbers</w:t>
            </w:r>
          </w:p>
        </w:tc>
      </w:tr>
      <w:tr w:rsidR="00AE0CC1">
        <w:trPr>
          <w:jc w:val="center"/>
        </w:trPr>
        <w:tc>
          <w:tcPr>
            <w:tcW w:w="2381" w:type="dxa"/>
          </w:tcPr>
          <w:p w:rsidR="00AE0CC1" w:rsidRDefault="003B1292">
            <w:pPr>
              <w:spacing w:after="20" w:line="264" w:lineRule="auto"/>
            </w:pPr>
            <w:r>
              <w:rPr>
                <w:sz w:val="19"/>
              </w:rPr>
              <w:t>Intermittent news failures</w:t>
            </w:r>
          </w:p>
        </w:tc>
        <w:tc>
          <w:tcPr>
            <w:tcW w:w="2948" w:type="dxa"/>
          </w:tcPr>
          <w:p w:rsidR="00AE0CC1" w:rsidRDefault="003B1292">
            <w:pPr>
              <w:spacing w:after="20" w:line="264" w:lineRule="auto"/>
            </w:pPr>
            <w:r>
              <w:rPr>
                <w:sz w:val="19"/>
              </w:rPr>
              <w:t>Transient Google 404s</w:t>
            </w:r>
          </w:p>
        </w:tc>
        <w:tc>
          <w:tcPr>
            <w:tcW w:w="3458" w:type="dxa"/>
          </w:tcPr>
          <w:p w:rsidR="00AE0CC1" w:rsidRDefault="003B1292">
            <w:pPr>
              <w:spacing w:after="20" w:line="264" w:lineRule="auto"/>
            </w:pPr>
            <w:r>
              <w:rPr>
                <w:sz w:val="19"/>
              </w:rPr>
              <w:t>Retry with back-off; serve last good value</w:t>
            </w:r>
          </w:p>
        </w:tc>
      </w:tr>
      <w:tr w:rsidR="00AE0CC1">
        <w:trPr>
          <w:jc w:val="center"/>
        </w:trPr>
        <w:tc>
          <w:tcPr>
            <w:tcW w:w="2381" w:type="dxa"/>
          </w:tcPr>
          <w:p w:rsidR="00AE0CC1" w:rsidRDefault="003B1292">
            <w:pPr>
              <w:spacing w:after="20" w:line="264" w:lineRule="auto"/>
            </w:pPr>
            <w:r>
              <w:rPr>
                <w:sz w:val="19"/>
              </w:rPr>
              <w:t>ModuleNotFoundError: app</w:t>
            </w:r>
          </w:p>
        </w:tc>
        <w:tc>
          <w:tcPr>
            <w:tcW w:w="2948" w:type="dxa"/>
          </w:tcPr>
          <w:p w:rsidR="00AE0CC1" w:rsidRDefault="003B1292">
            <w:pPr>
              <w:spacing w:after="20" w:line="264" w:lineRule="auto"/>
            </w:pPr>
            <w:r>
              <w:rPr>
                <w:sz w:val="19"/>
              </w:rPr>
              <w:t>Running main.py as a script</w:t>
            </w:r>
          </w:p>
        </w:tc>
        <w:tc>
          <w:tcPr>
            <w:tcW w:w="3458" w:type="dxa"/>
          </w:tcPr>
          <w:p w:rsidR="00AE0CC1" w:rsidRDefault="003B1292">
            <w:pPr>
              <w:spacing w:after="20" w:line="264" w:lineRule="auto"/>
            </w:pPr>
            <w:r>
              <w:rPr>
                <w:sz w:val="19"/>
              </w:rPr>
              <w:t xml:space="preserve">Path setup and </w:t>
            </w:r>
            <w:r>
              <w:rPr>
                <w:sz w:val="19"/>
              </w:rPr>
              <w:t>built-in server start in main.py</w:t>
            </w:r>
          </w:p>
        </w:tc>
      </w:tr>
      <w:tr w:rsidR="00AE0CC1">
        <w:trPr>
          <w:jc w:val="center"/>
        </w:trPr>
        <w:tc>
          <w:tcPr>
            <w:tcW w:w="2381" w:type="dxa"/>
          </w:tcPr>
          <w:p w:rsidR="00AE0CC1" w:rsidRDefault="003B1292">
            <w:pPr>
              <w:spacing w:after="20" w:line="264" w:lineRule="auto"/>
            </w:pPr>
            <w:r>
              <w:rPr>
                <w:sz w:val="19"/>
              </w:rPr>
              <w:t>₹ shown for US stocks</w:t>
            </w:r>
          </w:p>
        </w:tc>
        <w:tc>
          <w:tcPr>
            <w:tcW w:w="2948" w:type="dxa"/>
          </w:tcPr>
          <w:p w:rsidR="00AE0CC1" w:rsidRDefault="003B1292">
            <w:pPr>
              <w:spacing w:after="20" w:line="264" w:lineRule="auto"/>
            </w:pPr>
            <w:r>
              <w:rPr>
                <w:sz w:val="19"/>
              </w:rPr>
              <w:t>Hard-coded currency</w:t>
            </w:r>
          </w:p>
        </w:tc>
        <w:tc>
          <w:tcPr>
            <w:tcW w:w="3458" w:type="dxa"/>
          </w:tcPr>
          <w:p w:rsidR="00AE0CC1" w:rsidRDefault="003B1292">
            <w:pPr>
              <w:spacing w:after="20" w:line="264" w:lineRule="auto"/>
            </w:pPr>
            <w:r>
              <w:rPr>
                <w:sz w:val="19"/>
              </w:rPr>
              <w:t>Currency from Yahoo metadata</w:t>
            </w:r>
          </w:p>
        </w:tc>
      </w:tr>
    </w:tbl>
    <w:p w:rsidR="00AE0CC1" w:rsidRDefault="00AE0CC1">
      <w:pPr>
        <w:spacing w:after="40"/>
      </w:pPr>
    </w:p>
    <w:p w:rsidR="00AE0CC1" w:rsidRDefault="003B1292">
      <w:r>
        <w:br w:type="page"/>
      </w:r>
    </w:p>
    <w:p w:rsidR="00AE0CC1" w:rsidRDefault="003B1292">
      <w:pPr>
        <w:pStyle w:val="Heading1"/>
      </w:pPr>
      <w:bookmarkStart w:id="42" w:name="_Toc241845041"/>
      <w:r>
        <w:lastRenderedPageBreak/>
        <w:t>Chapter 7: Limitations and Future Work</w:t>
      </w:r>
      <w:bookmarkEnd w:id="42"/>
    </w:p>
    <w:p w:rsidR="00AE0CC1" w:rsidRDefault="003B1292">
      <w:pPr>
        <w:pStyle w:val="Heading2"/>
      </w:pPr>
      <w:bookmarkStart w:id="43" w:name="_Toc241845042"/>
      <w:r>
        <w:t>7.1 Limitations</w:t>
      </w:r>
      <w:bookmarkEnd w:id="43"/>
    </w:p>
    <w:p w:rsidR="00AE0CC1" w:rsidRDefault="003B1292">
      <w:pPr>
        <w:pStyle w:val="ListBullet"/>
        <w:spacing w:after="40" w:line="312" w:lineRule="auto"/>
      </w:pPr>
      <w:r>
        <w:rPr>
          <w:b/>
        </w:rPr>
        <w:t>Data source reliability:</w:t>
      </w:r>
      <w:r>
        <w:t xml:space="preserve"> yfinance uses unofficial Yahoo Finance endpoints that may change or throttle without notice; prices for NSE/BSE may be delayed by a few minutes and are not suitable for trading.</w:t>
      </w:r>
    </w:p>
    <w:p w:rsidR="00AE0CC1" w:rsidRDefault="003B1292">
      <w:pPr>
        <w:pStyle w:val="ListBullet"/>
        <w:spacing w:after="40" w:line="312" w:lineRule="auto"/>
      </w:pPr>
      <w:r>
        <w:rPr>
          <w:b/>
        </w:rPr>
        <w:t>Unlisted companies:</w:t>
      </w:r>
      <w:r>
        <w:t xml:space="preserve"> private companies (e.g. the smartphone maker Vivo) have n</w:t>
      </w:r>
      <w:r>
        <w:t>o market data; search then returns the closest listed name.</w:t>
      </w:r>
    </w:p>
    <w:p w:rsidR="00AE0CC1" w:rsidRDefault="003B1292">
      <w:pPr>
        <w:pStyle w:val="ListBullet"/>
        <w:spacing w:after="40" w:line="312" w:lineRule="auto"/>
      </w:pPr>
      <w:r>
        <w:rPr>
          <w:b/>
        </w:rPr>
        <w:t>Rule-based “AI” assistant:</w:t>
      </w:r>
      <w:r>
        <w:t xml:space="preserve"> the assistant uses keyword matching over a curated glossary, not a language model.</w:t>
      </w:r>
    </w:p>
    <w:p w:rsidR="00AE0CC1" w:rsidRDefault="003B1292">
      <w:pPr>
        <w:pStyle w:val="ListBullet"/>
        <w:spacing w:after="40" w:line="312" w:lineRule="auto"/>
      </w:pPr>
      <w:r>
        <w:rPr>
          <w:b/>
        </w:rPr>
        <w:t>Simplified rules:</w:t>
      </w:r>
      <w:r>
        <w:t xml:space="preserve"> scoring thresholds are generic heuristics; the tax module ignores su</w:t>
      </w:r>
      <w:r>
        <w:t>rcharge, grandfathering and loss set-off.</w:t>
      </w:r>
    </w:p>
    <w:p w:rsidR="00AE0CC1" w:rsidRDefault="003B1292">
      <w:pPr>
        <w:pStyle w:val="ListBullet"/>
        <w:spacing w:after="40" w:line="312" w:lineRule="auto"/>
      </w:pPr>
      <w:r>
        <w:rPr>
          <w:b/>
        </w:rPr>
        <w:t>State:</w:t>
      </w:r>
      <w:r>
        <w:t xml:space="preserve"> watchlists and alerts live in the browser session and are lost on reload; there are no user accounts.</w:t>
      </w:r>
    </w:p>
    <w:p w:rsidR="00AE0CC1" w:rsidRDefault="003B1292">
      <w:pPr>
        <w:pStyle w:val="ListBullet"/>
        <w:spacing w:after="40" w:line="312" w:lineRule="auto"/>
      </w:pPr>
      <w:r>
        <w:rPr>
          <w:b/>
        </w:rPr>
        <w:t>ML scope:</w:t>
      </w:r>
      <w:r>
        <w:t xml:space="preserve"> the prediction pipeline is offline and, as shown in Chapter 5, has no demonstrated predictive e</w:t>
      </w:r>
      <w:r>
        <w:t>dge.</w:t>
      </w:r>
    </w:p>
    <w:p w:rsidR="00AE0CC1" w:rsidRDefault="003B1292">
      <w:pPr>
        <w:pStyle w:val="Heading2"/>
      </w:pPr>
      <w:bookmarkStart w:id="44" w:name="_Toc241845043"/>
      <w:r>
        <w:t>7.2 Future Work</w:t>
      </w:r>
      <w:bookmarkEnd w:id="44"/>
    </w:p>
    <w:p w:rsidR="00AE0CC1" w:rsidRDefault="003B1292">
      <w:pPr>
        <w:pStyle w:val="ListBullet"/>
        <w:spacing w:after="40" w:line="312" w:lineRule="auto"/>
      </w:pPr>
      <w:r>
        <w:t>Persist watchlists and alerts (local storage or a small database) and add notifications.</w:t>
      </w:r>
    </w:p>
    <w:p w:rsidR="00AE0CC1" w:rsidRDefault="003B1292">
      <w:pPr>
        <w:pStyle w:val="ListBullet"/>
        <w:spacing w:after="40" w:line="312" w:lineRule="auto"/>
      </w:pPr>
      <w:r>
        <w:t>Expose the ML pipeline in the UI as an educational “model lab” that always displays the naive baseline beside model results.</w:t>
      </w:r>
    </w:p>
    <w:p w:rsidR="00AE0CC1" w:rsidRDefault="003B1292">
      <w:pPr>
        <w:pStyle w:val="ListBullet"/>
        <w:spacing w:after="40" w:line="312" w:lineRule="auto"/>
      </w:pPr>
      <w:r>
        <w:t>Predict returns/direc</w:t>
      </w:r>
      <w:r>
        <w:t>tion with walk-forward validation and add fundamental and news-sentiment features.</w:t>
      </w:r>
    </w:p>
    <w:p w:rsidR="00AE0CC1" w:rsidRDefault="003B1292">
      <w:pPr>
        <w:pStyle w:val="ListBullet"/>
        <w:spacing w:after="40" w:line="312" w:lineRule="auto"/>
      </w:pPr>
      <w:r>
        <w:t>Integrate a large language model for the assistant, grounded in the platform’s own calculations and glossary.</w:t>
      </w:r>
    </w:p>
    <w:p w:rsidR="00AE0CC1" w:rsidRDefault="003B1292">
      <w:pPr>
        <w:pStyle w:val="ListBullet"/>
        <w:spacing w:after="40" w:line="312" w:lineRule="auto"/>
      </w:pPr>
      <w:r>
        <w:t>Add an automated test suite (pytest for calculators, mocked mar</w:t>
      </w:r>
      <w:r>
        <w:t>ket data, Playwright UI tests in CI).</w:t>
      </w:r>
    </w:p>
    <w:p w:rsidR="00AE0CC1" w:rsidRDefault="003B1292">
      <w:pPr>
        <w:pStyle w:val="ListBullet"/>
        <w:spacing w:after="40" w:line="312" w:lineRule="auto"/>
      </w:pPr>
      <w:r>
        <w:t>Package for deployment (Docker, HTTPS hosting) and add an official exchange data feed for production use.</w:t>
      </w:r>
    </w:p>
    <w:p w:rsidR="00AE0CC1" w:rsidRDefault="003B1292">
      <w:r>
        <w:br w:type="page"/>
      </w:r>
    </w:p>
    <w:p w:rsidR="00AE0CC1" w:rsidRDefault="003B1292">
      <w:pPr>
        <w:pStyle w:val="Heading1"/>
      </w:pPr>
      <w:bookmarkStart w:id="45" w:name="_Toc241845044"/>
      <w:r>
        <w:lastRenderedPageBreak/>
        <w:t>Chapter 8: Conclusion</w:t>
      </w:r>
      <w:bookmarkEnd w:id="45"/>
    </w:p>
    <w:p w:rsidR="00AE0CC1" w:rsidRDefault="003B1292">
      <w:pPr>
        <w:jc w:val="both"/>
      </w:pPr>
      <w:r>
        <w:t xml:space="preserve">This project delivered FinSuite, an integrated finance platform that places sixteen </w:t>
      </w:r>
      <w:r>
        <w:t>analytical tools — from ratio analysis and credit-risk screening to SIP planning, capital-gains tax estimation and live market tracking — behind a single, transparent interface backed by a documented REST API. Each calculation explains its formula and reas</w:t>
      </w:r>
      <w:r>
        <w:t>oning, aiming to improve users’ understanding rather than simply produce a number.</w:t>
      </w:r>
    </w:p>
    <w:p w:rsidR="00AE0CC1" w:rsidRDefault="003B1292">
      <w:pPr>
        <w:jc w:val="both"/>
      </w:pPr>
      <w:r>
        <w:t>The live market-data layer meets the goal of covering any listed company worldwide without paid keys. Achieving this reliably required more than calling a library: symbol re</w:t>
      </w:r>
      <w:r>
        <w:t>solution for names and bare tickers, ranking for the Indian market, holiday-aware quotes, caching, retries, relevance-filtered news and protection against stale browser data were all necessary, and each was driven by a defect observed while testing with re</w:t>
      </w:r>
      <w:r>
        <w:t>al data.</w:t>
      </w:r>
    </w:p>
    <w:p w:rsidR="00AE0CC1" w:rsidRDefault="003B1292">
      <w:pPr>
        <w:jc w:val="both"/>
      </w:pPr>
      <w:r>
        <w:t xml:space="preserve">The machine-learning experiment produced an equally important, if less glamorous, result: price-only models with low headline error did not beat the naive forecast, and could not predict direction. Reporting this honestly, with a proper baseline, </w:t>
      </w:r>
      <w:r>
        <w:t>is itself a contribution — it demonstrates how AI in finance should be evaluated, and why responsible tools should not present such models to users as reliable predictions.</w:t>
      </w:r>
    </w:p>
    <w:p w:rsidR="00AE0CC1" w:rsidRDefault="003B1292">
      <w:pPr>
        <w:jc w:val="both"/>
      </w:pPr>
      <w:r>
        <w:t xml:space="preserve">Overall, the project shows that a carefully engineered, free and open platform can </w:t>
      </w:r>
      <w:r>
        <w:t>bring professional-style financial analysis within reach of students, first-time investors and small savers, and provides a solid foundation for the extensions outlined in Chapter 7.</w:t>
      </w:r>
    </w:p>
    <w:p w:rsidR="00AE0CC1" w:rsidRDefault="003B1292">
      <w:r>
        <w:br w:type="page"/>
      </w:r>
    </w:p>
    <w:p w:rsidR="00AE0CC1" w:rsidRDefault="003B1292">
      <w:pPr>
        <w:pStyle w:val="Heading1"/>
      </w:pPr>
      <w:bookmarkStart w:id="46" w:name="_Toc241845045"/>
      <w:r>
        <w:lastRenderedPageBreak/>
        <w:t>References</w:t>
      </w:r>
      <w:bookmarkEnd w:id="46"/>
    </w:p>
    <w:p w:rsidR="00AE0CC1" w:rsidRDefault="003B1292">
      <w:pPr>
        <w:spacing w:line="288" w:lineRule="auto"/>
        <w:ind w:left="567" w:hanging="567"/>
      </w:pPr>
      <w:r>
        <w:t>[1]  Breiman, L. (2001). Random Forests. Machine Learning, 4</w:t>
      </w:r>
      <w:r>
        <w:t>5(1), 5–32.</w:t>
      </w:r>
    </w:p>
    <w:p w:rsidR="00AE0CC1" w:rsidRDefault="003B1292">
      <w:pPr>
        <w:spacing w:line="288" w:lineRule="auto"/>
        <w:ind w:left="567" w:hanging="567"/>
      </w:pPr>
      <w:r>
        <w:t>[2]  Brealey, R. A., Myers, S. C., &amp; Allen, F. (2020). Principles of Corporate Finance (13th ed.). McGraw-Hill Education.</w:t>
      </w:r>
    </w:p>
    <w:p w:rsidR="00AE0CC1" w:rsidRDefault="003B1292">
      <w:pPr>
        <w:spacing w:line="288" w:lineRule="auto"/>
        <w:ind w:left="567" w:hanging="567"/>
      </w:pPr>
      <w:r>
        <w:t xml:space="preserve">[3]  Fama, E. F. (1970). Efficient Capital Markets: A Review of Theory and Empirical Work. The Journal of Finance, 25(2), </w:t>
      </w:r>
      <w:r>
        <w:t>383–417.</w:t>
      </w:r>
    </w:p>
    <w:p w:rsidR="00AE0CC1" w:rsidRDefault="003B1292">
      <w:pPr>
        <w:spacing w:line="288" w:lineRule="auto"/>
        <w:ind w:left="567" w:hanging="567"/>
      </w:pPr>
      <w:r>
        <w:t>[4]  Wilder, J. W. (1978). New Concepts in Technical Trading Systems. Trend Research.</w:t>
      </w:r>
    </w:p>
    <w:p w:rsidR="00AE0CC1" w:rsidRDefault="003B1292">
      <w:pPr>
        <w:spacing w:line="288" w:lineRule="auto"/>
        <w:ind w:left="567" w:hanging="567"/>
      </w:pPr>
      <w:r>
        <w:t>[5]  Pedregosa, F., et al. (2011). Scikit-learn: Machine Learning in Python. Journal of Machine Learning Research, 12, 2825–2830.</w:t>
      </w:r>
    </w:p>
    <w:p w:rsidR="00AE0CC1" w:rsidRDefault="003B1292">
      <w:pPr>
        <w:spacing w:line="288" w:lineRule="auto"/>
        <w:ind w:left="567" w:hanging="567"/>
      </w:pPr>
      <w:r>
        <w:t xml:space="preserve">[6]  McKinney, W. (2010). Data </w:t>
      </w:r>
      <w:r>
        <w:t>Structures for Statistical Computing in Python. Proceedings of the 9th Python in Science Conference, 56–61.</w:t>
      </w:r>
    </w:p>
    <w:p w:rsidR="00AE0CC1" w:rsidRDefault="003B1292">
      <w:pPr>
        <w:spacing w:line="288" w:lineRule="auto"/>
        <w:ind w:left="567" w:hanging="567"/>
      </w:pPr>
      <w:r>
        <w:t>[7]  Government of India. Income-tax Act, 1961 — Sections 111A and 112A, as amended by the Finance (No. 2) Act, 2024.</w:t>
      </w:r>
    </w:p>
    <w:p w:rsidR="00AE0CC1" w:rsidRDefault="003B1292">
      <w:pPr>
        <w:spacing w:line="288" w:lineRule="auto"/>
        <w:ind w:left="567" w:hanging="567"/>
      </w:pPr>
      <w:r>
        <w:t>[8]  TransUnion CIBIL. CIBIL S</w:t>
      </w:r>
      <w:r>
        <w:t>core and Report — consumer information. https://www.cibil.com</w:t>
      </w:r>
    </w:p>
    <w:p w:rsidR="00AE0CC1" w:rsidRDefault="003B1292">
      <w:pPr>
        <w:spacing w:line="288" w:lineRule="auto"/>
        <w:ind w:left="567" w:hanging="567"/>
      </w:pPr>
      <w:r>
        <w:t>[9]  FastAPI documentation. https://fastapi.tiangolo.com</w:t>
      </w:r>
    </w:p>
    <w:p w:rsidR="00AE0CC1" w:rsidRDefault="003B1292">
      <w:pPr>
        <w:spacing w:line="288" w:lineRule="auto"/>
        <w:ind w:left="567" w:hanging="567"/>
      </w:pPr>
      <w:r>
        <w:t>[10]  yfinance — Download market data from Yahoo! Finance’s API. https://github.com/ranaroussi/yfinance</w:t>
      </w:r>
    </w:p>
    <w:p w:rsidR="00AE0CC1" w:rsidRDefault="003B1292">
      <w:pPr>
        <w:spacing w:line="288" w:lineRule="auto"/>
        <w:ind w:left="567" w:hanging="567"/>
      </w:pPr>
      <w:r>
        <w:t>[11]  Chart.js documentation. htt</w:t>
      </w:r>
      <w:r>
        <w:t>ps://www.chartjs.org/docs/</w:t>
      </w:r>
    </w:p>
    <w:p w:rsidR="00AE0CC1" w:rsidRDefault="003B1292">
      <w:pPr>
        <w:spacing w:line="288" w:lineRule="auto"/>
        <w:ind w:left="567" w:hanging="567"/>
      </w:pPr>
      <w:r>
        <w:t>[12]  Playwright for Python documentation. https://playwright.dev/python/</w:t>
      </w:r>
    </w:p>
    <w:p w:rsidR="00AE0CC1" w:rsidRDefault="003B1292">
      <w:r>
        <w:br w:type="page"/>
      </w:r>
    </w:p>
    <w:p w:rsidR="00AE0CC1" w:rsidRDefault="003B1292">
      <w:pPr>
        <w:pStyle w:val="Heading1"/>
      </w:pPr>
      <w:bookmarkStart w:id="47" w:name="_Toc241845046"/>
      <w:r>
        <w:lastRenderedPageBreak/>
        <w:t>Appendix A: API Reference</w:t>
      </w:r>
      <w:bookmarkEnd w:id="47"/>
    </w:p>
    <w:p w:rsidR="00AE0CC1" w:rsidRDefault="003B1292">
      <w:pPr>
        <w:pStyle w:val="Caption"/>
        <w:keepNext/>
        <w:jc w:val="center"/>
      </w:pPr>
      <w:r>
        <w:t>Table A.1: REST endpoints</w:t>
      </w:r>
    </w:p>
    <w:tbl>
      <w:tblPr>
        <w:tblStyle w:val="TableGrid"/>
        <w:tblW w:w="0" w:type="auto"/>
        <w:jc w:val="center"/>
        <w:tblLook w:val="04A0" w:firstRow="1" w:lastRow="0" w:firstColumn="1" w:lastColumn="0" w:noHBand="0" w:noVBand="1"/>
      </w:tblPr>
      <w:tblGrid>
        <w:gridCol w:w="907"/>
        <w:gridCol w:w="4535"/>
        <w:gridCol w:w="3345"/>
      </w:tblGrid>
      <w:tr w:rsidR="00AE0CC1">
        <w:trPr>
          <w:jc w:val="center"/>
        </w:trPr>
        <w:tc>
          <w:tcPr>
            <w:tcW w:w="907" w:type="dxa"/>
            <w:shd w:val="clear" w:color="auto" w:fill="13224A"/>
          </w:tcPr>
          <w:p w:rsidR="00AE0CC1" w:rsidRDefault="003B1292">
            <w:pPr>
              <w:spacing w:after="20" w:line="264" w:lineRule="auto"/>
            </w:pPr>
            <w:r>
              <w:rPr>
                <w:b/>
                <w:color w:val="FFFFFF"/>
                <w:sz w:val="19"/>
              </w:rPr>
              <w:t>Method</w:t>
            </w:r>
          </w:p>
        </w:tc>
        <w:tc>
          <w:tcPr>
            <w:tcW w:w="4535" w:type="dxa"/>
            <w:shd w:val="clear" w:color="auto" w:fill="13224A"/>
          </w:tcPr>
          <w:p w:rsidR="00AE0CC1" w:rsidRDefault="003B1292">
            <w:pPr>
              <w:spacing w:after="20" w:line="264" w:lineRule="auto"/>
            </w:pPr>
            <w:r>
              <w:rPr>
                <w:b/>
                <w:color w:val="FFFFFF"/>
                <w:sz w:val="19"/>
              </w:rPr>
              <w:t>Endpoint(s)</w:t>
            </w:r>
          </w:p>
        </w:tc>
        <w:tc>
          <w:tcPr>
            <w:tcW w:w="3345" w:type="dxa"/>
            <w:shd w:val="clear" w:color="auto" w:fill="13224A"/>
          </w:tcPr>
          <w:p w:rsidR="00AE0CC1" w:rsidRDefault="003B1292">
            <w:pPr>
              <w:spacing w:after="20" w:line="264" w:lineRule="auto"/>
            </w:pPr>
            <w:r>
              <w:rPr>
                <w:b/>
                <w:color w:val="FFFFFF"/>
                <w:sz w:val="19"/>
              </w:rPr>
              <w:t>Purpose</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/ratios/roe, /ratios/roa, /ratios/debt-ratio, /ratios/health</w:t>
            </w:r>
          </w:p>
        </w:tc>
        <w:tc>
          <w:tcPr>
            <w:tcW w:w="3345" w:type="dxa"/>
          </w:tcPr>
          <w:p w:rsidR="00AE0CC1" w:rsidRDefault="003B1292">
            <w:pPr>
              <w:spacing w:after="20" w:line="264" w:lineRule="auto"/>
            </w:pPr>
            <w:r>
              <w:rPr>
                <w:sz w:val="19"/>
              </w:rPr>
              <w:t xml:space="preserve">01 </w:t>
            </w:r>
            <w:r>
              <w:rPr>
                <w:sz w:val="19"/>
              </w:rPr>
              <w:t>Ratio calculators</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/report</w:t>
            </w:r>
          </w:p>
        </w:tc>
        <w:tc>
          <w:tcPr>
            <w:tcW w:w="3345" w:type="dxa"/>
          </w:tcPr>
          <w:p w:rsidR="00AE0CC1" w:rsidRDefault="003B1292">
            <w:pPr>
              <w:spacing w:after="20" w:line="264" w:lineRule="auto"/>
            </w:pPr>
            <w:r>
              <w:rPr>
                <w:sz w:val="19"/>
              </w:rPr>
              <w:t>02 Personal finance report</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/assistant/snapshot, /assistant/chat</w:t>
            </w:r>
          </w:p>
        </w:tc>
        <w:tc>
          <w:tcPr>
            <w:tcW w:w="3345" w:type="dxa"/>
          </w:tcPr>
          <w:p w:rsidR="00AE0CC1" w:rsidRDefault="003B1292">
            <w:pPr>
              <w:spacing w:after="20" w:line="264" w:lineRule="auto"/>
            </w:pPr>
            <w:r>
              <w:rPr>
                <w:sz w:val="19"/>
              </w:rPr>
              <w:t>03 AI finance assistant</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/loans/screen</w:t>
            </w:r>
          </w:p>
        </w:tc>
        <w:tc>
          <w:tcPr>
            <w:tcW w:w="3345" w:type="dxa"/>
          </w:tcPr>
          <w:p w:rsidR="00AE0CC1" w:rsidRDefault="003B1292">
            <w:pPr>
              <w:spacing w:after="20" w:line="264" w:lineRule="auto"/>
            </w:pPr>
            <w:r>
              <w:rPr>
                <w:sz w:val="19"/>
              </w:rPr>
              <w:t>04 Loan insight generator</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/credit-score, /risk</w:t>
            </w:r>
          </w:p>
        </w:tc>
        <w:tc>
          <w:tcPr>
            <w:tcW w:w="3345" w:type="dxa"/>
          </w:tcPr>
          <w:p w:rsidR="00AE0CC1" w:rsidRDefault="003B1292">
            <w:pPr>
              <w:spacing w:after="20" w:line="264" w:lineRule="auto"/>
            </w:pPr>
            <w:r>
              <w:rPr>
                <w:sz w:val="19"/>
              </w:rPr>
              <w:t>05 Credit score &amp; risk</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/invest</w:t>
            </w:r>
          </w:p>
        </w:tc>
        <w:tc>
          <w:tcPr>
            <w:tcW w:w="3345" w:type="dxa"/>
          </w:tcPr>
          <w:p w:rsidR="00AE0CC1" w:rsidRDefault="003B1292">
            <w:pPr>
              <w:spacing w:after="20" w:line="264" w:lineRule="auto"/>
            </w:pPr>
            <w:r>
              <w:rPr>
                <w:sz w:val="19"/>
              </w:rPr>
              <w:t xml:space="preserve">06 Investment </w:t>
            </w:r>
            <w:r>
              <w:rPr>
                <w:sz w:val="19"/>
              </w:rPr>
              <w:t>recommendation</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/company-performance</w:t>
            </w:r>
          </w:p>
        </w:tc>
        <w:tc>
          <w:tcPr>
            <w:tcW w:w="3345" w:type="dxa"/>
          </w:tcPr>
          <w:p w:rsidR="00AE0CC1" w:rsidRDefault="003B1292">
            <w:pPr>
              <w:spacing w:after="20" w:line="264" w:lineRule="auto"/>
            </w:pPr>
            <w:r>
              <w:rPr>
                <w:sz w:val="19"/>
              </w:rPr>
              <w:t>07 Company performance</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/portfolio</w:t>
            </w:r>
          </w:p>
        </w:tc>
        <w:tc>
          <w:tcPr>
            <w:tcW w:w="3345" w:type="dxa"/>
          </w:tcPr>
          <w:p w:rsidR="00AE0CC1" w:rsidRDefault="003B1292">
            <w:pPr>
              <w:spacing w:after="20" w:line="264" w:lineRule="auto"/>
            </w:pPr>
            <w:r>
              <w:rPr>
                <w:sz w:val="19"/>
              </w:rPr>
              <w:t>08 Portfolio dashboard</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/goals/plan, /goals/emergency-fund</w:t>
            </w:r>
          </w:p>
        </w:tc>
        <w:tc>
          <w:tcPr>
            <w:tcW w:w="3345" w:type="dxa"/>
          </w:tcPr>
          <w:p w:rsidR="00AE0CC1" w:rsidRDefault="003B1292">
            <w:pPr>
              <w:spacing w:after="20" w:line="264" w:lineRule="auto"/>
            </w:pPr>
            <w:r>
              <w:rPr>
                <w:sz w:val="19"/>
              </w:rPr>
              <w:t>09 Goal &amp; retirement planner</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/knowledge/glossary</w:t>
            </w:r>
          </w:p>
        </w:tc>
        <w:tc>
          <w:tcPr>
            <w:tcW w:w="3345" w:type="dxa"/>
          </w:tcPr>
          <w:p w:rsidR="00AE0CC1" w:rsidRDefault="003B1292">
            <w:pPr>
              <w:spacing w:after="20" w:line="264" w:lineRule="auto"/>
            </w:pPr>
            <w:r>
              <w:rPr>
                <w:sz w:val="19"/>
              </w:rPr>
              <w:t>10 Knowledge centre</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/market/search?q=</w:t>
            </w:r>
          </w:p>
        </w:tc>
        <w:tc>
          <w:tcPr>
            <w:tcW w:w="3345" w:type="dxa"/>
          </w:tcPr>
          <w:p w:rsidR="00AE0CC1" w:rsidRDefault="003B1292">
            <w:pPr>
              <w:spacing w:after="20" w:line="264" w:lineRule="auto"/>
            </w:pPr>
            <w:r>
              <w:rPr>
                <w:sz w:val="19"/>
              </w:rPr>
              <w:t xml:space="preserve">11 Find any </w:t>
            </w:r>
            <w:r>
              <w:rPr>
                <w:sz w:val="19"/>
              </w:rPr>
              <w:t>company/ETF/index</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/market/quote?symbol=</w:t>
            </w:r>
          </w:p>
        </w:tc>
        <w:tc>
          <w:tcPr>
            <w:tcW w:w="3345" w:type="dxa"/>
          </w:tcPr>
          <w:p w:rsidR="00AE0CC1" w:rsidRDefault="003B1292">
            <w:pPr>
              <w:spacing w:after="20" w:line="264" w:lineRule="auto"/>
            </w:pPr>
            <w:r>
              <w:rPr>
                <w:sz w:val="19"/>
              </w:rPr>
              <w:t>11 Live quote (name, price, change, range, volume, currency, last trade)</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/market/daily?symbol=&amp;period=</w:t>
            </w:r>
          </w:p>
        </w:tc>
        <w:tc>
          <w:tcPr>
            <w:tcW w:w="3345" w:type="dxa"/>
          </w:tcPr>
          <w:p w:rsidR="00AE0CC1" w:rsidRDefault="003B1292">
            <w:pPr>
              <w:spacing w:after="20" w:line="264" w:lineRule="auto"/>
            </w:pPr>
            <w:r>
              <w:rPr>
                <w:sz w:val="19"/>
              </w:rPr>
              <w:t>11 Daily OHLCV (1mo–max) with resolved ticker, name, currency</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/market/news?symbols=&amp;limit=</w:t>
            </w:r>
          </w:p>
        </w:tc>
        <w:tc>
          <w:tcPr>
            <w:tcW w:w="3345" w:type="dxa"/>
          </w:tcPr>
          <w:p w:rsidR="00AE0CC1" w:rsidRDefault="003B1292">
            <w:pPr>
              <w:spacing w:after="20" w:line="264" w:lineRule="auto"/>
            </w:pPr>
            <w:r>
              <w:rPr>
                <w:sz w:val="19"/>
              </w:rPr>
              <w:t>11 Comp</w:t>
            </w:r>
            <w:r>
              <w:rPr>
                <w:sz w:val="19"/>
              </w:rPr>
              <w:t>any or market news (last 7 days)</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/planner/what-if, /planner/target-plan</w:t>
            </w:r>
          </w:p>
        </w:tc>
        <w:tc>
          <w:tcPr>
            <w:tcW w:w="3345" w:type="dxa"/>
          </w:tcPr>
          <w:p w:rsidR="00AE0CC1" w:rsidRDefault="003B1292">
            <w:pPr>
              <w:spacing w:after="20" w:line="264" w:lineRule="auto"/>
            </w:pPr>
            <w:r>
              <w:rPr>
                <w:sz w:val="19"/>
              </w:rPr>
              <w:t>12 Growth &amp; target planner</w:t>
            </w:r>
          </w:p>
        </w:tc>
      </w:tr>
      <w:tr w:rsidR="00AE0CC1">
        <w:trPr>
          <w:jc w:val="center"/>
        </w:trPr>
        <w:tc>
          <w:tcPr>
            <w:tcW w:w="907" w:type="dxa"/>
          </w:tcPr>
          <w:p w:rsidR="00AE0CC1" w:rsidRDefault="003B1292">
            <w:pPr>
              <w:spacing w:after="20" w:line="264" w:lineRule="auto"/>
            </w:pPr>
            <w:r>
              <w:rPr>
                <w:sz w:val="19"/>
              </w:rPr>
              <w:t>POST</w:t>
            </w:r>
          </w:p>
        </w:tc>
        <w:tc>
          <w:tcPr>
            <w:tcW w:w="4535" w:type="dxa"/>
          </w:tcPr>
          <w:p w:rsidR="00AE0CC1" w:rsidRDefault="003B1292">
            <w:pPr>
              <w:spacing w:after="20" w:line="264" w:lineRule="auto"/>
            </w:pPr>
            <w:r>
              <w:rPr>
                <w:sz w:val="19"/>
              </w:rPr>
              <w:t>/tools/sip-vs-lumpsum, /tools/capital-gains-tax, /tools/52-week-range</w:t>
            </w:r>
          </w:p>
        </w:tc>
        <w:tc>
          <w:tcPr>
            <w:tcW w:w="3345" w:type="dxa"/>
          </w:tcPr>
          <w:p w:rsidR="00AE0CC1" w:rsidRDefault="003B1292">
            <w:pPr>
              <w:spacing w:after="20" w:line="264" w:lineRule="auto"/>
            </w:pPr>
            <w:r>
              <w:rPr>
                <w:sz w:val="19"/>
              </w:rPr>
              <w:t>13 Portfolio &amp; tax tools</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/api-keys</w:t>
            </w:r>
          </w:p>
        </w:tc>
        <w:tc>
          <w:tcPr>
            <w:tcW w:w="3345" w:type="dxa"/>
          </w:tcPr>
          <w:p w:rsidR="00AE0CC1" w:rsidRDefault="003B1292">
            <w:pPr>
              <w:spacing w:after="20" w:line="264" w:lineRule="auto"/>
            </w:pPr>
            <w:r>
              <w:rPr>
                <w:sz w:val="19"/>
              </w:rPr>
              <w:t xml:space="preserve">15 API key directory (none </w:t>
            </w:r>
            <w:r>
              <w:rPr>
                <w:sz w:val="19"/>
              </w:rPr>
              <w:t>required)</w:t>
            </w:r>
          </w:p>
        </w:tc>
      </w:tr>
      <w:tr w:rsidR="00AE0CC1">
        <w:trPr>
          <w:jc w:val="center"/>
        </w:trPr>
        <w:tc>
          <w:tcPr>
            <w:tcW w:w="907" w:type="dxa"/>
          </w:tcPr>
          <w:p w:rsidR="00AE0CC1" w:rsidRDefault="003B1292">
            <w:pPr>
              <w:spacing w:after="20" w:line="264" w:lineRule="auto"/>
            </w:pPr>
            <w:r>
              <w:rPr>
                <w:sz w:val="19"/>
              </w:rPr>
              <w:t>GET</w:t>
            </w:r>
          </w:p>
        </w:tc>
        <w:tc>
          <w:tcPr>
            <w:tcW w:w="4535" w:type="dxa"/>
          </w:tcPr>
          <w:p w:rsidR="00AE0CC1" w:rsidRDefault="003B1292">
            <w:pPr>
              <w:spacing w:after="20" w:line="264" w:lineRule="auto"/>
            </w:pPr>
            <w:r>
              <w:rPr>
                <w:sz w:val="19"/>
              </w:rPr>
              <w:t>/about, /api/status, /docs, /</w:t>
            </w:r>
          </w:p>
        </w:tc>
        <w:tc>
          <w:tcPr>
            <w:tcW w:w="3345" w:type="dxa"/>
          </w:tcPr>
          <w:p w:rsidR="00AE0CC1" w:rsidRDefault="003B1292">
            <w:pPr>
              <w:spacing w:after="20" w:line="264" w:lineRule="auto"/>
            </w:pPr>
            <w:r>
              <w:rPr>
                <w:sz w:val="19"/>
              </w:rPr>
              <w:t>16 About, health check, Swagger UI, web app</w:t>
            </w:r>
          </w:p>
        </w:tc>
      </w:tr>
    </w:tbl>
    <w:p w:rsidR="00AE0CC1" w:rsidRDefault="00AE0CC1">
      <w:pPr>
        <w:spacing w:after="40"/>
      </w:pPr>
    </w:p>
    <w:p w:rsidR="00AE0CC1" w:rsidRDefault="003B1292">
      <w:pPr>
        <w:pStyle w:val="Heading1"/>
      </w:pPr>
      <w:bookmarkStart w:id="48" w:name="_Toc241845047"/>
      <w:r>
        <w:t>Appendix B: Installation and Running</w:t>
      </w:r>
      <w:bookmarkEnd w:id="48"/>
    </w:p>
    <w:p w:rsidR="00AE0CC1" w:rsidRDefault="003B1292">
      <w:pPr>
        <w:pStyle w:val="ListNumber"/>
        <w:spacing w:after="40" w:line="312" w:lineRule="auto"/>
      </w:pPr>
      <w:r>
        <w:t>Install Python 3.11 or later.</w:t>
      </w:r>
    </w:p>
    <w:p w:rsidR="00AE0CC1" w:rsidRDefault="003B1292">
      <w:pPr>
        <w:pStyle w:val="ListNumber"/>
        <w:spacing w:after="40" w:line="312" w:lineRule="auto"/>
      </w:pPr>
      <w:r>
        <w:t xml:space="preserve">In the project folder create and activate a virtual environment: </w:t>
      </w:r>
      <w:r>
        <w:rPr>
          <w:rFonts w:ascii="Consolas" w:hAnsi="Consolas"/>
          <w:sz w:val="21"/>
        </w:rPr>
        <w:t>python -m venv agentic_env</w:t>
      </w:r>
      <w:r>
        <w:t xml:space="preserve"> then </w:t>
      </w:r>
      <w:r>
        <w:rPr>
          <w:rFonts w:ascii="Consolas" w:hAnsi="Consolas"/>
          <w:sz w:val="21"/>
        </w:rPr>
        <w:t>a</w:t>
      </w:r>
      <w:r>
        <w:rPr>
          <w:rFonts w:ascii="Consolas" w:hAnsi="Consolas"/>
          <w:sz w:val="21"/>
        </w:rPr>
        <w:t>gentic_env\Scripts\activate</w:t>
      </w:r>
      <w:r>
        <w:t xml:space="preserve"> (Windows).</w:t>
      </w:r>
    </w:p>
    <w:p w:rsidR="00AE0CC1" w:rsidRDefault="003B1292">
      <w:pPr>
        <w:pStyle w:val="ListNumber"/>
        <w:spacing w:after="40" w:line="312" w:lineRule="auto"/>
      </w:pPr>
      <w:r>
        <w:t xml:space="preserve">Install dependencies: </w:t>
      </w:r>
      <w:r>
        <w:rPr>
          <w:rFonts w:ascii="Consolas" w:hAnsi="Consolas"/>
          <w:sz w:val="21"/>
        </w:rPr>
        <w:t>pip install -r requirements.txt</w:t>
      </w:r>
      <w:r>
        <w:t>.</w:t>
      </w:r>
    </w:p>
    <w:p w:rsidR="00AE0CC1" w:rsidRDefault="003B1292">
      <w:pPr>
        <w:pStyle w:val="ListNumber"/>
        <w:spacing w:after="40" w:line="312" w:lineRule="auto"/>
      </w:pPr>
      <w:r>
        <w:t xml:space="preserve">Start the server: </w:t>
      </w:r>
      <w:r>
        <w:rPr>
          <w:rFonts w:ascii="Consolas" w:hAnsi="Consolas"/>
          <w:sz w:val="21"/>
        </w:rPr>
        <w:t>python app/main.py</w:t>
      </w:r>
      <w:r>
        <w:t xml:space="preserve"> (or </w:t>
      </w:r>
      <w:r>
        <w:rPr>
          <w:rFonts w:ascii="Consolas" w:hAnsi="Consolas"/>
          <w:sz w:val="21"/>
        </w:rPr>
        <w:t>uvicorn app.main:app --reload</w:t>
      </w:r>
      <w:r>
        <w:t>).</w:t>
      </w:r>
    </w:p>
    <w:p w:rsidR="00AE0CC1" w:rsidRDefault="003B1292">
      <w:pPr>
        <w:pStyle w:val="ListNumber"/>
        <w:spacing w:after="40" w:line="312" w:lineRule="auto"/>
      </w:pPr>
      <w:r>
        <w:t>Open http://127.0.0.1:8000 for the application and http://127.0.0.1:8000/docs for the int</w:t>
      </w:r>
      <w:r>
        <w:t>eractive API documentation.</w:t>
      </w:r>
    </w:p>
    <w:p w:rsidR="00AE0CC1" w:rsidRDefault="003B1292">
      <w:pPr>
        <w:pStyle w:val="ListNumber"/>
        <w:spacing w:after="40" w:line="312" w:lineRule="auto"/>
      </w:pPr>
      <w:r>
        <w:t xml:space="preserve">Optional: run </w:t>
      </w:r>
      <w:r>
        <w:rPr>
          <w:rFonts w:ascii="Consolas" w:hAnsi="Consolas"/>
          <w:sz w:val="21"/>
        </w:rPr>
        <w:t>python -m app.market TCS</w:t>
      </w:r>
      <w:r>
        <w:t xml:space="preserve"> to test the market-data layer from the command line.</w:t>
      </w:r>
    </w:p>
    <w:p w:rsidR="00AE0CC1" w:rsidRDefault="003B1292">
      <w:pPr>
        <w:pStyle w:val="Heading1"/>
      </w:pPr>
      <w:bookmarkStart w:id="49" w:name="_Toc241845048"/>
      <w:r>
        <w:lastRenderedPageBreak/>
        <w:t>Appendix C: Application Home Screen</w:t>
      </w:r>
      <w:bookmarkEnd w:id="49"/>
    </w:p>
    <w:p w:rsidR="00AE0CC1" w:rsidRDefault="003B1292">
      <w:pPr>
        <w:keepNext/>
        <w:spacing w:after="40"/>
        <w:jc w:val="center"/>
      </w:pPr>
      <w:r>
        <w:rPr>
          <w:noProof/>
          <w:lang w:val="en-IN" w:eastAsia="en-IN"/>
        </w:rPr>
        <w:drawing>
          <wp:inline distT="0" distB="0" distL="0" distR="0">
            <wp:extent cx="5400000" cy="23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21"/>
                    <a:stretch>
                      <a:fillRect/>
                    </a:stretch>
                  </pic:blipFill>
                  <pic:spPr>
                    <a:xfrm>
                      <a:off x="0" y="0"/>
                      <a:ext cx="5400000" cy="2362500"/>
                    </a:xfrm>
                    <a:prstGeom prst="rect">
                      <a:avLst/>
                    </a:prstGeom>
                  </pic:spPr>
                </pic:pic>
              </a:graphicData>
            </a:graphic>
          </wp:inline>
        </w:drawing>
      </w:r>
    </w:p>
    <w:p w:rsidR="00AE0CC1" w:rsidRDefault="003B1292">
      <w:pPr>
        <w:pStyle w:val="Caption"/>
        <w:jc w:val="center"/>
      </w:pPr>
      <w:r>
        <w:t>Figure A.1: FinSuite home screen and module navigation</w:t>
      </w:r>
    </w:p>
    <w:p w:rsidR="00AE0CC1" w:rsidRDefault="003B1292">
      <w:pPr>
        <w:keepNext/>
        <w:spacing w:after="40"/>
        <w:jc w:val="center"/>
      </w:pPr>
      <w:r>
        <w:rPr>
          <w:noProof/>
          <w:lang w:val="en-IN" w:eastAsia="en-IN"/>
        </w:rPr>
        <w:drawing>
          <wp:inline distT="0" distB="0" distL="0" distR="0">
            <wp:extent cx="5220000" cy="30694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atios.png"/>
                    <pic:cNvPicPr/>
                  </pic:nvPicPr>
                  <pic:blipFill>
                    <a:blip r:embed="rId22"/>
                    <a:stretch>
                      <a:fillRect/>
                    </a:stretch>
                  </pic:blipFill>
                  <pic:spPr>
                    <a:xfrm>
                      <a:off x="0" y="0"/>
                      <a:ext cx="5220000" cy="3069485"/>
                    </a:xfrm>
                    <a:prstGeom prst="rect">
                      <a:avLst/>
                    </a:prstGeom>
                  </pic:spPr>
                </pic:pic>
              </a:graphicData>
            </a:graphic>
          </wp:inline>
        </w:drawing>
      </w:r>
    </w:p>
    <w:p w:rsidR="00AE0CC1" w:rsidRDefault="003B1292">
      <w:pPr>
        <w:pStyle w:val="Caption"/>
        <w:jc w:val="center"/>
      </w:pPr>
      <w:r>
        <w:t xml:space="preserve">Figure A.2: Module 01 — financial ratio </w:t>
      </w:r>
      <w:r>
        <w:t>calculators</w:t>
      </w:r>
    </w:p>
    <w:sectPr w:rsidR="00AE0CC1" w:rsidSect="00034616">
      <w:footerReference w:type="default" r:id="rId23"/>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B1292">
      <w:pPr>
        <w:spacing w:after="0" w:line="240" w:lineRule="auto"/>
      </w:pPr>
      <w:r>
        <w:separator/>
      </w:r>
    </w:p>
  </w:endnote>
  <w:endnote w:type="continuationSeparator" w:id="0">
    <w:p w:rsidR="00000000" w:rsidRDefault="003B1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CC1" w:rsidRDefault="003B1292">
    <w:pPr>
      <w:pStyle w:val="Footer"/>
      <w:jc w:val="center"/>
    </w:pPr>
    <w:r>
      <w:fldChar w:fldCharType="begin"/>
    </w:r>
    <w:r>
      <w:instrText>PAGE</w:instrText>
    </w:r>
    <w:r>
      <w:fldChar w:fldCharType="separate"/>
    </w:r>
    <w:r>
      <w:rPr>
        <w:noProof/>
      </w:rPr>
      <w:t>35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B1292">
      <w:pPr>
        <w:spacing w:after="0" w:line="240" w:lineRule="auto"/>
      </w:pPr>
      <w:r>
        <w:separator/>
      </w:r>
    </w:p>
  </w:footnote>
  <w:footnote w:type="continuationSeparator" w:id="0">
    <w:p w:rsidR="00000000" w:rsidRDefault="003B1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1292"/>
    <w:rsid w:val="00A23DCF"/>
    <w:rsid w:val="00AA1D8D"/>
    <w:rsid w:val="00AE0CC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8E0C022-1A4B-4FF9-A48A-EDAE171A4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3224A"/>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imes New Roman"/>
      <w:b/>
      <w:bCs/>
      <w:color w:val="13224A"/>
      <w:sz w:val="27"/>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cs="Times New Roman"/>
      <w:b/>
      <w:bCs/>
      <w:color w:val="1322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4708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23DCF"/>
    <w:pPr>
      <w:spacing w:after="100"/>
    </w:pPr>
  </w:style>
  <w:style w:type="paragraph" w:styleId="TOC2">
    <w:name w:val="toc 2"/>
    <w:basedOn w:val="Normal"/>
    <w:next w:val="Normal"/>
    <w:autoRedefine/>
    <w:uiPriority w:val="39"/>
    <w:unhideWhenUsed/>
    <w:rsid w:val="00A23DCF"/>
    <w:pPr>
      <w:spacing w:after="100"/>
      <w:ind w:left="240"/>
    </w:pPr>
  </w:style>
  <w:style w:type="character" w:styleId="Hyperlink">
    <w:name w:val="Hyperlink"/>
    <w:basedOn w:val="DefaultParagraphFont"/>
    <w:uiPriority w:val="99"/>
    <w:unhideWhenUsed/>
    <w:rsid w:val="00A23D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B69A8E-8D47-4ED8-ACE1-15C086026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5893</Words>
  <Characters>33397</Characters>
  <Application>Microsoft Office Word</Application>
  <DocSecurity>0</DocSecurity>
  <Lines>980</Lines>
  <Paragraphs>611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Purva.G.kakade</cp:lastModifiedBy>
  <cp:revision>3</cp:revision>
  <cp:lastPrinted>2026-10-02T09:18:00Z</cp:lastPrinted>
  <dcterms:created xsi:type="dcterms:W3CDTF">2013-12-23T23:15:00Z</dcterms:created>
  <dcterms:modified xsi:type="dcterms:W3CDTF">2026-10-02T09:18:00Z</dcterms:modified>
  <cp:category/>
</cp:coreProperties>
</file>