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36"/>
        </w:rPr>
        <w:t>NARRATIVE SHIFT DETECTION &amp; STOCK VOLATILITY CORRELATION</w:t>
      </w:r>
    </w:p>
    <w:p>
      <w:pPr>
        <w:jc w:val="center"/>
      </w:pPr>
      <w:r>
        <w:rPr>
          <w:i/>
          <w:sz w:val="26"/>
        </w:rPr>
        <w:t>A Quantitative Study of Reliance Jio Media Coverage &amp; Stock Price Volatility</w:t>
      </w:r>
    </w:p>
    <w:p/>
    <w:p>
      <w:pPr>
        <w:jc w:val="center"/>
      </w:pPr>
      <w:r>
        <w:rPr>
          <w:sz w:val="22"/>
        </w:rPr>
        <w:t>Using BERTopic, Jensen-Shannon Divergence, and Vector Autoregression (2023-2025)</w:t>
      </w:r>
    </w:p>
    <w:p/>
    <w:p>
      <w:pPr>
        <w:jc w:val="center"/>
      </w:pPr>
      <w:r>
        <w:rPr>
          <w:sz w:val="20"/>
        </w:rPr>
        <w:t>Date: May 24, 2026  |  Location: Mumbai, India</w:t>
      </w:r>
    </w:p>
    <w:p>
      <w:r>
        <w:br w:type="page"/>
      </w:r>
    </w:p>
    <w:p>
      <w:pPr>
        <w:pStyle w:val="Heading1"/>
      </w:pPr>
      <w:r>
        <w:rPr>
          <w:color w:val="1F4E78"/>
        </w:rPr>
        <w:t>EXECUTIVE SUMMARY</w:t>
      </w:r>
    </w:p>
    <w:p>
      <w:r>
        <w:t>This research quantifies the relationship between news narrative shifts and stock volatility for Reliance Jio over 2023-2025.</w:t>
      </w:r>
    </w:p>
    <w:p>
      <w:pPr>
        <w:pStyle w:val="Heading3"/>
      </w:pPr>
      <w:r>
        <w:t>Key Finding #1: Semi-Strong Market Efficiency</w:t>
      </w:r>
    </w:p>
    <w:p>
      <w:r>
        <w:t>Weekly news topic shifts DO NOT predict stock volatility (p &gt; 0.59). Market participants rapidly process news, leaving no predictable weekly lags.</w:t>
      </w:r>
    </w:p>
    <w:p>
      <w:pPr>
        <w:pStyle w:val="Heading3"/>
      </w:pPr>
      <w:r>
        <w:t>Key Finding #2: Reactive Media Loop</w:t>
      </w:r>
    </w:p>
    <w:p>
      <w:r>
        <w:t>Stock volatility Granger-causes news shifts 1-2 weeks later (p = 0.0334). Financial market events dictate subsequent corporate news coverage.</w:t>
      </w:r>
    </w:p>
    <w:p>
      <w:pPr>
        <w:pStyle w:val="Heading3"/>
      </w:pPr>
      <w:r>
        <w:t>Business Application</w:t>
      </w:r>
    </w:p>
    <w:p>
      <w:r>
        <w:t>Jio's PR team can monitor real-time stock volatility to anticipate media narratives 1-2 weeks in advance and prepare messaging proactively.</w:t>
      </w:r>
    </w:p>
    <w:p>
      <w:r>
        <w:br w:type="page"/>
      </w:r>
    </w:p>
    <w:p>
      <w:pPr>
        <w:pStyle w:val="Heading1"/>
      </w:pPr>
      <w:r>
        <w:rPr>
          <w:color w:val="1F4E78"/>
        </w:rPr>
        <w:t>1. INTRODUCTION &amp; PROBLEM STATEMENT</w:t>
      </w:r>
    </w:p>
    <w:p>
      <w:pPr>
        <w:pStyle w:val="Heading2"/>
      </w:pPr>
      <w:r>
        <w:rPr>
          <w:color w:val="1F4E78"/>
        </w:rPr>
        <w:t>1.1 Background: The Information Dissemination Problem</w:t>
      </w:r>
    </w:p>
    <w:p>
      <w:r>
        <w:t>In modern financial markets, information travels at unprecedented speed. Traditional NLP models focus on sentiment analysis—classifying articles as positive, negative, or neutral. However, sentiment alone provides incomplete insight.</w:t>
      </w:r>
    </w:p>
    <w:p>
      <w:r>
        <w:t>Media attention is finite and dynamic. What journalists cover today vanishes tomorrow. We define this transition as a Narrative Shift. Unlike sentiment, narrative shifts measure structural changes in topics under discussion.</w:t>
      </w:r>
    </w:p>
    <w:p>
      <w:pPr>
        <w:pStyle w:val="Heading2"/>
      </w:pPr>
      <w:r>
        <w:rPr>
          <w:color w:val="1F4E78"/>
        </w:rPr>
        <w:t>1.2 Problem Statement</w:t>
      </w:r>
    </w:p>
    <w:p>
      <w:pPr>
        <w:pStyle w:val="ListBullet"/>
      </w:pPr>
      <w:r>
        <w:t>Does an abrupt pivot in news topics predict sudden changes in stock volatility?</w:t>
      </w:r>
    </w:p>
    <w:p>
      <w:pPr>
        <w:pStyle w:val="ListBullet"/>
      </w:pPr>
      <w:r>
        <w:t>Or does the stock market behave efficiently, reacting instantly?</w:t>
      </w:r>
    </w:p>
    <w:p>
      <w:pPr>
        <w:pStyle w:val="ListBullet"/>
      </w:pPr>
      <w:r>
        <w:t>Does a feedback loop exist where stock volatility leads media narratives?</w:t>
      </w:r>
    </w:p>
    <w:p>
      <w:pPr>
        <w:pStyle w:val="Heading2"/>
      </w:pPr>
      <w:r>
        <w:rPr>
          <w:color w:val="1F4E78"/>
        </w:rPr>
        <w:t>1.3 Research Objectives</w:t>
      </w:r>
    </w:p>
    <w:p>
      <w:pPr>
        <w:pStyle w:val="ListBullet"/>
      </w:pPr>
      <w:r>
        <w:t>Build an automated pipeline ingesting GDELT news and storing in analytical database</w:t>
      </w:r>
    </w:p>
    <w:p>
      <w:pPr>
        <w:pStyle w:val="ListBullet"/>
      </w:pPr>
      <w:r>
        <w:t>Develop dynamic topic modeling using BERTopic, SBERT, and HDBSCAN</w:t>
      </w:r>
    </w:p>
    <w:p>
      <w:pPr>
        <w:pStyle w:val="ListBullet"/>
      </w:pPr>
      <w:r>
        <w:t>Apply Jensen-Shannon Divergence to quantify narrative change</w:t>
      </w:r>
    </w:p>
    <w:p>
      <w:pPr>
        <w:pStyle w:val="ListBullet"/>
      </w:pPr>
      <w:r>
        <w:t>Conduct econometric analysis: stationarity tests, Granger Causality, VAR</w:t>
      </w:r>
    </w:p>
    <w:p>
      <w:pPr>
        <w:pStyle w:val="ListBullet"/>
      </w:pPr>
      <w:r>
        <w:t>Create 10 interactive Power BI dashboards for stakeholder communication</w:t>
      </w:r>
    </w:p>
    <w:p>
      <w:r>
        <w:br w:type="page"/>
      </w:r>
    </w:p>
    <w:p>
      <w:pPr>
        <w:pStyle w:val="Heading1"/>
      </w:pPr>
      <w:r>
        <w:rPr>
          <w:color w:val="1F4E78"/>
        </w:rPr>
        <w:t>2. METHODOLOGY &amp; THEORETICAL FOUNDATIONS</w:t>
      </w:r>
    </w:p>
    <w:p>
      <w:pPr>
        <w:pStyle w:val="Heading2"/>
      </w:pPr>
      <w:r>
        <w:rPr>
          <w:color w:val="1F4E78"/>
        </w:rPr>
        <w:t>2.1 Topic Modeling: BERTopic Framework</w:t>
      </w:r>
    </w:p>
    <w:p>
      <w:r>
        <w:t>Traditional topic models fail to capture context and semantic meaning. BERTopic overcomes this through:</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Process</w:t>
            </w:r>
          </w:p>
        </w:tc>
      </w:tr>
      <w:tr>
        <w:tc>
          <w:tcPr>
            <w:tcW w:type="dxa" w:w="4320"/>
          </w:tcPr>
          <w:p>
            <w:r>
              <w:t>1. Embeddings</w:t>
            </w:r>
          </w:p>
        </w:tc>
        <w:tc>
          <w:tcPr>
            <w:tcW w:type="dxa" w:w="4320"/>
          </w:tcPr>
          <w:p>
            <w:r>
              <w:t>Convert article text to 384-dimensional vectors using Sentence-BERT</w:t>
            </w:r>
          </w:p>
        </w:tc>
      </w:tr>
      <w:tr>
        <w:tc>
          <w:tcPr>
            <w:tcW w:type="dxa" w:w="4320"/>
          </w:tcPr>
          <w:p>
            <w:r>
              <w:t>2. Dimensionality Reduction</w:t>
            </w:r>
          </w:p>
        </w:tc>
        <w:tc>
          <w:tcPr>
            <w:tcW w:type="dxa" w:w="4320"/>
          </w:tcPr>
          <w:p>
            <w:r>
              <w:t>Reduce to 5 dimensions using UMAP</w:t>
            </w:r>
          </w:p>
        </w:tc>
      </w:tr>
      <w:tr>
        <w:tc>
          <w:tcPr>
            <w:tcW w:type="dxa" w:w="4320"/>
          </w:tcPr>
          <w:p>
            <w:r>
              <w:t>3. Clustering</w:t>
            </w:r>
          </w:p>
        </w:tc>
        <w:tc>
          <w:tcPr>
            <w:tcW w:type="dxa" w:w="4320"/>
          </w:tcPr>
          <w:p>
            <w:r>
              <w:t>Group similar documents using HDBSCAN</w:t>
            </w:r>
          </w:p>
        </w:tc>
      </w:tr>
      <w:tr>
        <w:tc>
          <w:tcPr>
            <w:tcW w:type="dxa" w:w="4320"/>
          </w:tcPr>
          <w:p>
            <w:r>
              <w:t>4. Representation</w:t>
            </w:r>
          </w:p>
        </w:tc>
        <w:tc>
          <w:tcPr>
            <w:tcW w:type="dxa" w:w="4320"/>
          </w:tcPr>
          <w:p>
            <w:r>
              <w:t>Extract top keywords per cluster using c-TF-IDF</w:t>
            </w:r>
          </w:p>
        </w:tc>
      </w:tr>
    </w:tbl>
    <w:p>
      <w:pPr>
        <w:pStyle w:val="Heading2"/>
      </w:pPr>
      <w:r>
        <w:rPr>
          <w:color w:val="1F4E78"/>
        </w:rPr>
        <w:t>2.2 Narrative Shift Quantification: Jensen-Shannon Divergence</w:t>
      </w:r>
    </w:p>
    <w:p>
      <w:r>
        <w:t>To measure distance between consecutive weeks' topic distributions, we use Jensen-Shannon Divergence. JSD is symmetric and bounded [0,1]. A score near 0 indicates static coverage; near 1 indicates complete topic shift.</w:t>
      </w:r>
    </w:p>
    <w:p>
      <w:pPr>
        <w:pStyle w:val="Heading2"/>
      </w:pPr>
      <w:r>
        <w:rPr>
          <w:color w:val="1F4E78"/>
        </w:rPr>
        <w:t>2.3 Financial Analysis: Granger Causality &amp; VAR</w:t>
      </w:r>
    </w:p>
    <w:p>
      <w:r>
        <w:t>Granger Causality tests whether past values of one time series (narrative shifts) produce superior forecasts of another series (volatility). We employ both bivariate models and multivariate VAR controlling for NIFTY 50.</w:t>
      </w:r>
    </w:p>
    <w:p>
      <w:r>
        <w:br w:type="page"/>
      </w:r>
    </w:p>
    <w:p>
      <w:pPr>
        <w:pStyle w:val="Heading1"/>
      </w:pPr>
      <w:r>
        <w:rPr>
          <w:color w:val="1F4E78"/>
        </w:rPr>
        <w:t>3. DATA INGESTION &amp; QUALITY AUDIT</w:t>
      </w:r>
    </w:p>
    <w:p>
      <w:pPr>
        <w:pStyle w:val="Heading2"/>
      </w:pPr>
      <w:r>
        <w:rPr>
          <w:color w:val="1F4E78"/>
        </w:rPr>
        <w:t>3.1 Data Sources</w:t>
      </w:r>
    </w:p>
    <w:p>
      <w:pPr>
        <w:pStyle w:val="ListBullet"/>
      </w:pPr>
      <w:r>
        <w:t>News articles: GDELT Global News Database (6,267 articles, Jan 2023 – Jan 2026)</w:t>
      </w:r>
    </w:p>
    <w:p>
      <w:pPr>
        <w:pStyle w:val="ListBullet"/>
      </w:pPr>
      <w:r>
        <w:t>Financial data: yfinance (RELIANCE.NS daily OHLC; NIFTY 50)</w:t>
      </w:r>
    </w:p>
    <w:p>
      <w:pPr>
        <w:pStyle w:val="Heading2"/>
      </w:pPr>
      <w:r>
        <w:rPr>
          <w:color w:val="1F4E78"/>
        </w:rPr>
        <w:t>3.2 Quality Metrics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Value</w:t>
            </w:r>
          </w:p>
        </w:tc>
        <w:tc>
          <w:tcPr>
            <w:tcW w:type="dxa" w:w="2880"/>
          </w:tcPr>
          <w:p>
            <w:r>
              <w:t>Assessment</w:t>
            </w:r>
          </w:p>
        </w:tc>
      </w:tr>
      <w:tr>
        <w:tc>
          <w:tcPr>
            <w:tcW w:type="dxa" w:w="2880"/>
          </w:tcPr>
          <w:p>
            <w:r>
              <w:t>Total Articles</w:t>
            </w:r>
          </w:p>
        </w:tc>
        <w:tc>
          <w:tcPr>
            <w:tcW w:type="dxa" w:w="2880"/>
          </w:tcPr>
          <w:p>
            <w:r>
              <w:t>6,267</w:t>
            </w:r>
          </w:p>
        </w:tc>
        <w:tc>
          <w:tcPr>
            <w:tcW w:type="dxa" w:w="2880"/>
          </w:tcPr>
          <w:p>
            <w:r>
              <w:t>Excellent - large sample</w:t>
            </w:r>
          </w:p>
        </w:tc>
      </w:tr>
      <w:tr>
        <w:tc>
          <w:tcPr>
            <w:tcW w:type="dxa" w:w="2880"/>
          </w:tcPr>
          <w:p>
            <w:r>
              <w:t>Missing Content</w:t>
            </w:r>
          </w:p>
        </w:tc>
        <w:tc>
          <w:tcPr>
            <w:tcW w:type="dxa" w:w="2880"/>
          </w:tcPr>
          <w:p>
            <w:r>
              <w:t>1.7%</w:t>
            </w:r>
          </w:p>
        </w:tc>
        <w:tc>
          <w:tcPr>
            <w:tcW w:type="dxa" w:w="2880"/>
          </w:tcPr>
          <w:p>
            <w:r>
              <w:t>Acceptable - minimal loss</w:t>
            </w:r>
          </w:p>
        </w:tc>
      </w:tr>
      <w:tr>
        <w:tc>
          <w:tcPr>
            <w:tcW w:type="dxa" w:w="2880"/>
          </w:tcPr>
          <w:p>
            <w:r>
              <w:t>Median Word Count</w:t>
            </w:r>
          </w:p>
        </w:tc>
        <w:tc>
          <w:tcPr>
            <w:tcW w:type="dxa" w:w="2880"/>
          </w:tcPr>
          <w:p>
            <w:r>
              <w:t>471 words</w:t>
            </w:r>
          </w:p>
        </w:tc>
        <w:tc>
          <w:tcPr>
            <w:tcW w:type="dxa" w:w="2880"/>
          </w:tcPr>
          <w:p>
            <w:r>
              <w:t>Excellent - rich semantic depth</w:t>
            </w:r>
          </w:p>
        </w:tc>
      </w:tr>
      <w:tr>
        <w:tc>
          <w:tcPr>
            <w:tcW w:type="dxa" w:w="2880"/>
          </w:tcPr>
          <w:p>
            <w:r>
              <w:t>Text Completeness</w:t>
            </w:r>
          </w:p>
        </w:tc>
        <w:tc>
          <w:tcPr>
            <w:tcW w:type="dxa" w:w="2880"/>
          </w:tcPr>
          <w:p>
            <w:r>
              <w:t>98.3%</w:t>
            </w:r>
          </w:p>
        </w:tc>
        <w:tc>
          <w:tcPr>
            <w:tcW w:type="dxa" w:w="2880"/>
          </w:tcPr>
          <w:p>
            <w:r>
              <w:t>High quality data</w:t>
            </w:r>
          </w:p>
        </w:tc>
      </w:tr>
    </w:tbl>
    <w:p>
      <w:r>
        <w:br w:type="page"/>
      </w:r>
    </w:p>
    <w:p>
      <w:pPr>
        <w:pStyle w:val="Heading1"/>
      </w:pPr>
      <w:r>
        <w:rPr>
          <w:color w:val="1F4E78"/>
        </w:rPr>
        <w:t>4. EMPIRICAL RESULTS</w:t>
      </w:r>
    </w:p>
    <w:p>
      <w:pPr>
        <w:pStyle w:val="Heading2"/>
      </w:pPr>
      <w:r>
        <w:rPr>
          <w:color w:val="1F4E78"/>
        </w:rPr>
        <w:t>4.1 Stationarity Testing</w:t>
      </w:r>
    </w:p>
    <w:p>
      <w:r>
        <w:t>Both Narrative Shift (JSD) and Stock Volatility reject the null hypothesis of a unit root (p &lt; 0.05, ADF test). Both series are stationary at level form; no differencing required.</w:t>
      </w:r>
    </w:p>
    <w:p>
      <w:pPr>
        <w:pStyle w:val="Heading2"/>
      </w:pPr>
      <w:r>
        <w:rPr>
          <w:color w:val="1F4E78"/>
        </w:rPr>
        <w:t>4.2 Granger Causality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Direction</w:t>
            </w:r>
          </w:p>
        </w:tc>
        <w:tc>
          <w:tcPr>
            <w:tcW w:type="dxa" w:w="1728"/>
          </w:tcPr>
          <w:p>
            <w:r>
              <w:t>Lag</w:t>
            </w:r>
          </w:p>
        </w:tc>
        <w:tc>
          <w:tcPr>
            <w:tcW w:type="dxa" w:w="1728"/>
          </w:tcPr>
          <w:p>
            <w:r>
              <w:t>p-value</w:t>
            </w:r>
          </w:p>
        </w:tc>
        <w:tc>
          <w:tcPr>
            <w:tcW w:type="dxa" w:w="1728"/>
          </w:tcPr>
          <w:p>
            <w:r>
              <w:t>Significant?</w:t>
            </w:r>
          </w:p>
        </w:tc>
        <w:tc>
          <w:tcPr>
            <w:tcW w:type="dxa" w:w="1728"/>
          </w:tcPr>
          <w:p>
            <w:r>
              <w:t>Model</w:t>
            </w:r>
          </w:p>
        </w:tc>
      </w:tr>
      <w:tr>
        <w:tc>
          <w:tcPr>
            <w:tcW w:type="dxa" w:w="1728"/>
          </w:tcPr>
          <w:p>
            <w:r>
              <w:t>News → Volatility</w:t>
            </w:r>
          </w:p>
        </w:tc>
        <w:tc>
          <w:tcPr>
            <w:tcW w:type="dxa" w:w="1728"/>
          </w:tcPr>
          <w:p>
            <w:r>
              <w:t>Lag 1</w:t>
            </w:r>
          </w:p>
        </w:tc>
        <w:tc>
          <w:tcPr>
            <w:tcW w:type="dxa" w:w="1728"/>
          </w:tcPr>
          <w:p>
            <w:r>
              <w:t>0.8732</w:t>
            </w:r>
          </w:p>
        </w:tc>
        <w:tc>
          <w:tcPr>
            <w:tcW w:type="dxa" w:w="1728"/>
          </w:tcPr>
          <w:p>
            <w:r>
              <w:t>No</w:t>
            </w:r>
          </w:p>
        </w:tc>
        <w:tc>
          <w:tcPr>
            <w:tcW w:type="dxa" w:w="1728"/>
          </w:tcPr>
          <w:p>
            <w:r>
              <w:t>Bivariate</w:t>
            </w:r>
          </w:p>
        </w:tc>
      </w:tr>
      <w:tr>
        <w:tc>
          <w:tcPr>
            <w:tcW w:type="dxa" w:w="1728"/>
          </w:tcPr>
          <w:p>
            <w:r>
              <w:t>Volatility → News</w:t>
            </w:r>
          </w:p>
        </w:tc>
        <w:tc>
          <w:tcPr>
            <w:tcW w:type="dxa" w:w="1728"/>
          </w:tcPr>
          <w:p>
            <w:r>
              <w:t>Lag 2</w:t>
            </w:r>
          </w:p>
        </w:tc>
        <w:tc>
          <w:tcPr>
            <w:tcW w:type="dxa" w:w="1728"/>
          </w:tcPr>
          <w:p>
            <w:r>
              <w:t>0.0334</w:t>
            </w:r>
          </w:p>
        </w:tc>
        <w:tc>
          <w:tcPr>
            <w:tcW w:type="dxa" w:w="1728"/>
          </w:tcPr>
          <w:p>
            <w:r>
              <w:t>YES</w:t>
            </w:r>
          </w:p>
        </w:tc>
        <w:tc>
          <w:tcPr>
            <w:tcW w:type="dxa" w:w="1728"/>
          </w:tcPr>
          <w:p>
            <w:r>
              <w:t>VAR</w:t>
            </w:r>
          </w:p>
        </w:tc>
      </w:tr>
    </w:tbl>
    <w:p>
      <w:pPr>
        <w:pStyle w:val="Heading3"/>
      </w:pPr>
      <w:r>
        <w:t>Interpretation</w:t>
      </w:r>
    </w:p>
    <w:p>
      <w:pPr>
        <w:pStyle w:val="ListBullet"/>
      </w:pPr>
      <w:r>
        <w:t>Hypothesis 1 (News → Volatility): REJECTED. Narrative shifts do not predict stock volatility.</w:t>
      </w:r>
    </w:p>
    <w:p>
      <w:pPr>
        <w:pStyle w:val="ListBullet"/>
      </w:pPr>
      <w:r>
        <w:t>Hypothesis 2 (Volatility → News): ACCEPTED. Stock volatility Granger-causes narrative shifts (p = 0.0334).</w:t>
      </w:r>
    </w:p>
    <w:p>
      <w:r>
        <w:br w:type="page"/>
      </w:r>
    </w:p>
    <w:p>
      <w:pPr>
        <w:pStyle w:val="Heading1"/>
      </w:pPr>
      <w:r>
        <w:rPr>
          <w:color w:val="1F4E78"/>
        </w:rPr>
        <w:t>5. BUSINESS APPLICATION: PR STRATEGIC PLANNING</w:t>
      </w:r>
    </w:p>
    <w:p>
      <w:pPr>
        <w:pStyle w:val="Heading2"/>
      </w:pPr>
      <w:r>
        <w:rPr>
          <w:color w:val="1F4E78"/>
        </w:rPr>
        <w:t>5.1 Strategic Framework</w:t>
      </w:r>
    </w:p>
    <w:p>
      <w:r>
        <w:t>Stock volatility is a leading indicator of media narratives. By monitoring real-time market volatility, Jio's PR team can anticipate and prepare messaging 1-2 weeks in advance.</w:t>
      </w:r>
    </w:p>
    <w:p>
      <w:pPr>
        <w:pStyle w:val="Heading3"/>
      </w:pPr>
      <w:r>
        <w:t>Scenario 1: High Volatility Spike</w:t>
      </w:r>
    </w:p>
    <w:p>
      <w:r>
        <w:rPr>
          <w:b/>
        </w:rPr>
        <w:t xml:space="preserve">Expected Media Reaction: </w:t>
      </w:r>
      <w:r>
        <w:t>Narrative pivots toward financial risk, debt, and governance.</w:t>
      </w:r>
    </w:p>
    <w:p>
      <w:r>
        <w:rPr>
          <w:b/>
        </w:rPr>
        <w:t xml:space="preserve">PR Playbook: </w:t>
      </w:r>
      <w:r>
        <w:t>Draft defensive press releases, prepare investor relations, limit consumer marketing.</w:t>
      </w:r>
    </w:p>
    <w:p>
      <w:pPr>
        <w:pStyle w:val="Heading3"/>
      </w:pPr>
      <w:r>
        <w:t>Scenario 2: Calm Market</w:t>
      </w:r>
    </w:p>
    <w:p>
      <w:r>
        <w:rPr>
          <w:b/>
        </w:rPr>
        <w:t xml:space="preserve">Expected Media Reaction: </w:t>
      </w:r>
      <w:r>
        <w:t>Coverage remains on baseline operational news and CSR.</w:t>
      </w:r>
    </w:p>
    <w:p>
      <w:r>
        <w:rPr>
          <w:b/>
        </w:rPr>
        <w:t xml:space="preserve">PR Playbook: </w:t>
      </w:r>
      <w:r>
        <w:t>Launch consumer campaigns, distribute positive updates, conduct proactive media outreach.</w:t>
      </w:r>
    </w:p>
    <w:p>
      <w:r>
        <w:br w:type="page"/>
      </w:r>
    </w:p>
    <w:p>
      <w:pPr>
        <w:pStyle w:val="Heading1"/>
      </w:pPr>
      <w:r>
        <w:rPr>
          <w:color w:val="1F4E78"/>
        </w:rPr>
        <w:t>6. CONCLUSION</w:t>
      </w:r>
    </w:p>
    <w:p>
      <w:r>
        <w:t>This research successfully bridges advanced NLP, information theory, and financial econometrics. Our findings demonstrate:</w:t>
      </w:r>
    </w:p>
    <w:p>
      <w:pPr>
        <w:pStyle w:val="ListBullet"/>
      </w:pPr>
      <w:r>
        <w:t>Markets are efficient: news topics are processed rapidly, leaving no predictable weekly lags.</w:t>
      </w:r>
    </w:p>
    <w:p>
      <w:pPr>
        <w:pStyle w:val="ListBullet"/>
      </w:pPr>
      <w:r>
        <w:t>Media is reactive: stock volatility acts as a leading indicator, dictating narrative shifts 1-2 weeks later.</w:t>
      </w:r>
    </w:p>
    <w:p>
      <w:r>
        <w:t>These insights enable Jio's corporate communications to transition from defensive crisis management to strategic, predictive positioning.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