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738E" w14:textId="77777777" w:rsidR="00C75B4C" w:rsidRDefault="00000000">
      <w:pPr>
        <w:pStyle w:val="Heading1"/>
        <w:spacing w:after="60"/>
      </w:pPr>
      <w:r>
        <w:rPr>
          <w:b/>
          <w:bCs/>
        </w:rPr>
        <w:t>Architectural Justification</w:t>
      </w:r>
    </w:p>
    <w:p w14:paraId="66D706C5" w14:textId="77777777" w:rsidR="00C75B4C" w:rsidRDefault="00000000">
      <w:pPr>
        <w:spacing w:after="80"/>
      </w:pPr>
      <w:r>
        <w:rPr>
          <w:i/>
          <w:iCs/>
          <w:sz w:val="19"/>
          <w:szCs w:val="19"/>
        </w:rPr>
        <w:t>Community Lost &amp; Found Matching Network  |  Lab 3: Component Modelling &amp; Architectural Pattern Selection</w:t>
      </w:r>
    </w:p>
    <w:p w14:paraId="622B9AE4" w14:textId="77777777" w:rsidR="00C75B4C" w:rsidRDefault="00000000">
      <w:pPr>
        <w:pStyle w:val="Heading2"/>
        <w:spacing w:before="180" w:after="70"/>
      </w:pPr>
      <w:r>
        <w:rPr>
          <w:b/>
          <w:bCs/>
        </w:rPr>
        <w:t>Architecture Selection</w:t>
      </w:r>
    </w:p>
    <w:p w14:paraId="3DE2092D" w14:textId="27D69924" w:rsidR="00C75B4C" w:rsidRDefault="00F3603C">
      <w:pPr>
        <w:spacing w:after="80"/>
      </w:pPr>
      <w:r>
        <w:rPr>
          <w:b/>
          <w:bCs/>
        </w:rPr>
        <w:t>I chose t</w:t>
      </w:r>
      <w:r w:rsidR="00845362">
        <w:rPr>
          <w:b/>
          <w:bCs/>
        </w:rPr>
        <w:t>he</w:t>
      </w:r>
      <w:r w:rsidR="00845362">
        <w:t xml:space="preserve"> </w:t>
      </w:r>
      <w:r w:rsidR="00845362">
        <w:rPr>
          <w:b/>
          <w:bCs/>
        </w:rPr>
        <w:t>Microservices Architecture</w:t>
      </w:r>
      <w:r w:rsidR="00845362">
        <w:t xml:space="preserve"> for the Community Lost &amp; Found Matching Network.</w:t>
      </w:r>
    </w:p>
    <w:p w14:paraId="2386CFDA" w14:textId="77777777" w:rsidR="00C75B4C" w:rsidRDefault="00000000">
      <w:pPr>
        <w:pStyle w:val="Heading2"/>
        <w:spacing w:before="180" w:after="70"/>
      </w:pPr>
      <w:r>
        <w:rPr>
          <w:b/>
          <w:bCs/>
        </w:rPr>
        <w:t>Architectural Style Analysis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500"/>
        <w:gridCol w:w="3500"/>
      </w:tblGrid>
      <w:tr w:rsidR="00C75B4C" w14:paraId="06977335" w14:textId="77777777">
        <w:trPr>
          <w:tblHeader/>
        </w:trPr>
        <w:tc>
          <w:tcPr>
            <w:tcW w:w="1900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0A322" w14:textId="77777777" w:rsidR="00C75B4C" w:rsidRDefault="00000000">
            <w:r>
              <w:rPr>
                <w:b/>
                <w:bCs/>
                <w:color w:val="FFFFFF"/>
                <w:sz w:val="17"/>
                <w:szCs w:val="17"/>
              </w:rPr>
              <w:t>Style</w:t>
            </w:r>
          </w:p>
        </w:tc>
        <w:tc>
          <w:tcPr>
            <w:tcW w:w="3500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F0707" w14:textId="77777777" w:rsidR="00C75B4C" w:rsidRDefault="00000000">
            <w:r>
              <w:rPr>
                <w:b/>
                <w:bCs/>
                <w:color w:val="FFFFFF"/>
                <w:sz w:val="17"/>
                <w:szCs w:val="17"/>
              </w:rPr>
              <w:t>Pros for this scenario</w:t>
            </w:r>
          </w:p>
        </w:tc>
        <w:tc>
          <w:tcPr>
            <w:tcW w:w="3500" w:type="dxa"/>
            <w:shd w:val="clear" w:color="auto" w:fill="1F4E7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D4972" w14:textId="77777777" w:rsidR="00C75B4C" w:rsidRDefault="00000000">
            <w:r>
              <w:rPr>
                <w:b/>
                <w:bCs/>
                <w:color w:val="FFFFFF"/>
                <w:sz w:val="17"/>
                <w:szCs w:val="17"/>
              </w:rPr>
              <w:t>Cons for this scenario</w:t>
            </w:r>
          </w:p>
        </w:tc>
      </w:tr>
      <w:tr w:rsidR="00C75B4C" w14:paraId="55977778" w14:textId="77777777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B7518" w14:textId="77777777" w:rsidR="00C75B4C" w:rsidRDefault="00000000">
            <w:r>
              <w:rPr>
                <w:b/>
                <w:bCs/>
                <w:color w:val="000000"/>
                <w:sz w:val="17"/>
                <w:szCs w:val="17"/>
              </w:rPr>
              <w:t>Layered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80670" w14:textId="77777777" w:rsidR="00C75B4C" w:rsidRDefault="00000000">
            <w:r>
              <w:rPr>
                <w:color w:val="000000"/>
                <w:sz w:val="17"/>
                <w:szCs w:val="17"/>
              </w:rPr>
              <w:t>Simple, clear separation of concerns; easy to build and grade.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BE61A" w14:textId="77777777" w:rsidR="00C75B4C" w:rsidRDefault="00000000">
            <w:r>
              <w:rPr>
                <w:color w:val="000000"/>
                <w:sz w:val="17"/>
                <w:szCs w:val="17"/>
              </w:rPr>
              <w:t>Individual workloads such as image-tag extraction and geo-matching are more difficult to scale independently, and heavy matching workloads can affect the overall application.</w:t>
            </w:r>
          </w:p>
        </w:tc>
      </w:tr>
      <w:tr w:rsidR="00C75B4C" w14:paraId="20E50B73" w14:textId="77777777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F1288" w14:textId="77777777" w:rsidR="00C75B4C" w:rsidRDefault="00000000">
            <w:r>
              <w:rPr>
                <w:b/>
                <w:bCs/>
                <w:color w:val="000000"/>
                <w:sz w:val="17"/>
                <w:szCs w:val="17"/>
              </w:rPr>
              <w:t>Client-Server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6C060" w14:textId="77777777" w:rsidR="00C75B4C" w:rsidRDefault="00000000">
            <w:r>
              <w:rPr>
                <w:color w:val="000000"/>
                <w:sz w:val="17"/>
                <w:szCs w:val="17"/>
              </w:rPr>
              <w:t>Centralised control of item data; consistency is easy.</w:t>
            </w:r>
          </w:p>
        </w:tc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EFBF6" w14:textId="77777777" w:rsidR="00C75B4C" w:rsidRDefault="00000000">
            <w:r>
              <w:rPr>
                <w:color w:val="000000"/>
                <w:sz w:val="17"/>
                <w:szCs w:val="17"/>
              </w:rPr>
              <w:t>Single point of failure; one overloaded server degrades reporting, matching and verification together.</w:t>
            </w:r>
          </w:p>
        </w:tc>
      </w:tr>
      <w:tr w:rsidR="00C75B4C" w14:paraId="4B35B15C" w14:textId="77777777">
        <w:tc>
          <w:tcPr>
            <w:tcW w:w="1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4F0A7" w14:textId="77777777" w:rsidR="00C75B4C" w:rsidRDefault="00000000">
            <w:r>
              <w:rPr>
                <w:b/>
                <w:bCs/>
                <w:color w:val="000000"/>
                <w:sz w:val="17"/>
                <w:szCs w:val="17"/>
              </w:rPr>
              <w:t>Microservices</w:t>
            </w:r>
          </w:p>
        </w:tc>
        <w:tc>
          <w:tcPr>
            <w:tcW w:w="3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10126" w14:textId="77777777" w:rsidR="00C75B4C" w:rsidRDefault="00000000">
            <w:r>
              <w:rPr>
                <w:color w:val="000000"/>
                <w:sz w:val="17"/>
                <w:szCs w:val="17"/>
              </w:rPr>
              <w:t>Matching Engine scales independently; verification is isolated behind its own trust boundary; notifications run asynchronously.</w:t>
            </w:r>
          </w:p>
        </w:tc>
        <w:tc>
          <w:tcPr>
            <w:tcW w:w="3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5D768" w14:textId="77777777" w:rsidR="00C75B4C" w:rsidRDefault="00000000">
            <w:r>
              <w:rPr>
                <w:color w:val="000000"/>
                <w:sz w:val="17"/>
                <w:szCs w:val="17"/>
              </w:rPr>
              <w:t>More operational complexity and network latency between services.</w:t>
            </w:r>
          </w:p>
        </w:tc>
      </w:tr>
    </w:tbl>
    <w:p w14:paraId="65E1E492" w14:textId="77777777" w:rsidR="00C75B4C" w:rsidRDefault="00C75B4C">
      <w:pPr>
        <w:spacing w:after="60"/>
      </w:pPr>
    </w:p>
    <w:p w14:paraId="260AA030" w14:textId="77777777" w:rsidR="00C75B4C" w:rsidRDefault="00000000">
      <w:pPr>
        <w:pStyle w:val="Heading2"/>
        <w:spacing w:before="180" w:after="70"/>
      </w:pPr>
      <w:r>
        <w:rPr>
          <w:b/>
          <w:bCs/>
        </w:rPr>
        <w:t>Reason 1 — Independent scaling of the matching workload</w:t>
      </w:r>
    </w:p>
    <w:p w14:paraId="3F09B1EB" w14:textId="77777777" w:rsidR="00E15526" w:rsidRDefault="00E15526">
      <w:pPr>
        <w:pStyle w:val="Heading2"/>
        <w:spacing w:before="180" w:after="70"/>
        <w:rPr>
          <w:color w:val="auto"/>
          <w:sz w:val="20"/>
          <w:szCs w:val="20"/>
        </w:rPr>
      </w:pPr>
      <w:r w:rsidRPr="00E15526">
        <w:rPr>
          <w:color w:val="auto"/>
          <w:sz w:val="20"/>
          <w:szCs w:val="20"/>
        </w:rPr>
        <w:t>The Matching Engine performs visual and text tag extraction and geo-proximity comparison against active Lost Item reports (FR-001). This can be a relatively compute-intensive workload, and its load may increase independently of other functions such as moderation and verification. As a separate service, the Matching Engine can be replicated independently without over-provisioning the Report Manager or other services.</w:t>
      </w:r>
    </w:p>
    <w:p w14:paraId="00036548" w14:textId="4326B565" w:rsidR="00C75B4C" w:rsidRDefault="00000000">
      <w:pPr>
        <w:pStyle w:val="Heading2"/>
        <w:spacing w:before="180" w:after="70"/>
      </w:pPr>
      <w:r>
        <w:rPr>
          <w:b/>
          <w:bCs/>
        </w:rPr>
        <w:t>Reason 2 — Fault isolation across unrelated community functions</w:t>
      </w:r>
    </w:p>
    <w:p w14:paraId="1D512CD6" w14:textId="0983903B" w:rsidR="00C75B4C" w:rsidRDefault="00000000">
      <w:pPr>
        <w:spacing w:after="80"/>
      </w:pPr>
      <w:r>
        <w:t xml:space="preserve">Reporting a lost item, claiming an item, and moderating listings are independent user journeys owned by different actors (Owner, Finder, Community Admin). </w:t>
      </w:r>
      <w:r w:rsidR="0039107F" w:rsidRPr="0039107F">
        <w:t>The system contains independent functions such as reporting items, matching items, verifying ownership, and moderating listings. Separating these functions into services provides fault isolation, so a failure in one service does not necessarily stop unrelated functions from operating</w:t>
      </w:r>
      <w:r>
        <w:t>, and an outage in the Moderation Service does not block ownership verification. Reports can be retained for later matching once the engine recovers, provided the system persists the submitted data.</w:t>
      </w:r>
    </w:p>
    <w:p w14:paraId="4E31DD20" w14:textId="77777777" w:rsidR="00C75B4C" w:rsidRDefault="00000000">
      <w:pPr>
        <w:pStyle w:val="Heading2"/>
        <w:spacing w:before="180" w:after="70"/>
      </w:pPr>
      <w:r>
        <w:rPr>
          <w:b/>
          <w:bCs/>
        </w:rPr>
        <w:t>Security Advantage</w:t>
      </w:r>
    </w:p>
    <w:p w14:paraId="69FCFE32" w14:textId="3C81C4AD" w:rsidR="00C75B4C" w:rsidRDefault="00000000">
      <w:pPr>
        <w:spacing w:after="80"/>
      </w:pPr>
      <w:r>
        <w:t>The Verification Service is deployed as its own component behind a dedicated TLS interface, and it is the only component permitted to read the Finder's stored security answer (via its own Item</w:t>
      </w:r>
      <w:r w:rsidR="00D631E5">
        <w:t xml:space="preserve"> </w:t>
      </w:r>
      <w:r>
        <w:t>Data connection to the repository) and release contact details. The UI Client can never reach it directly — every request is mediated by the Report Manager. This gives the proof-of-ownership check in NFR-001 a hard trust boundary rather than a conditional branch inside a shared monolith, so a vulnerability in the public-facing reporting or moderation code cannot be used to leak a Finder's contact information. Once verification succeeds, the Verification Service itself publishes the handover notification rather than routing it back through Report Manager, keeping the sensitive claim outcome inside a single trusted path.</w:t>
      </w:r>
    </w:p>
    <w:p w14:paraId="29B0C1BF" w14:textId="77777777" w:rsidR="00C75B4C" w:rsidRDefault="00000000">
      <w:pPr>
        <w:pStyle w:val="Heading2"/>
        <w:spacing w:before="180" w:after="70"/>
      </w:pPr>
      <w:r>
        <w:rPr>
          <w:b/>
          <w:bCs/>
        </w:rPr>
        <w:t>Performance Benefit</w:t>
      </w:r>
    </w:p>
    <w:p w14:paraId="7D058058" w14:textId="1BF1268D" w:rsidR="00C75B4C" w:rsidRDefault="00000000">
      <w:pPr>
        <w:spacing w:after="80"/>
      </w:pPr>
      <w:r>
        <w:t>Match notifications are dispatched asynchronously over a message queue rather than being sent inside the user's request. The Matching Engine publishes a match event and returns immediately, which keeps ownership verification within the 5-second target in NFR-001 and lets the Notification Service absorb bursts and retry failed deliveries independently — supporting the 99% delivery rate within 30 seconds required by NFR-002, even under peak load.</w:t>
      </w:r>
    </w:p>
    <w:p w14:paraId="5719A681" w14:textId="77777777" w:rsidR="00C75B4C" w:rsidRDefault="00000000">
      <w:pPr>
        <w:pStyle w:val="Heading2"/>
        <w:spacing w:before="180" w:after="70"/>
      </w:pPr>
      <w:r>
        <w:rPr>
          <w:b/>
          <w:bCs/>
        </w:rPr>
        <w:t>Components Identified</w:t>
      </w:r>
    </w:p>
    <w:p w14:paraId="0E158A7E" w14:textId="77777777" w:rsidR="00C75B4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Report Manager Component</w:t>
      </w:r>
      <w:r>
        <w:t xml:space="preserve"> (given) — orchestrates Lost/Found item reports and claims (FR-002, FR-003, FR-005).</w:t>
      </w:r>
    </w:p>
    <w:p w14:paraId="6B6EBF44" w14:textId="77777777" w:rsidR="00C75B4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Verification Service Component</w:t>
      </w:r>
      <w:r>
        <w:t xml:space="preserve"> (given, adapted from Payment Service) — proof-of-ownership check and contact release (NFR-001).</w:t>
      </w:r>
    </w:p>
    <w:p w14:paraId="12AC7616" w14:textId="77777777" w:rsidR="00C75B4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Matching Engine Component</w:t>
      </w:r>
      <w:r>
        <w:t xml:space="preserve"> — tag extraction and geo-proximity matching (FR-001).</w:t>
      </w:r>
    </w:p>
    <w:p w14:paraId="7D3AF07F" w14:textId="77777777" w:rsidR="00C75B4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Notification Service Component</w:t>
      </w:r>
      <w:r>
        <w:t xml:space="preserve"> — asynchronous match alerts (NFR-002).</w:t>
      </w:r>
    </w:p>
    <w:p w14:paraId="5929356A" w14:textId="77777777" w:rsidR="00C75B4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Item Data Repository Component</w:t>
      </w:r>
      <w:r>
        <w:t xml:space="preserve"> — persists item records, tags and security answers.</w:t>
      </w:r>
    </w:p>
    <w:p w14:paraId="1CF31853" w14:textId="77777777" w:rsidR="00C75B4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Moderation Service Component</w:t>
      </w:r>
      <w:r>
        <w:t xml:space="preserve"> — Admin flagging and removal of listings (FR-004).</w:t>
      </w:r>
    </w:p>
    <w:p w14:paraId="34F8E273" w14:textId="77777777" w:rsidR="00C75B4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UI Client Component</w:t>
      </w:r>
      <w:r>
        <w:t xml:space="preserve"> — web/mobile front end for Owner, Finder and Admin.</w:t>
      </w:r>
    </w:p>
    <w:sectPr w:rsidR="00C75B4C">
      <w:pgSz w:w="11906" w:h="16838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1161A"/>
    <w:multiLevelType w:val="hybridMultilevel"/>
    <w:tmpl w:val="15CC9BFE"/>
    <w:lvl w:ilvl="0" w:tplc="D388C45E">
      <w:start w:val="1"/>
      <w:numFmt w:val="bullet"/>
      <w:lvlText w:val="•"/>
      <w:lvlJc w:val="left"/>
      <w:pPr>
        <w:ind w:left="460" w:hanging="259"/>
      </w:pPr>
    </w:lvl>
    <w:lvl w:ilvl="1" w:tplc="0344B468">
      <w:numFmt w:val="decimal"/>
      <w:lvlText w:val=""/>
      <w:lvlJc w:val="left"/>
    </w:lvl>
    <w:lvl w:ilvl="2" w:tplc="94FE727A">
      <w:numFmt w:val="decimal"/>
      <w:lvlText w:val=""/>
      <w:lvlJc w:val="left"/>
    </w:lvl>
    <w:lvl w:ilvl="3" w:tplc="3D88E1EC">
      <w:numFmt w:val="decimal"/>
      <w:lvlText w:val=""/>
      <w:lvlJc w:val="left"/>
    </w:lvl>
    <w:lvl w:ilvl="4" w:tplc="CCF8D19C">
      <w:numFmt w:val="decimal"/>
      <w:lvlText w:val=""/>
      <w:lvlJc w:val="left"/>
    </w:lvl>
    <w:lvl w:ilvl="5" w:tplc="C5246C46">
      <w:numFmt w:val="decimal"/>
      <w:lvlText w:val=""/>
      <w:lvlJc w:val="left"/>
    </w:lvl>
    <w:lvl w:ilvl="6" w:tplc="5A68C264">
      <w:numFmt w:val="decimal"/>
      <w:lvlText w:val=""/>
      <w:lvlJc w:val="left"/>
    </w:lvl>
    <w:lvl w:ilvl="7" w:tplc="EC285E0C">
      <w:numFmt w:val="decimal"/>
      <w:lvlText w:val=""/>
      <w:lvlJc w:val="left"/>
    </w:lvl>
    <w:lvl w:ilvl="8" w:tplc="8EB2C564">
      <w:numFmt w:val="decimal"/>
      <w:lvlText w:val=""/>
      <w:lvlJc w:val="left"/>
    </w:lvl>
  </w:abstractNum>
  <w:abstractNum w:abstractNumId="1" w15:restartNumberingAfterBreak="0">
    <w:nsid w:val="7CA173D1"/>
    <w:multiLevelType w:val="hybridMultilevel"/>
    <w:tmpl w:val="44C479AE"/>
    <w:lvl w:ilvl="0" w:tplc="79C84CF4">
      <w:start w:val="1"/>
      <w:numFmt w:val="bullet"/>
      <w:lvlText w:val="●"/>
      <w:lvlJc w:val="left"/>
      <w:pPr>
        <w:ind w:left="720" w:hanging="360"/>
      </w:pPr>
    </w:lvl>
    <w:lvl w:ilvl="1" w:tplc="BBB6A998">
      <w:start w:val="1"/>
      <w:numFmt w:val="bullet"/>
      <w:lvlText w:val="○"/>
      <w:lvlJc w:val="left"/>
      <w:pPr>
        <w:ind w:left="1440" w:hanging="360"/>
      </w:pPr>
    </w:lvl>
    <w:lvl w:ilvl="2" w:tplc="B4C8089C">
      <w:start w:val="1"/>
      <w:numFmt w:val="bullet"/>
      <w:lvlText w:val="■"/>
      <w:lvlJc w:val="left"/>
      <w:pPr>
        <w:ind w:left="2160" w:hanging="360"/>
      </w:pPr>
    </w:lvl>
    <w:lvl w:ilvl="3" w:tplc="982C680E">
      <w:start w:val="1"/>
      <w:numFmt w:val="bullet"/>
      <w:lvlText w:val="●"/>
      <w:lvlJc w:val="left"/>
      <w:pPr>
        <w:ind w:left="2880" w:hanging="360"/>
      </w:pPr>
    </w:lvl>
    <w:lvl w:ilvl="4" w:tplc="731A3DC0">
      <w:start w:val="1"/>
      <w:numFmt w:val="bullet"/>
      <w:lvlText w:val="○"/>
      <w:lvlJc w:val="left"/>
      <w:pPr>
        <w:ind w:left="3600" w:hanging="360"/>
      </w:pPr>
    </w:lvl>
    <w:lvl w:ilvl="5" w:tplc="6FBE516E">
      <w:start w:val="1"/>
      <w:numFmt w:val="bullet"/>
      <w:lvlText w:val="■"/>
      <w:lvlJc w:val="left"/>
      <w:pPr>
        <w:ind w:left="4320" w:hanging="360"/>
      </w:pPr>
    </w:lvl>
    <w:lvl w:ilvl="6" w:tplc="6700CA9C">
      <w:start w:val="1"/>
      <w:numFmt w:val="bullet"/>
      <w:lvlText w:val="●"/>
      <w:lvlJc w:val="left"/>
      <w:pPr>
        <w:ind w:left="5040" w:hanging="360"/>
      </w:pPr>
    </w:lvl>
    <w:lvl w:ilvl="7" w:tplc="42BED7F8">
      <w:start w:val="1"/>
      <w:numFmt w:val="bullet"/>
      <w:lvlText w:val="●"/>
      <w:lvlJc w:val="left"/>
      <w:pPr>
        <w:ind w:left="5760" w:hanging="360"/>
      </w:pPr>
    </w:lvl>
    <w:lvl w:ilvl="8" w:tplc="07FE1E4A">
      <w:start w:val="1"/>
      <w:numFmt w:val="bullet"/>
      <w:lvlText w:val="●"/>
      <w:lvlJc w:val="left"/>
      <w:pPr>
        <w:ind w:left="6480" w:hanging="360"/>
      </w:pPr>
    </w:lvl>
  </w:abstractNum>
  <w:num w:numId="1" w16cid:durableId="2088066096">
    <w:abstractNumId w:val="1"/>
    <w:lvlOverride w:ilvl="0">
      <w:startOverride w:val="1"/>
    </w:lvlOverride>
  </w:num>
  <w:num w:numId="2" w16cid:durableId="18100042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B4C"/>
    <w:rsid w:val="0039107F"/>
    <w:rsid w:val="00845362"/>
    <w:rsid w:val="00A23552"/>
    <w:rsid w:val="00B44C3A"/>
    <w:rsid w:val="00C75B4C"/>
    <w:rsid w:val="00D631E5"/>
    <w:rsid w:val="00E15526"/>
    <w:rsid w:val="00F31295"/>
    <w:rsid w:val="00F3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89906"/>
  <w15:docId w15:val="{8865BFBE-AA7D-442C-B415-C17A10F89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Purvi G</cp:lastModifiedBy>
  <cp:revision>6</cp:revision>
  <dcterms:created xsi:type="dcterms:W3CDTF">2026-09-16T05:51:00Z</dcterms:created>
  <dcterms:modified xsi:type="dcterms:W3CDTF">2026-09-16T09:58:00Z</dcterms:modified>
</cp:coreProperties>
</file>