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Literature Review</w:t>
      </w:r>
    </w:p>
    <w:p>
      <w:pPr>
        <w:spacing w:before="0" w:after="2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ML-Driven Adaptive Random Access Optimization for mMTC Smart Meter Networks</w:t>
      </w:r>
    </w:p>
    <w:p>
      <w:pPr>
        <w:spacing w:before="220" w:after="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Introduction</w:t>
      </w:r>
    </w:p>
    <w:p>
      <w:pPr>
        <w:spacing w:before="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rise of smart grid infrastructure has turned Advanced Metering Infrastructure (AMI) into one of the most challenging use-cases for cellular IoT. A single NB-IoT cell in a dense urban area can serve tens of thousands of smart meters, each programmed to report consumption data at fixed 15-minute intervals under the IEC 62056 standard. Unlike generic IoT devices that transmit sporadically, smart meters are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synchronised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a large fraction attempt RACH simultaneously, creating predictable yet severe congestion windows. Beyond routine reporting, demand-response events require up to 80% of meters to acknowledge a utility broadcast within two seconds, a hard operational SLA that standard 3GPP random access procedures were simply not designed to meet. The literature on random access optimization for massive machine-type communications (mMTC) is extensive, but as the following review shows, it has not yet produced a solution tailored to the specific constraints of smart metering — namely AMI-specific traffic patterns, joint multi-parameter control, guaranteed access delay, and deployment on resource-constrained hardware.</w:t>
      </w:r>
    </w:p>
    <w:p>
      <w:pPr>
        <w:spacing w:before="220" w:after="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Review of Existing Literature</w:t>
      </w:r>
    </w:p>
    <w:p>
      <w:pPr>
        <w:spacing w:before="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analytical foundation for dynamic access barring was laid by Duan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et 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who proposed D-ACB for LTE M2M traffic and demonstrated around a 60% reduction in access delay over static schemes by estimating device load in real time. While effective, the model treated backoff timing and preamble count as fixed — a limitation that would prove consequential in later work. Leyva-Mayorga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et 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[2]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derived an optimal ACB factor analytically, showing that setting the barring probability proportional to available preambles maximises throughput; however, the model assumes instantaneous parameter updates and ignores backoff dynamics entirely. Together these works established that dynamic ACB matters, but also that the Backoff Indicator (BI) — which determines how long a device waits before retrying after a collision — had been left out of the optimisation picture completely.</w:t>
      </w:r>
    </w:p>
    <w:p>
      <w:pPr>
        <w:spacing w:before="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first credible evidence that lightweight reinforcement learning could work on constrained hardware came from Bello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et 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[3]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who showed tabular Q-learning with a discretised state space could improve RACH throughput by 55% and converge in under 200 episodes on a constrained device simulation. This was the signal that a low-complexity RL approach was not just theoretically possible but practically feasible — even if the work used generic Poisson traffic and did not extend to NB-IoT.</w:t>
      </w:r>
    </w:p>
    <w:p>
      <w:pPr>
        <w:spacing w:before="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shift to NB-IoT brought deeper complexity. Jiang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et 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[4]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proposed CMA-DQN, splitting a nine-parameter NB-IoT action space across cooperative agents and achieving a 6× improvement in access success under overload. The backoff indicator, however, was absent from the action space across all agents. Hadjadj-Aoul and Ait-Chellouche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[5]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applied TD3 to NB-IoT access control and improved successful preamble transmission by 42.5% over adaptive heuristics — but the continuous action space of TD3 makes on-device deployment impractical for M3/M4-class smart meter hardware. Abera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et 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[6]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and Bui and Pham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[7]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extended DQN-based ACB to LTE, demonstrating collision reduction of ~40% and energy savings of ~38% respectively, though both systems run cloud-side and treat delay as a soft metric rather than a hard constraint.</w:t>
      </w:r>
    </w:p>
    <w:p>
      <w:pPr>
        <w:spacing w:before="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Traffic prediction emerged as a complementary direction. Lee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et 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[8]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showed an LSTM-based ACB scheme could cut mean access delay by 45% in LTE-A by predicting load ahead of time — yet accuracy fell to 72% during synchronised bursts, which is exactly the scenario that defines a demand-response event. Mehri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et 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[9]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extended this with a hybrid LSTM-DenseNet predictor (FLSP) achieving over 90% accuracy and 1–2 second ahead congestion forecasting, but the prediction output feeds no control mechanism for ACB, backoff, or preamble configuration. Prediction without a closed control loop leaves the congestion problem fundamentally unresolved.</w:t>
      </w:r>
    </w:p>
    <w:p>
      <w:pPr>
        <w:spacing w:before="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Papers that directly modelled smart meter scenarios expose how serious the problem is under realistic conditions. Stusek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et 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simulated NB-IoT for 15-minute AMI reporting cycles and post-outage reconnection bursts, finding that even NB-IoT Release 15's Early Data Transmission feature could not contain the resulting collision storm, and explicitly called for ML-based adaptive control as future work. Litjens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et 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confirmed at the grid level that simultaneous outage-restoration access from all meters in a zone overwhelms standard RACH regardless of scheduling heuristics. Michelinakis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et 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[12]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measured real NB-IoT modems and found that 98.4% of ECL Level 2 transmissions operate at maximum TX power — a direct consequence of failed RACH attempts cascading into coverage enhancement mode and accelerated battery drain. Matz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et 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[13]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measured end-to-end latency on a live network and confirmed ECL Level 2 mean delay exceeds 10 seconds, making the 2-second demand-response SLA unachievable without active optimisation.</w:t>
      </w:r>
    </w:p>
    <w:p>
      <w:pPr>
        <w:spacing w:before="220" w:after="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Identified Research Gaps</w:t>
      </w:r>
    </w:p>
    <w:p>
      <w:pPr>
        <w:spacing w:before="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Reviewing this body of work, four clear gaps emerge. First,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no paper models AMI-specific traffic: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every study uses generic Beta or Poisson distributions that miss the deterministic 15-minute reporting cycle and the synchronised demand-response bursts that characterise real smart meter behaviour. Second,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no work jointly optimises ACB, Backoff Indicator, and RACH configuration together: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while ACB has received considerable attention and preamble allocation has been studied in isolation, the BI has been universally ignored across all reviewed papers — despite empirical evidence that unoptimised backoff is the primary driver of the RACH failure cascade into CE Level 2 escalation. Third,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no existing approach enforces SLA as a hard constraint: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delay is consistently treated as a metric to minimise rather than a boundary to guarantee, which is operationally inadequate when demand-response latency directly affects grid stability. Fourth,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all ML solutions target base station or cloud deployment: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smart meters typically run on M3/M4-class processors with limited flash memory and no floating-point unit. Silva and Abrão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[14]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showed that tabular Q-learning scales to 50,000 devices with a Q-table of a few kilobytes and O(1) lookup, and Bello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et 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[3]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confirmed on-device convergence — but neither applied this to NB-IoT, AMI traffic, or joint parameter control. Closing all four gaps in a single deployable system is the primary motivation for the proposed work.</w:t>
      </w:r>
    </w:p>
    <w:p>
      <w:pPr>
        <w:spacing w:before="220" w:after="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Table 1: Comparison of Existing Approaches</w:t>
      </w:r>
    </w:p>
    <w:p>
      <w:pPr>
        <w:spacing w:before="0" w:after="1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(✓ = addressed,  ~ = partial,  ✗ = not addressed)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1"/>
        <w:gridCol w:w="2297"/>
        <w:gridCol w:w="874"/>
        <w:gridCol w:w="993"/>
        <w:gridCol w:w="1556"/>
        <w:gridCol w:w="1364"/>
        <w:gridCol w:w="1230"/>
      </w:tblGrid>
      <w:tr>
        <w:tc>
          <w:tcPr>
            <w:tcW w:type="dxa" w:w="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Ref.</w:t>
            </w:r>
          </w:p>
        </w:tc>
        <w:tc>
          <w:tcPr>
            <w:tcW w:type="dxa" w:w="22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NB-IoT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AMI Traffic</w:t>
            </w:r>
          </w:p>
        </w:tc>
        <w:tc>
          <w:tcPr>
            <w:tcW w:type="dxa" w:w="1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Joint ACB+BI+RACH</w:t>
            </w:r>
          </w:p>
        </w:tc>
        <w:tc>
          <w:tcPr>
            <w:tcW w:type="dxa" w:w="13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SLA Constraint</w:t>
            </w:r>
          </w:p>
        </w:tc>
        <w:tc>
          <w:tcPr>
            <w:tcW w:type="dxa" w:w="1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Embedded ML</w:t>
            </w:r>
          </w:p>
        </w:tc>
      </w:tr>
      <w:tr>
        <w:tc>
          <w:tcPr>
            <w:tcW w:type="dxa" w:w="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[1]</w:t>
            </w:r>
          </w:p>
        </w:tc>
        <w:tc>
          <w:tcPr>
            <w:tcW w:type="dxa" w:w="22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D-ACB (Analytical)</w:t>
            </w:r>
          </w:p>
        </w:tc>
        <w:tc>
          <w:tcPr>
            <w:tcW w:type="dxa" w:w="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3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[2]</w:t>
            </w:r>
          </w:p>
        </w:tc>
        <w:tc>
          <w:tcPr>
            <w:tcW w:type="dxa" w:w="22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Tabular Q-learning</w:t>
            </w:r>
          </w:p>
        </w:tc>
        <w:tc>
          <w:tcPr>
            <w:tcW w:type="dxa" w:w="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3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7950B"/>
                <w:sz w:val="17"/>
                <w:szCs w:val="17"/>
              </w:rPr>
              <w:t xml:space="preserve">~</w:t>
            </w:r>
          </w:p>
        </w:tc>
      </w:tr>
      <w:tr>
        <w:tc>
          <w:tcPr>
            <w:tcW w:type="dxa" w:w="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[3]</w:t>
            </w:r>
          </w:p>
        </w:tc>
        <w:tc>
          <w:tcPr>
            <w:tcW w:type="dxa" w:w="22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Optimal ACB (Analytical)</w:t>
            </w:r>
          </w:p>
        </w:tc>
        <w:tc>
          <w:tcPr>
            <w:tcW w:type="dxa" w:w="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D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3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[4]</w:t>
            </w:r>
          </w:p>
        </w:tc>
        <w:tc>
          <w:tcPr>
            <w:tcW w:type="dxa" w:w="22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CMA-DQN (NB-IoT)</w:t>
            </w:r>
          </w:p>
        </w:tc>
        <w:tc>
          <w:tcPr>
            <w:tcW w:type="dxa" w:w="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D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7950B"/>
                <w:sz w:val="17"/>
                <w:szCs w:val="17"/>
              </w:rPr>
              <w:t xml:space="preserve">~</w:t>
            </w:r>
          </w:p>
        </w:tc>
        <w:tc>
          <w:tcPr>
            <w:tcW w:type="dxa" w:w="13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[5]</w:t>
            </w:r>
          </w:p>
        </w:tc>
        <w:tc>
          <w:tcPr>
            <w:tcW w:type="dxa" w:w="22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TD3 Deep RL</w:t>
            </w:r>
          </w:p>
        </w:tc>
        <w:tc>
          <w:tcPr>
            <w:tcW w:type="dxa" w:w="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D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3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[6]</w:t>
            </w:r>
          </w:p>
        </w:tc>
        <w:tc>
          <w:tcPr>
            <w:tcW w:type="dxa" w:w="22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DQN-ACB (LTE)</w:t>
            </w:r>
          </w:p>
        </w:tc>
        <w:tc>
          <w:tcPr>
            <w:tcW w:type="dxa" w:w="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3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[7]</w:t>
            </w:r>
          </w:p>
        </w:tc>
        <w:tc>
          <w:tcPr>
            <w:tcW w:type="dxa" w:w="22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DQN Energy+Delay</w:t>
            </w:r>
          </w:p>
        </w:tc>
        <w:tc>
          <w:tcPr>
            <w:tcW w:type="dxa" w:w="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3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[8]</w:t>
            </w:r>
          </w:p>
        </w:tc>
        <w:tc>
          <w:tcPr>
            <w:tcW w:type="dxa" w:w="22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LSTM-ACB</w:t>
            </w:r>
          </w:p>
        </w:tc>
        <w:tc>
          <w:tcPr>
            <w:tcW w:type="dxa" w:w="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3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[9]</w:t>
            </w:r>
          </w:p>
        </w:tc>
        <w:tc>
          <w:tcPr>
            <w:tcW w:type="dxa" w:w="22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LSTM+DenseNet (FLSP)</w:t>
            </w:r>
          </w:p>
        </w:tc>
        <w:tc>
          <w:tcPr>
            <w:tcW w:type="dxa" w:w="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7950B"/>
                <w:sz w:val="17"/>
                <w:szCs w:val="17"/>
              </w:rPr>
              <w:t xml:space="preserve">~</w:t>
            </w:r>
          </w:p>
        </w:tc>
        <w:tc>
          <w:tcPr>
            <w:tcW w:type="dxa" w:w="1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3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[10]</w:t>
            </w:r>
          </w:p>
        </w:tc>
        <w:tc>
          <w:tcPr>
            <w:tcW w:type="dxa" w:w="22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ns-3 Smart Meter Sim</w:t>
            </w:r>
          </w:p>
        </w:tc>
        <w:tc>
          <w:tcPr>
            <w:tcW w:type="dxa" w:w="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D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D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</w:t>
            </w:r>
          </w:p>
        </w:tc>
        <w:tc>
          <w:tcPr>
            <w:tcW w:type="dxa" w:w="1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3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[11]</w:t>
            </w:r>
          </w:p>
        </w:tc>
        <w:tc>
          <w:tcPr>
            <w:tcW w:type="dxa" w:w="22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Grid Outage Sim</w:t>
            </w:r>
          </w:p>
        </w:tc>
        <w:tc>
          <w:tcPr>
            <w:tcW w:type="dxa" w:w="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D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D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</w:t>
            </w:r>
          </w:p>
        </w:tc>
        <w:tc>
          <w:tcPr>
            <w:tcW w:type="dxa" w:w="1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3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[12]</w:t>
            </w:r>
          </w:p>
        </w:tc>
        <w:tc>
          <w:tcPr>
            <w:tcW w:type="dxa" w:w="22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Real HW (Energy)</w:t>
            </w:r>
          </w:p>
        </w:tc>
        <w:tc>
          <w:tcPr>
            <w:tcW w:type="dxa" w:w="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D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3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7950B"/>
                <w:sz w:val="17"/>
                <w:szCs w:val="17"/>
              </w:rPr>
              <w:t xml:space="preserve">~</w:t>
            </w:r>
          </w:p>
        </w:tc>
        <w:tc>
          <w:tcPr>
            <w:tcW w:type="dxa" w:w="1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[13]</w:t>
            </w:r>
          </w:p>
        </w:tc>
        <w:tc>
          <w:tcPr>
            <w:tcW w:type="dxa" w:w="22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Real HW (Latency)</w:t>
            </w:r>
          </w:p>
        </w:tc>
        <w:tc>
          <w:tcPr>
            <w:tcW w:type="dxa" w:w="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D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D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</w:t>
            </w:r>
          </w:p>
        </w:tc>
        <w:tc>
          <w:tcPr>
            <w:tcW w:type="dxa" w:w="1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3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7950B"/>
                <w:sz w:val="17"/>
                <w:szCs w:val="17"/>
              </w:rPr>
              <w:t xml:space="preserve">~</w:t>
            </w:r>
          </w:p>
        </w:tc>
        <w:tc>
          <w:tcPr>
            <w:tcW w:type="dxa" w:w="1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7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D7377"/>
                <w:sz w:val="17"/>
                <w:szCs w:val="17"/>
              </w:rPr>
              <w:t xml:space="preserve">Prop.</w:t>
            </w:r>
          </w:p>
        </w:tc>
        <w:tc>
          <w:tcPr>
            <w:tcW w:type="dxa" w:w="22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7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D7377"/>
                <w:sz w:val="17"/>
                <w:szCs w:val="17"/>
              </w:rPr>
              <w:t xml:space="preserve">Tabular Q (Joint, AMI)</w:t>
            </w:r>
          </w:p>
        </w:tc>
        <w:tc>
          <w:tcPr>
            <w:tcW w:type="dxa" w:w="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D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D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</w:t>
            </w:r>
          </w:p>
        </w:tc>
        <w:tc>
          <w:tcPr>
            <w:tcW w:type="dxa" w:w="1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D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</w:t>
            </w:r>
          </w:p>
        </w:tc>
        <w:tc>
          <w:tcPr>
            <w:tcW w:type="dxa" w:w="13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D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</w:t>
            </w:r>
          </w:p>
        </w:tc>
        <w:tc>
          <w:tcPr>
            <w:tcW w:type="dxa" w:w="1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D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8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References</w:t>
      </w:r>
    </w:p>
    <w:p>
      <w:pPr>
        <w:spacing w:before="0" w:after="100" w:line="300" w:lineRule="auto"/>
        <w:ind w:left="620" w:hanging="3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[1]  S. Duan, V. Shah-Mansouri, Z. Wang, and V. W. S. Wong, "D-ACB: Adaptive Congestion Control Algorithm for Bursty M2M Traffic in LTE Networks," IEEE Trans. Veh. Technol., vol. 65, no. 12, pp. 9875–9888, Dec. 2016.</w:t>
      </w:r>
    </w:p>
    <w:p>
      <w:pPr>
        <w:spacing w:before="0" w:after="100" w:line="300" w:lineRule="auto"/>
        <w:ind w:left="620" w:hanging="3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[2]  I. Leyva-Mayorga et al., "Adaptive Access Class Barring for Efficient mMTC," Comput. Netw., vol. 149, pp. 86–99, 2019.</w:t>
      </w:r>
    </w:p>
    <w:p>
      <w:pPr>
        <w:spacing w:before="0" w:after="100" w:line="300" w:lineRule="auto"/>
        <w:ind w:left="620" w:hanging="3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[3]  L. M. Bello, P. Mitchell, and D. Grace, "Q-Learning for Random Access in Wireless Networks," in Proc. 20th European Wireless Conf., Barcelona, 2014.</w:t>
      </w:r>
    </w:p>
    <w:p>
      <w:pPr>
        <w:spacing w:before="0" w:after="100" w:line="300" w:lineRule="auto"/>
        <w:ind w:left="620" w:hanging="3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[4]  N. Jiang, Y. Deng, A. Nallanathan, and J. A. Chambers, "Reinforcement Learning for Real-Time Optimization in NB-IoT Networks," IEEE J. Sel. Areas Commun., vol. 37, no. 6, pp. 1424–1440, Jun. 2019.</w:t>
      </w:r>
    </w:p>
    <w:p>
      <w:pPr>
        <w:spacing w:before="0" w:after="100" w:line="300" w:lineRule="auto"/>
        <w:ind w:left="620" w:hanging="3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[5]  Y. Hadjadj-Aoul and S. Ait-Chellouche, "Access Control in NB-IoT Networks: A Deep Reinforcement Learning Strategy," Information, vol. 11, no. 11, p. 541, 2020.</w:t>
      </w:r>
    </w:p>
    <w:p>
      <w:pPr>
        <w:spacing w:before="0" w:after="100" w:line="300" w:lineRule="auto"/>
        <w:ind w:left="620" w:hanging="3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[6]  W. G. Abera, T. O. Olwal, and Y. W. Marye, "Deep Reinforcement Learning-Based Access Class Barring for mMTC," Array (Elsevier), vol. 28, p. 100533, 2025.</w:t>
      </w:r>
    </w:p>
    <w:p>
      <w:pPr>
        <w:spacing w:before="0" w:after="100" w:line="300" w:lineRule="auto"/>
        <w:ind w:left="620" w:hanging="3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[7]  A. T. H. Bui and A. T. Pham, "DRL-Based ACB for Energy-Efficient mMTC Random Access in LTE," IEEE Access, vol. 8, 2020.</w:t>
      </w:r>
    </w:p>
    <w:p>
      <w:pPr>
        <w:spacing w:before="0" w:after="100" w:line="300" w:lineRule="auto"/>
        <w:ind w:left="620" w:hanging="3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[8]  C.-H. Lee, S.-J. Kao, and F.-M. Chang, "LSTM-Based ACB Scheme for MTC in LTE-A Networks," Comput. Commun., vol. 152, pp. 192–200, Feb. 2020.</w:t>
      </w:r>
    </w:p>
    <w:p>
      <w:pPr>
        <w:spacing w:before="0" w:after="100" w:line="300" w:lineRule="auto"/>
        <w:ind w:left="620" w:hanging="3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[9]  H. Mehri, H. Mehrpouyan, and H. Chen, "RACH Traffic Prediction in Massive Machine Type Communications," IEEE Trans. Mach. Learn. Commun. Netw., 2025.</w:t>
      </w:r>
    </w:p>
    <w:p>
      <w:pPr>
        <w:spacing w:before="0" w:after="100" w:line="300" w:lineRule="auto"/>
        <w:ind w:left="620" w:hanging="3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[10] M. Stusek, J. Masek, P. Masek, and J. Hosek, "Exploiting NB-IoT Network Performance for Smart-Metering Use-Cases," in Proc. IEEE ICUMT, 2023.</w:t>
      </w:r>
    </w:p>
    <w:p>
      <w:pPr>
        <w:spacing w:before="0" w:after="100" w:line="300" w:lineRule="auto"/>
        <w:ind w:left="620" w:hanging="3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[11] R. Litjens, A. Eisenblätter, and H. van den Berg, "Optimisation of NB-IoT Deployment for Smart Energy Distribution Networks," EURASIP J. Wireless Commun. Netw., 2019.</w:t>
      </w:r>
    </w:p>
    <w:p>
      <w:pPr>
        <w:spacing w:before="0" w:after="100" w:line="300" w:lineRule="auto"/>
        <w:ind w:left="620" w:hanging="3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[12] F. Michelinakis et al., "Dissecting Energy Consumption of NB-IoT Devices Empirically," arXiv:2004.07127, 2020.</w:t>
      </w:r>
    </w:p>
    <w:p>
      <w:pPr>
        <w:spacing w:before="0" w:after="100" w:line="300" w:lineRule="auto"/>
        <w:ind w:left="620" w:hanging="3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[13] M. Matz, M. Mraz, and J. Hosek, "A Systematic Analysis of Narrowband IoT Quality of Service," Sensors, vol. 20, no. 8, p. 2416, 2020.</w:t>
      </w:r>
    </w:p>
    <w:p>
      <w:pPr>
        <w:spacing w:before="0" w:after="100" w:line="300" w:lineRule="auto"/>
        <w:ind w:left="620" w:hanging="3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[14] M. T. C. Silva and T. M. Abrão, "Throughput and Latency in Distributed Q-Learning Random Access for mMTC," Comput. Netw., vol. 215, 2022.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2026-03-06T14:48:22.411Z</dcterms:created>
  <dcterms:modified xsi:type="dcterms:W3CDTF">2026-03-06T14:48:22.412Z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