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p w14:paraId="41237766" w14:textId="58CDEB9D" w:rsidR="00373DC4" w:rsidRPr="004F185C"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5754"/>
      </w:tblGrid>
      <w:tr w:rsidR="00810139" w:rsidRPr="00810139" w14:paraId="08514B78" w14:textId="77777777" w:rsidTr="00810139">
        <w:trPr>
          <w:trHeight w:val="313"/>
        </w:trPr>
        <w:tc>
          <w:tcPr>
            <w:tcW w:w="9010" w:type="dxa"/>
            <w:gridSpan w:val="2"/>
          </w:tcPr>
          <w:p w14:paraId="3D8A93B5" w14:textId="2BB7A609" w:rsidR="00810139" w:rsidRPr="00810139" w:rsidRDefault="00810139">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651F72" w14:paraId="2E728564" w14:textId="77777777" w:rsidTr="00810139">
        <w:tc>
          <w:tcPr>
            <w:tcW w:w="3256" w:type="dxa"/>
          </w:tcPr>
          <w:p w14:paraId="31C8DD5D" w14:textId="1DF98E7F" w:rsidR="00651F72" w:rsidRDefault="00651F72">
            <w:pPr>
              <w:rPr>
                <w:rFonts w:ascii="Arial" w:hAnsi="Arial" w:cs="Arial"/>
                <w:sz w:val="20"/>
                <w:szCs w:val="20"/>
              </w:rPr>
            </w:pPr>
            <w:proofErr w:type="spellStart"/>
            <w:r w:rsidRPr="003063A2">
              <w:rPr>
                <w:rFonts w:ascii="Arial" w:hAnsi="Arial" w:cs="Arial"/>
                <w:sz w:val="20"/>
                <w:szCs w:val="20"/>
              </w:rPr>
              <w:t>Purvish</w:t>
            </w:r>
            <w:proofErr w:type="spellEnd"/>
            <w:r w:rsidRPr="003063A2">
              <w:rPr>
                <w:rFonts w:ascii="Arial" w:hAnsi="Arial" w:cs="Arial"/>
                <w:sz w:val="20"/>
                <w:szCs w:val="20"/>
              </w:rPr>
              <w:t xml:space="preserve"> </w:t>
            </w:r>
            <w:proofErr w:type="spellStart"/>
            <w:r w:rsidRPr="003063A2">
              <w:rPr>
                <w:rFonts w:ascii="Arial" w:hAnsi="Arial" w:cs="Arial"/>
                <w:sz w:val="20"/>
                <w:szCs w:val="20"/>
              </w:rPr>
              <w:t>Himanshukumar</w:t>
            </w:r>
            <w:proofErr w:type="spellEnd"/>
            <w:r w:rsidRPr="003063A2">
              <w:rPr>
                <w:rFonts w:ascii="Arial" w:hAnsi="Arial" w:cs="Arial"/>
                <w:sz w:val="20"/>
                <w:szCs w:val="20"/>
              </w:rPr>
              <w:t xml:space="preserve"> Jariwala</w:t>
            </w:r>
          </w:p>
        </w:tc>
        <w:tc>
          <w:tcPr>
            <w:tcW w:w="5754" w:type="dxa"/>
          </w:tcPr>
          <w:p w14:paraId="01E0F70E" w14:textId="77777777" w:rsidR="00651F72" w:rsidRDefault="00651F72">
            <w:pPr>
              <w:rPr>
                <w:rFonts w:ascii="Arial" w:hAnsi="Arial" w:cs="Arial"/>
                <w:sz w:val="20"/>
                <w:szCs w:val="20"/>
              </w:rPr>
            </w:pPr>
          </w:p>
        </w:tc>
      </w:tr>
      <w:tr w:rsidR="00651F72" w14:paraId="57CFC3E7" w14:textId="77777777" w:rsidTr="00810139">
        <w:tc>
          <w:tcPr>
            <w:tcW w:w="3256" w:type="dxa"/>
          </w:tcPr>
          <w:p w14:paraId="7A7414BC" w14:textId="55A9F886" w:rsidR="00651F72" w:rsidRDefault="00810139">
            <w:pPr>
              <w:rPr>
                <w:rFonts w:ascii="Arial" w:hAnsi="Arial" w:cs="Arial"/>
                <w:sz w:val="20"/>
                <w:szCs w:val="20"/>
              </w:rPr>
            </w:pPr>
            <w:r w:rsidRPr="003063A2">
              <w:rPr>
                <w:rFonts w:ascii="Arial" w:hAnsi="Arial" w:cs="Arial"/>
                <w:sz w:val="20"/>
                <w:szCs w:val="20"/>
              </w:rPr>
              <w:t xml:space="preserve">Z Mohammed </w:t>
            </w:r>
            <w:proofErr w:type="spellStart"/>
            <w:r w:rsidRPr="003063A2">
              <w:rPr>
                <w:rFonts w:ascii="Arial" w:hAnsi="Arial" w:cs="Arial"/>
                <w:sz w:val="20"/>
                <w:szCs w:val="20"/>
              </w:rPr>
              <w:t>Ayyaz</w:t>
            </w:r>
            <w:proofErr w:type="spellEnd"/>
            <w:r w:rsidRPr="003063A2">
              <w:rPr>
                <w:rFonts w:ascii="Arial" w:hAnsi="Arial" w:cs="Arial"/>
                <w:sz w:val="20"/>
                <w:szCs w:val="20"/>
              </w:rPr>
              <w:t xml:space="preserve"> Khan</w:t>
            </w:r>
          </w:p>
        </w:tc>
        <w:tc>
          <w:tcPr>
            <w:tcW w:w="5754" w:type="dxa"/>
          </w:tcPr>
          <w:p w14:paraId="524C651C" w14:textId="77777777" w:rsidR="00651F72" w:rsidRDefault="00651F72">
            <w:pPr>
              <w:rPr>
                <w:rFonts w:ascii="Arial" w:hAnsi="Arial" w:cs="Arial"/>
                <w:sz w:val="20"/>
                <w:szCs w:val="20"/>
              </w:rPr>
            </w:pPr>
          </w:p>
        </w:tc>
      </w:tr>
      <w:tr w:rsidR="00651F72" w14:paraId="75CC174F" w14:textId="77777777" w:rsidTr="00810139">
        <w:tc>
          <w:tcPr>
            <w:tcW w:w="3256" w:type="dxa"/>
          </w:tcPr>
          <w:p w14:paraId="589B61DD" w14:textId="6CA352F5" w:rsidR="00651F72" w:rsidRDefault="00810139">
            <w:pPr>
              <w:rPr>
                <w:rFonts w:ascii="Arial" w:hAnsi="Arial" w:cs="Arial"/>
                <w:sz w:val="20"/>
                <w:szCs w:val="20"/>
              </w:rPr>
            </w:pPr>
            <w:r w:rsidRPr="003063A2">
              <w:rPr>
                <w:rFonts w:ascii="Arial" w:hAnsi="Arial" w:cs="Arial"/>
                <w:sz w:val="20"/>
                <w:szCs w:val="20"/>
              </w:rPr>
              <w:t>Diwakar Ranjan</w:t>
            </w:r>
          </w:p>
        </w:tc>
        <w:tc>
          <w:tcPr>
            <w:tcW w:w="5754" w:type="dxa"/>
          </w:tcPr>
          <w:p w14:paraId="5C06392B" w14:textId="5F31811D" w:rsidR="00651F72" w:rsidRDefault="007326D5">
            <w:pPr>
              <w:rPr>
                <w:rFonts w:ascii="Arial" w:hAnsi="Arial" w:cs="Arial"/>
                <w:sz w:val="20"/>
                <w:szCs w:val="20"/>
              </w:rPr>
            </w:pPr>
            <w:r w:rsidRPr="00090EEF">
              <w:rPr>
                <w:rFonts w:ascii="Arial" w:hAnsi="Arial" w:cs="Arial"/>
                <w:sz w:val="20"/>
                <w:szCs w:val="20"/>
              </w:rPr>
              <w:t>M.Sc. Advanced Computer Science (dr18abc@herts.ac.uk)</w:t>
            </w:r>
          </w:p>
        </w:tc>
      </w:tr>
      <w:tr w:rsidR="00651F72" w14:paraId="5AB5DB9E" w14:textId="77777777" w:rsidTr="00810139">
        <w:tc>
          <w:tcPr>
            <w:tcW w:w="3256" w:type="dxa"/>
          </w:tcPr>
          <w:p w14:paraId="31A73919" w14:textId="5D434C76" w:rsidR="00651F72" w:rsidRDefault="00810139">
            <w:pPr>
              <w:rPr>
                <w:rFonts w:ascii="Arial" w:hAnsi="Arial" w:cs="Arial"/>
                <w:sz w:val="20"/>
                <w:szCs w:val="20"/>
              </w:rPr>
            </w:pPr>
            <w:r w:rsidRPr="003063A2">
              <w:rPr>
                <w:rFonts w:ascii="Arial" w:hAnsi="Arial" w:cs="Arial"/>
                <w:sz w:val="20"/>
                <w:szCs w:val="20"/>
              </w:rPr>
              <w:t>Vikrant Sharma</w:t>
            </w:r>
          </w:p>
        </w:tc>
        <w:tc>
          <w:tcPr>
            <w:tcW w:w="5754" w:type="dxa"/>
          </w:tcPr>
          <w:p w14:paraId="7746303F" w14:textId="77777777" w:rsidR="00651F72" w:rsidRDefault="00651F72">
            <w:pPr>
              <w:rPr>
                <w:rFonts w:ascii="Arial" w:hAnsi="Arial" w:cs="Arial"/>
                <w:sz w:val="20"/>
                <w:szCs w:val="20"/>
              </w:rPr>
            </w:pPr>
          </w:p>
        </w:tc>
      </w:tr>
      <w:tr w:rsidR="00651F72" w14:paraId="39538E08" w14:textId="77777777" w:rsidTr="00810139">
        <w:tc>
          <w:tcPr>
            <w:tcW w:w="3256" w:type="dxa"/>
          </w:tcPr>
          <w:p w14:paraId="0DB72A9F" w14:textId="1BF3736F" w:rsidR="00651F72" w:rsidRDefault="00810139">
            <w:pPr>
              <w:rPr>
                <w:rFonts w:ascii="Arial" w:hAnsi="Arial" w:cs="Arial"/>
                <w:sz w:val="20"/>
                <w:szCs w:val="20"/>
              </w:rPr>
            </w:pPr>
            <w:r w:rsidRPr="003063A2">
              <w:rPr>
                <w:rFonts w:ascii="Arial" w:hAnsi="Arial" w:cs="Arial"/>
                <w:sz w:val="20"/>
                <w:szCs w:val="20"/>
              </w:rPr>
              <w:t>Rahul Soni</w:t>
            </w:r>
          </w:p>
        </w:tc>
        <w:tc>
          <w:tcPr>
            <w:tcW w:w="5754" w:type="dxa"/>
          </w:tcPr>
          <w:p w14:paraId="46EAD0A8" w14:textId="00E9899C" w:rsidR="00651F72" w:rsidRPr="00810139" w:rsidRDefault="007326D5">
            <w:pPr>
              <w:rPr>
                <w:rFonts w:ascii="Arial" w:hAnsi="Arial" w:cs="Arial"/>
                <w:sz w:val="20"/>
                <w:szCs w:val="20"/>
                <w:lang w:val="fr-FR"/>
              </w:rPr>
            </w:pPr>
            <w:proofErr w:type="spellStart"/>
            <w:r w:rsidRPr="00810139">
              <w:rPr>
                <w:rFonts w:ascii="Arial" w:hAnsi="Arial" w:cs="Arial"/>
                <w:sz w:val="20"/>
                <w:szCs w:val="20"/>
                <w:lang w:val="fr-FR"/>
              </w:rPr>
              <w:t>M.Sc</w:t>
            </w:r>
            <w:proofErr w:type="spellEnd"/>
            <w:r w:rsidRPr="00810139">
              <w:rPr>
                <w:rFonts w:ascii="Arial" w:hAnsi="Arial" w:cs="Arial"/>
                <w:sz w:val="20"/>
                <w:szCs w:val="20"/>
                <w:lang w:val="fr-FR"/>
              </w:rPr>
              <w:t xml:space="preserve">. </w:t>
            </w:r>
            <w:proofErr w:type="spellStart"/>
            <w:r w:rsidRPr="00810139">
              <w:rPr>
                <w:rFonts w:ascii="Arial" w:hAnsi="Arial" w:cs="Arial"/>
                <w:sz w:val="20"/>
                <w:szCs w:val="20"/>
                <w:lang w:val="fr-FR"/>
              </w:rPr>
              <w:t>Artificial</w:t>
            </w:r>
            <w:proofErr w:type="spellEnd"/>
            <w:r w:rsidRPr="00810139">
              <w:rPr>
                <w:rFonts w:ascii="Arial" w:hAnsi="Arial" w:cs="Arial"/>
                <w:sz w:val="20"/>
                <w:szCs w:val="20"/>
                <w:lang w:val="fr-FR"/>
              </w:rPr>
              <w:t xml:space="preserve"> Intelligence &amp; </w:t>
            </w:r>
            <w:proofErr w:type="spellStart"/>
            <w:r w:rsidRPr="00810139">
              <w:rPr>
                <w:rFonts w:ascii="Arial" w:hAnsi="Arial" w:cs="Arial"/>
                <w:sz w:val="20"/>
                <w:szCs w:val="20"/>
                <w:lang w:val="fr-FR"/>
              </w:rPr>
              <w:t>Robotics</w:t>
            </w:r>
            <w:proofErr w:type="spellEnd"/>
            <w:r>
              <w:rPr>
                <w:rFonts w:ascii="Arial" w:hAnsi="Arial" w:cs="Arial"/>
                <w:sz w:val="20"/>
                <w:szCs w:val="20"/>
                <w:lang w:val="fr-FR"/>
              </w:rPr>
              <w:t xml:space="preserve"> (</w:t>
            </w:r>
            <w:r w:rsidRPr="00810139">
              <w:rPr>
                <w:rFonts w:ascii="Arial" w:hAnsi="Arial" w:cs="Arial"/>
                <w:sz w:val="20"/>
                <w:szCs w:val="20"/>
                <w:lang w:val="fr-FR"/>
              </w:rPr>
              <w:t>rs20acs@herts.ac.uk</w:t>
            </w:r>
            <w:r>
              <w:rPr>
                <w:rFonts w:ascii="Arial" w:hAnsi="Arial" w:cs="Arial"/>
                <w:sz w:val="20"/>
                <w:szCs w:val="20"/>
                <w:lang w:val="fr-FR"/>
              </w:rPr>
              <w:t>)</w:t>
            </w:r>
          </w:p>
        </w:tc>
      </w:tr>
    </w:tbl>
    <w:p w14:paraId="6ED4D2C1" w14:textId="77777777" w:rsidR="00651F72" w:rsidRPr="003063A2" w:rsidRDefault="00651F72">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w:t>
      </w:r>
      <w:proofErr w:type="spellStart"/>
      <w:r w:rsidR="00034ABF" w:rsidRPr="003063A2">
        <w:rPr>
          <w:rFonts w:ascii="Arial" w:eastAsia="ArialMT" w:hAnsi="Arial" w:cs="Arial"/>
          <w:color w:val="000000" w:themeColor="text1"/>
          <w:sz w:val="20"/>
          <w:szCs w:val="20"/>
        </w:rPr>
        <w:t>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w:t>
      </w:r>
      <w:proofErr w:type="spellEnd"/>
      <w:r w:rsidR="00034ABF" w:rsidRPr="003063A2">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39D84499" w:rsidR="005B2BA2" w:rsidRDefault="005B2BA2">
      <w:pPr>
        <w:rPr>
          <w:rFonts w:ascii="Arial" w:hAnsi="Arial" w:cs="Arial"/>
          <w:b/>
          <w:sz w:val="20"/>
          <w:szCs w:val="20"/>
        </w:rPr>
      </w:pPr>
    </w:p>
    <w:p w14:paraId="38CC7C79" w14:textId="77777777" w:rsidR="00B51832" w:rsidRPr="003063A2" w:rsidRDefault="00B5183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3DD3A8EF"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suicide rate</w:t>
      </w:r>
      <w:r w:rsidR="00090EEF">
        <w:rPr>
          <w:rFonts w:ascii="Arial" w:eastAsia="ArialMT" w:hAnsi="Arial" w:cs="Arial"/>
          <w:color w:val="000000" w:themeColor="text1"/>
          <w:sz w:val="20"/>
          <w:szCs w:val="20"/>
        </w:rPr>
        <w:t xml:space="preserve"> per </w:t>
      </w:r>
      <w:r w:rsidRPr="003063A2">
        <w:rPr>
          <w:rFonts w:ascii="Arial" w:eastAsia="ArialMT" w:hAnsi="Arial" w:cs="Arial"/>
          <w:color w:val="000000" w:themeColor="text1"/>
          <w:sz w:val="20"/>
          <w:szCs w:val="20"/>
        </w:rPr>
        <w:t xml:space="preserv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1EEDFB24" w:rsidR="00F77708" w:rsidRDefault="00C00750" w:rsidP="003306F3">
      <w:pPr>
        <w:ind w:left="720"/>
        <w:rPr>
          <w:rFonts w:ascii="Arial" w:hAnsi="Arial" w:cs="Arial"/>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w:t>
      </w:r>
    </w:p>
    <w:p w14:paraId="2AC8678D" w14:textId="77777777" w:rsidR="00B51832" w:rsidRDefault="00B51832" w:rsidP="003306F3">
      <w:pPr>
        <w:ind w:left="720"/>
        <w:rPr>
          <w:rFonts w:ascii="Arial" w:hAnsi="Arial" w:cs="Arial"/>
          <w:b/>
          <w:bCs/>
          <w:sz w:val="20"/>
          <w:szCs w:val="20"/>
        </w:rPr>
      </w:pPr>
    </w:p>
    <w:p w14:paraId="12CEF822" w14:textId="51983DA0"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w:t>
      </w:r>
      <w:r w:rsidR="00064BFD">
        <w:rPr>
          <w:rFonts w:ascii="Arial" w:hAnsi="Arial" w:cs="Arial"/>
          <w:bCs/>
          <w:sz w:val="20"/>
          <w:szCs w:val="20"/>
        </w:rPr>
        <w:t xml:space="preserve"> proportion of</w:t>
      </w:r>
      <w:r w:rsidRPr="00F77708">
        <w:rPr>
          <w:rFonts w:ascii="Arial" w:hAnsi="Arial" w:cs="Arial"/>
          <w:bCs/>
          <w:sz w:val="20"/>
          <w:szCs w:val="20"/>
        </w:rPr>
        <w:t xml:space="preserve"> suicide rate/100k among</w:t>
      </w:r>
      <w:r w:rsidR="00064BFD">
        <w:rPr>
          <w:rFonts w:ascii="Arial" w:hAnsi="Arial" w:cs="Arial"/>
          <w:bCs/>
          <w:sz w:val="20"/>
          <w:szCs w:val="20"/>
        </w:rPr>
        <w:t>st</w:t>
      </w:r>
      <w:r w:rsidRPr="00F77708">
        <w:rPr>
          <w:rFonts w:ascii="Arial" w:hAnsi="Arial" w:cs="Arial"/>
          <w:bCs/>
          <w:sz w:val="20"/>
          <w:szCs w:val="20"/>
        </w:rPr>
        <w:t xml:space="preserve">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H1: 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65394D09" w:rsidR="00C00750"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624D30AD" w14:textId="77777777" w:rsidR="00B51832" w:rsidRPr="003063A2" w:rsidRDefault="00B51832" w:rsidP="003306F3">
      <w:pPr>
        <w:ind w:left="720"/>
        <w:rPr>
          <w:rFonts w:ascii="Arial" w:hAnsi="Arial" w:cs="Arial"/>
          <w:sz w:val="20"/>
          <w:szCs w:val="20"/>
        </w:rPr>
      </w:pPr>
    </w:p>
    <w:p w14:paraId="56A87E8E" w14:textId="1EB404D6"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w:t>
      </w:r>
      <w:r w:rsidR="008E6B6B">
        <w:rPr>
          <w:rFonts w:ascii="Arial" w:hAnsi="Arial" w:cs="Arial"/>
          <w:bCs/>
          <w:sz w:val="20"/>
          <w:szCs w:val="20"/>
        </w:rPr>
        <w:t xml:space="preserve"> rate per 100k </w:t>
      </w:r>
      <w:r w:rsidRPr="00F77708">
        <w:rPr>
          <w:rFonts w:ascii="Arial" w:hAnsi="Arial" w:cs="Arial"/>
          <w:bCs/>
          <w:sz w:val="20"/>
          <w:szCs w:val="20"/>
        </w:rPr>
        <w:t>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123A9074"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 xml:space="preserve">the objective is to check whether is there any difference in the </w:t>
      </w:r>
      <w:r w:rsidR="00064BFD">
        <w:rPr>
          <w:rFonts w:ascii="Arial" w:hAnsi="Arial" w:cs="Arial"/>
          <w:bCs/>
          <w:sz w:val="20"/>
          <w:szCs w:val="20"/>
        </w:rPr>
        <w:t xml:space="preserve">proportion of </w:t>
      </w:r>
      <w:r w:rsidR="008E6B6B">
        <w:rPr>
          <w:rFonts w:ascii="Arial" w:hAnsi="Arial" w:cs="Arial"/>
          <w:bCs/>
          <w:sz w:val="20"/>
          <w:szCs w:val="20"/>
        </w:rPr>
        <w:t>s</w:t>
      </w:r>
      <w:r w:rsidRPr="00F77708">
        <w:rPr>
          <w:rFonts w:ascii="Arial" w:hAnsi="Arial" w:cs="Arial"/>
          <w:bCs/>
          <w:sz w:val="20"/>
          <w:szCs w:val="20"/>
        </w:rPr>
        <w:t>uicide rate</w:t>
      </w:r>
      <w:r w:rsidR="008E6B6B">
        <w:rPr>
          <w:rFonts w:ascii="Arial" w:hAnsi="Arial" w:cs="Arial"/>
          <w:bCs/>
          <w:sz w:val="20"/>
          <w:szCs w:val="20"/>
        </w:rPr>
        <w:t xml:space="preserve"> per </w:t>
      </w:r>
      <w:r w:rsidRPr="00F77708">
        <w:rPr>
          <w:rFonts w:ascii="Arial" w:hAnsi="Arial" w:cs="Arial"/>
          <w:bCs/>
          <w:sz w:val="20"/>
          <w:szCs w:val="20"/>
        </w:rPr>
        <w:t>100k among</w:t>
      </w:r>
      <w:r w:rsidR="00064BFD">
        <w:rPr>
          <w:rFonts w:ascii="Arial" w:hAnsi="Arial" w:cs="Arial"/>
          <w:bCs/>
          <w:sz w:val="20"/>
          <w:szCs w:val="20"/>
        </w:rPr>
        <w:t>st</w:t>
      </w:r>
      <w:r w:rsidRPr="00F77708">
        <w:rPr>
          <w:rFonts w:ascii="Arial" w:hAnsi="Arial" w:cs="Arial"/>
          <w:bCs/>
          <w:sz w:val="20"/>
          <w:szCs w:val="20"/>
        </w:rPr>
        <w:t xml:space="preserve"> age-group</w:t>
      </w:r>
      <w:r w:rsidR="00064BFD">
        <w:rPr>
          <w:rFonts w:ascii="Arial" w:hAnsi="Arial" w:cs="Arial"/>
          <w:bCs/>
          <w:sz w:val="20"/>
          <w:szCs w:val="20"/>
        </w:rPr>
        <w:t>s</w:t>
      </w:r>
      <w:r w:rsidRPr="00F77708">
        <w:rPr>
          <w:rFonts w:ascii="Arial" w:hAnsi="Arial" w:cs="Arial"/>
          <w:bCs/>
          <w:sz w:val="20"/>
          <w:szCs w:val="20"/>
        </w:rPr>
        <w:t>.</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1AA26485" w14:textId="07B0EECB"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 xml:space="preserve">The </w:t>
      </w:r>
      <w:r w:rsidR="00B51832">
        <w:rPr>
          <w:rFonts w:ascii="Arial" w:hAnsi="Arial" w:cs="Arial"/>
          <w:sz w:val="20"/>
          <w:szCs w:val="20"/>
        </w:rPr>
        <w:t>s</w:t>
      </w:r>
      <w:r w:rsidRPr="00F77708">
        <w:rPr>
          <w:rFonts w:ascii="Arial" w:hAnsi="Arial" w:cs="Arial"/>
          <w:sz w:val="20"/>
          <w:szCs w:val="20"/>
        </w:rPr>
        <w:t xml:space="preserve">ignificance level </w:t>
      </w:r>
      <w:r w:rsidR="00B51832">
        <w:rPr>
          <w:rFonts w:ascii="Arial" w:hAnsi="Arial" w:cs="Arial"/>
          <w:sz w:val="20"/>
          <w:szCs w:val="20"/>
        </w:rPr>
        <w:t>(</w:t>
      </w:r>
      <w:r w:rsidR="00B51832">
        <w:rPr>
          <w:rFonts w:ascii="Arial" w:hAnsi="Arial" w:cs="Arial"/>
          <w:sz w:val="20"/>
          <w:szCs w:val="20"/>
        </w:rPr>
        <w:sym w:font="Symbol" w:char="F061"/>
      </w:r>
      <w:r w:rsidR="00B51832">
        <w:rPr>
          <w:rFonts w:ascii="Arial" w:hAnsi="Arial" w:cs="Arial"/>
          <w:sz w:val="20"/>
          <w:szCs w:val="20"/>
        </w:rPr>
        <w:t xml:space="preserve">) </w:t>
      </w:r>
      <w:r w:rsidRPr="00F77708">
        <w:rPr>
          <w:rFonts w:ascii="Arial" w:hAnsi="Arial" w:cs="Arial"/>
          <w:sz w:val="20"/>
          <w:szCs w:val="20"/>
        </w:rPr>
        <w:t>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62DF66E7" w14:textId="4D897E2A" w:rsidR="00533961" w:rsidRPr="00BF43C6" w:rsidRDefault="00C00750" w:rsidP="00BF43C6">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5BC54ABA" w14:textId="1D1B079F"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w:t>
      </w:r>
      <w:proofErr w:type="spellStart"/>
      <w:r w:rsidRPr="003063A2">
        <w:rPr>
          <w:rFonts w:ascii="Arial" w:eastAsia="ArialMT" w:hAnsi="Arial" w:cs="Arial"/>
          <w:color w:val="000000" w:themeColor="text1"/>
          <w:sz w:val="20"/>
          <w:szCs w:val="20"/>
        </w:rPr>
        <w:t>suicide_dataset</w:t>
      </w:r>
      <w:proofErr w:type="spellEnd"/>
      <w:r w:rsidRPr="003063A2">
        <w:rPr>
          <w:rFonts w:ascii="Arial" w:eastAsia="ArialMT" w:hAnsi="Arial" w:cs="Arial"/>
          <w:color w:val="000000" w:themeColor="text1"/>
          <w:sz w:val="20"/>
          <w:szCs w:val="20"/>
        </w:rPr>
        <w:t xml:space="preserve"> was finalised by the team members downloaded from Kaggle</w:t>
      </w:r>
      <w:r w:rsidR="00A95D88">
        <w:rPr>
          <w:rFonts w:ascii="Arial" w:eastAsia="ArialMT" w:hAnsi="Arial" w:cs="Arial"/>
          <w:color w:val="000000" w:themeColor="text1"/>
          <w:sz w:val="20"/>
          <w:szCs w:val="20"/>
        </w:rPr>
        <w:t xml:space="preserve"> [3]</w:t>
      </w:r>
      <w:r w:rsidRPr="003063A2">
        <w:rPr>
          <w:rFonts w:ascii="Arial" w:eastAsia="ArialMT" w:hAnsi="Arial" w:cs="Arial"/>
          <w:color w:val="000000" w:themeColor="text1"/>
          <w:sz w:val="20"/>
          <w:szCs w:val="20"/>
        </w:rPr>
        <w:t xml:space="preserve"> </w:t>
      </w:r>
      <w:r w:rsidR="00533961" w:rsidRPr="003063A2">
        <w:rPr>
          <w:rFonts w:ascii="Arial" w:eastAsia="ArialMT" w:hAnsi="Arial" w:cs="Arial"/>
          <w:color w:val="000000" w:themeColor="text1"/>
          <w:sz w:val="20"/>
          <w:szCs w:val="20"/>
        </w:rPr>
        <w:t>as it fulfils all the criteria [</w:t>
      </w:r>
      <w:r w:rsidR="00A95D88">
        <w:rPr>
          <w:rFonts w:ascii="Arial" w:eastAsia="ArialMT" w:hAnsi="Arial" w:cs="Arial"/>
          <w:color w:val="000000" w:themeColor="text1"/>
          <w:sz w:val="20"/>
          <w:szCs w:val="20"/>
        </w:rPr>
        <w:t>4</w:t>
      </w:r>
      <w:r w:rsidR="00533961" w:rsidRPr="003063A2">
        <w:rPr>
          <w:rFonts w:ascii="Arial" w:eastAsia="ArialMT" w:hAnsi="Arial" w:cs="Arial"/>
          <w:color w:val="000000" w:themeColor="text1"/>
          <w:sz w:val="20"/>
          <w:szCs w:val="20"/>
        </w:rPr>
        <w:t xml:space="preserve">]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lastRenderedPageBreak/>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6118965F" w:rsidR="00673FB0" w:rsidRPr="00BF43C6" w:rsidRDefault="00C00750" w:rsidP="00BF43C6">
      <w:pPr>
        <w:pStyle w:val="Heading1"/>
        <w:numPr>
          <w:ilvl w:val="1"/>
          <w:numId w:val="13"/>
        </w:numPr>
        <w:spacing w:before="0"/>
        <w:ind w:left="788" w:hanging="431"/>
        <w:rPr>
          <w:rStyle w:val="Heading2Char"/>
          <w:rFonts w:ascii="Arial" w:hAnsi="Arial" w:cs="Arial"/>
          <w:sz w:val="20"/>
          <w:szCs w:val="20"/>
        </w:rPr>
      </w:pPr>
      <w:r w:rsidRPr="003063A2">
        <w:rPr>
          <w:rStyle w:val="Heading2Char"/>
          <w:rFonts w:ascii="Arial" w:hAnsi="Arial" w:cs="Arial"/>
          <w:sz w:val="20"/>
          <w:szCs w:val="20"/>
        </w:rPr>
        <w:t>Data Processing</w:t>
      </w:r>
      <w:r w:rsidR="00BF43C6">
        <w:rPr>
          <w:rStyle w:val="Heading2Char"/>
          <w:rFonts w:ascii="Arial" w:hAnsi="Arial" w:cs="Arial"/>
          <w:sz w:val="20"/>
          <w:szCs w:val="20"/>
        </w:rPr>
        <w:t xml:space="preserve"> &amp; Cleaning</w:t>
      </w:r>
      <w:r w:rsidRPr="003063A2">
        <w:rPr>
          <w:rStyle w:val="Heading2Char"/>
          <w:rFonts w:ascii="Arial" w:hAnsi="Arial" w:cs="Arial"/>
          <w:sz w:val="20"/>
          <w:szCs w:val="20"/>
        </w:rPr>
        <w:t xml:space="preserve"> Methods:</w:t>
      </w:r>
      <w:r w:rsidRPr="00BF43C6">
        <w:rPr>
          <w:rStyle w:val="Heading2Char"/>
          <w:rFonts w:ascii="Arial" w:hAnsi="Arial" w:cs="Arial"/>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 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w:t>
      </w:r>
      <w:proofErr w:type="gramStart"/>
      <w:r w:rsidRPr="00360668">
        <w:rPr>
          <w:rFonts w:ascii="Arial" w:eastAsia="Arial" w:hAnsi="Arial" w:cs="Arial"/>
          <w:color w:val="FF0000"/>
          <w:sz w:val="20"/>
          <w:szCs w:val="20"/>
        </w:rPr>
        <w:t>section ]</w:t>
      </w:r>
      <w:proofErr w:type="gramEnd"/>
      <w:r w:rsidRPr="00360668">
        <w:rPr>
          <w:rFonts w:ascii="Arial" w:eastAsia="Arial" w:hAnsi="Arial" w:cs="Arial"/>
          <w:color w:val="FF0000"/>
          <w:sz w:val="20"/>
          <w:szCs w:val="20"/>
        </w:rPr>
        <w:t xml:space="preserve">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drawing>
          <wp:inline distT="0" distB="0" distL="0" distR="0" wp14:anchorId="2661DCF3" wp14:editId="4C4FC2AB">
            <wp:extent cx="3912870" cy="391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8513" cy="3928513"/>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7E90D6A0"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w:t>
      </w:r>
      <w:r>
        <w:rPr>
          <w:rStyle w:val="Strong"/>
          <w:rFonts w:ascii="Arial" w:hAnsi="Arial" w:cs="Arial"/>
          <w:b w:val="0"/>
          <w:sz w:val="21"/>
          <w:szCs w:val="21"/>
        </w:rPr>
        <w:lastRenderedPageBreak/>
        <w:t xml:space="preserve">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3AB9AA6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17007DF2">
            <wp:extent cx="2464904" cy="2464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0793" cy="2470793"/>
                    </a:xfrm>
                    <a:prstGeom prst="rect">
                      <a:avLst/>
                    </a:prstGeom>
                  </pic:spPr>
                </pic:pic>
              </a:graphicData>
            </a:graphic>
          </wp:inline>
        </w:drawing>
      </w:r>
    </w:p>
    <w:p w14:paraId="179A7118" w14:textId="6084A63A" w:rsidR="0068721C" w:rsidRDefault="003A71BA" w:rsidP="006D04E8">
      <w:pPr>
        <w:pStyle w:val="ListParagraph"/>
        <w:ind w:left="1224"/>
        <w:rPr>
          <w:rStyle w:val="Strong"/>
          <w:rFonts w:ascii="Arial" w:hAnsi="Arial" w:cs="Arial"/>
          <w:b w:val="0"/>
          <w:bCs w:val="0"/>
          <w:sz w:val="21"/>
          <w:szCs w:val="21"/>
        </w:rPr>
      </w:pPr>
      <w:r w:rsidRPr="003A71BA">
        <w:rPr>
          <w:rStyle w:val="Strong"/>
          <w:rFonts w:ascii="Arial" w:hAnsi="Arial" w:cs="Arial"/>
          <w:b w:val="0"/>
          <w:sz w:val="21"/>
          <w:szCs w:val="21"/>
        </w:rPr>
        <w:t xml:space="preserve">The above </w:t>
      </w:r>
      <w:r w:rsidR="006C231C">
        <w:rPr>
          <w:rStyle w:val="Strong"/>
          <w:rFonts w:ascii="Arial" w:hAnsi="Arial" w:cs="Arial"/>
          <w:b w:val="0"/>
          <w:sz w:val="21"/>
          <w:szCs w:val="21"/>
        </w:rPr>
        <w:t>b</w:t>
      </w:r>
      <w:r w:rsidRPr="003A71BA">
        <w:rPr>
          <w:rStyle w:val="Strong"/>
          <w:rFonts w:ascii="Arial" w:hAnsi="Arial" w:cs="Arial"/>
          <w:b w:val="0"/>
          <w:sz w:val="21"/>
          <w:szCs w:val="21"/>
        </w:rPr>
        <w:t>ar plot shows the suicide rate per 100k for all age groups with 30 years data in which we observe the suicide rate</w:t>
      </w:r>
      <w:r w:rsidR="006C231C">
        <w:rPr>
          <w:rStyle w:val="Strong"/>
          <w:rFonts w:ascii="Arial" w:hAnsi="Arial" w:cs="Arial"/>
          <w:b w:val="0"/>
          <w:sz w:val="21"/>
          <w:szCs w:val="21"/>
        </w:rPr>
        <w:t xml:space="preserve"> per 100k</w:t>
      </w:r>
      <w:r w:rsidRPr="003A71BA">
        <w:rPr>
          <w:rStyle w:val="Strong"/>
          <w:rFonts w:ascii="Arial" w:hAnsi="Arial" w:cs="Arial"/>
          <w:b w:val="0"/>
          <w:sz w:val="21"/>
          <w:szCs w:val="21"/>
        </w:rPr>
        <w:t xml:space="preserve"> is increasing as age increases</w:t>
      </w:r>
      <w:r w:rsidR="006F1523">
        <w:rPr>
          <w:rStyle w:val="Strong"/>
          <w:rFonts w:ascii="Arial" w:hAnsi="Arial" w:cs="Arial"/>
          <w:b w:val="0"/>
          <w:sz w:val="21"/>
          <w:szCs w:val="21"/>
        </w:rPr>
        <w:t xml:space="preserve"> (</w:t>
      </w:r>
      <w:r w:rsidR="004F185C" w:rsidRPr="004F185C">
        <w:rPr>
          <w:rStyle w:val="Strong"/>
          <w:rFonts w:ascii="Arial" w:hAnsi="Arial" w:cs="Arial"/>
          <w:b w:val="0"/>
          <w:sz w:val="21"/>
          <w:szCs w:val="21"/>
        </w:rPr>
        <w:t>as we concerned about the high suicide rate per 100k for 75+ age which further needs to be examined</w:t>
      </w:r>
      <w:r w:rsidR="006F1523">
        <w:rPr>
          <w:rStyle w:val="Strong"/>
          <w:rFonts w:ascii="Arial" w:hAnsi="Arial" w:cs="Arial"/>
          <w:b w:val="0"/>
          <w:sz w:val="21"/>
          <w:szCs w:val="21"/>
        </w:rPr>
        <w:t>)</w:t>
      </w:r>
      <w:r w:rsidRPr="003A71BA">
        <w:rPr>
          <w:rStyle w:val="Strong"/>
          <w:rFonts w:ascii="Arial" w:hAnsi="Arial" w:cs="Arial"/>
          <w:b w:val="0"/>
          <w:sz w:val="21"/>
          <w:szCs w:val="21"/>
        </w:rPr>
        <w:t xml:space="preserve">. </w:t>
      </w:r>
      <w:r w:rsidR="006C231C" w:rsidRPr="00117AA3">
        <w:rPr>
          <w:rStyle w:val="Strong"/>
          <w:rFonts w:ascii="Arial" w:hAnsi="Arial" w:cs="Arial"/>
          <w:b w:val="0"/>
          <w:bCs w:val="0"/>
          <w:sz w:val="21"/>
          <w:szCs w:val="21"/>
        </w:rPr>
        <w:t>Therefore,</w:t>
      </w:r>
      <w:r w:rsidR="00117AA3" w:rsidRPr="00117AA3">
        <w:rPr>
          <w:rStyle w:val="Strong"/>
          <w:rFonts w:ascii="Arial" w:hAnsi="Arial" w:cs="Arial"/>
          <w:b w:val="0"/>
          <w:bCs w:val="0"/>
          <w:sz w:val="21"/>
          <w:szCs w:val="21"/>
        </w:rPr>
        <w:t xml:space="preserve"> the ratio indicates suicide </w:t>
      </w:r>
      <w:r w:rsidR="006C231C">
        <w:rPr>
          <w:rStyle w:val="Strong"/>
          <w:rFonts w:ascii="Arial" w:hAnsi="Arial" w:cs="Arial"/>
          <w:b w:val="0"/>
          <w:bCs w:val="0"/>
          <w:sz w:val="21"/>
          <w:szCs w:val="21"/>
        </w:rPr>
        <w:t xml:space="preserve">rate per 100k is highest </w:t>
      </w:r>
      <w:r w:rsidR="00117AA3" w:rsidRPr="00117AA3">
        <w:rPr>
          <w:rStyle w:val="Strong"/>
          <w:rFonts w:ascii="Arial" w:hAnsi="Arial" w:cs="Arial"/>
          <w:b w:val="0"/>
          <w:bCs w:val="0"/>
          <w:sz w:val="21"/>
          <w:szCs w:val="21"/>
        </w:rPr>
        <w:t xml:space="preserve">in the 75+ age group and </w:t>
      </w:r>
      <w:r w:rsidR="006C231C">
        <w:rPr>
          <w:rStyle w:val="Strong"/>
          <w:rFonts w:ascii="Arial" w:hAnsi="Arial" w:cs="Arial"/>
          <w:b w:val="0"/>
          <w:bCs w:val="0"/>
          <w:sz w:val="21"/>
          <w:szCs w:val="21"/>
        </w:rPr>
        <w:t>minimal</w:t>
      </w:r>
      <w:r w:rsidR="00117AA3" w:rsidRPr="00117AA3">
        <w:rPr>
          <w:rStyle w:val="Strong"/>
          <w:rFonts w:ascii="Arial" w:hAnsi="Arial" w:cs="Arial"/>
          <w:b w:val="0"/>
          <w:bCs w:val="0"/>
          <w:sz w:val="21"/>
          <w:szCs w:val="21"/>
        </w:rPr>
        <w:t xml:space="preserve"> in the 5-14 age group</w:t>
      </w:r>
      <w:r w:rsidR="00117AA3">
        <w:rPr>
          <w:rStyle w:val="Strong"/>
          <w:rFonts w:ascii="Arial" w:hAnsi="Arial" w:cs="Arial"/>
          <w:b w:val="0"/>
          <w:bCs w:val="0"/>
          <w:sz w:val="21"/>
          <w:szCs w:val="21"/>
        </w:rPr>
        <w:t>.</w:t>
      </w:r>
    </w:p>
    <w:p w14:paraId="23B5F0F3" w14:textId="77777777" w:rsidR="00117AA3" w:rsidRPr="00117AA3" w:rsidRDefault="00117AA3" w:rsidP="006D04E8">
      <w:pPr>
        <w:pStyle w:val="ListParagraph"/>
        <w:ind w:left="1224"/>
        <w:rPr>
          <w:rStyle w:val="Strong"/>
          <w:rFonts w:ascii="Arial" w:hAnsi="Arial" w:cs="Arial"/>
          <w:b w:val="0"/>
          <w:bCs w:val="0"/>
          <w:sz w:val="21"/>
          <w:szCs w:val="21"/>
        </w:rPr>
      </w:pP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7ED14F08">
            <wp:simplePos x="0" y="0"/>
            <wp:positionH relativeFrom="column">
              <wp:posOffset>770890</wp:posOffset>
            </wp:positionH>
            <wp:positionV relativeFrom="paragraph">
              <wp:posOffset>147955</wp:posOffset>
            </wp:positionV>
            <wp:extent cx="2194560" cy="21945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6AABD29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128D97C">
            <wp:extent cx="2162755" cy="2162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620" cy="2178620"/>
                    </a:xfrm>
                    <a:prstGeom prst="rect">
                      <a:avLst/>
                    </a:prstGeom>
                  </pic:spPr>
                </pic:pic>
              </a:graphicData>
            </a:graphic>
          </wp:inline>
        </w:drawing>
      </w:r>
    </w:p>
    <w:p w14:paraId="5CBADB79" w14:textId="07828B06" w:rsidR="00180B4B" w:rsidRDefault="00180B4B" w:rsidP="006D04E8">
      <w:pPr>
        <w:pStyle w:val="ListParagraph"/>
        <w:ind w:left="1224"/>
        <w:rPr>
          <w:rFonts w:ascii="Arial" w:eastAsia="Arial" w:hAnsi="Arial" w:cs="Arial"/>
          <w:color w:val="2F5496" w:themeColor="accent1" w:themeShade="BF"/>
          <w:sz w:val="20"/>
          <w:szCs w:val="20"/>
        </w:rPr>
      </w:pPr>
    </w:p>
    <w:p w14:paraId="18CE8326" w14:textId="65568CEE" w:rsidR="006C231C" w:rsidRDefault="00A06FA1" w:rsidP="006D04E8">
      <w:pPr>
        <w:pStyle w:val="ListParagraph"/>
        <w:ind w:left="1224"/>
        <w:rPr>
          <w:rStyle w:val="Strong"/>
          <w:rFonts w:ascii="Arial" w:hAnsi="Arial" w:cs="Arial"/>
          <w:b w:val="0"/>
          <w:bCs w:val="0"/>
          <w:sz w:val="21"/>
          <w:szCs w:val="21"/>
        </w:rPr>
      </w:pPr>
      <w:r w:rsidRPr="00A06FA1">
        <w:rPr>
          <w:rStyle w:val="Strong"/>
          <w:rFonts w:ascii="Arial" w:hAnsi="Arial" w:cs="Arial"/>
          <w:b w:val="0"/>
          <w:bCs w:val="0"/>
          <w:sz w:val="21"/>
          <w:szCs w:val="21"/>
        </w:rPr>
        <w:t xml:space="preserve">The </w:t>
      </w:r>
      <w:r w:rsidR="006C231C">
        <w:rPr>
          <w:rStyle w:val="Strong"/>
          <w:rFonts w:ascii="Arial" w:hAnsi="Arial" w:cs="Arial"/>
          <w:b w:val="0"/>
          <w:bCs w:val="0"/>
          <w:sz w:val="21"/>
          <w:szCs w:val="21"/>
        </w:rPr>
        <w:t xml:space="preserve">bar plot </w:t>
      </w:r>
      <w:r w:rsidRPr="00A06FA1">
        <w:rPr>
          <w:rStyle w:val="Strong"/>
          <w:rFonts w:ascii="Arial" w:hAnsi="Arial" w:cs="Arial"/>
          <w:b w:val="0"/>
          <w:bCs w:val="0"/>
          <w:sz w:val="21"/>
          <w:szCs w:val="21"/>
        </w:rPr>
        <w:t xml:space="preserve">and </w:t>
      </w:r>
      <w:r w:rsidR="006C231C">
        <w:rPr>
          <w:rStyle w:val="Strong"/>
          <w:rFonts w:ascii="Arial" w:hAnsi="Arial" w:cs="Arial"/>
          <w:b w:val="0"/>
          <w:bCs w:val="0"/>
          <w:sz w:val="21"/>
          <w:szCs w:val="21"/>
        </w:rPr>
        <w:t>s</w:t>
      </w:r>
      <w:r w:rsidRPr="00A06FA1">
        <w:rPr>
          <w:rStyle w:val="Strong"/>
          <w:rFonts w:ascii="Arial" w:hAnsi="Arial" w:cs="Arial"/>
          <w:b w:val="0"/>
          <w:bCs w:val="0"/>
          <w:sz w:val="21"/>
          <w:szCs w:val="21"/>
        </w:rPr>
        <w:t xml:space="preserve">tacked </w:t>
      </w:r>
      <w:r w:rsidR="00BA0E98">
        <w:rPr>
          <w:rStyle w:val="Strong"/>
          <w:rFonts w:ascii="Arial" w:hAnsi="Arial" w:cs="Arial"/>
          <w:b w:val="0"/>
          <w:bCs w:val="0"/>
          <w:sz w:val="21"/>
          <w:szCs w:val="21"/>
        </w:rPr>
        <w:t xml:space="preserve">bar </w:t>
      </w:r>
      <w:r w:rsidRPr="00A06FA1">
        <w:rPr>
          <w:rStyle w:val="Strong"/>
          <w:rFonts w:ascii="Arial" w:hAnsi="Arial" w:cs="Arial"/>
          <w:b w:val="0"/>
          <w:bCs w:val="0"/>
          <w:sz w:val="21"/>
          <w:szCs w:val="21"/>
        </w:rPr>
        <w:t xml:space="preserve">plot </w:t>
      </w:r>
      <w:r w:rsidR="006C231C">
        <w:rPr>
          <w:rStyle w:val="Strong"/>
          <w:rFonts w:ascii="Arial" w:hAnsi="Arial" w:cs="Arial"/>
          <w:b w:val="0"/>
          <w:bCs w:val="0"/>
          <w:sz w:val="21"/>
          <w:szCs w:val="21"/>
        </w:rPr>
        <w:t xml:space="preserve">above </w:t>
      </w:r>
      <w:r w:rsidRPr="00A06FA1">
        <w:rPr>
          <w:rStyle w:val="Strong"/>
          <w:rFonts w:ascii="Arial" w:hAnsi="Arial" w:cs="Arial"/>
          <w:b w:val="0"/>
          <w:bCs w:val="0"/>
          <w:sz w:val="21"/>
          <w:szCs w:val="21"/>
        </w:rPr>
        <w:t>show</w:t>
      </w:r>
      <w:r w:rsidR="006C231C">
        <w:rPr>
          <w:rStyle w:val="Strong"/>
          <w:rFonts w:ascii="Arial" w:hAnsi="Arial" w:cs="Arial"/>
          <w:b w:val="0"/>
          <w:bCs w:val="0"/>
          <w:sz w:val="21"/>
          <w:szCs w:val="21"/>
        </w:rPr>
        <w:t>s</w:t>
      </w:r>
      <w:r w:rsidRPr="00A06FA1">
        <w:rPr>
          <w:rStyle w:val="Strong"/>
          <w:rFonts w:ascii="Arial" w:hAnsi="Arial" w:cs="Arial"/>
          <w:b w:val="0"/>
          <w:bCs w:val="0"/>
          <w:sz w:val="21"/>
          <w:szCs w:val="21"/>
        </w:rPr>
        <w:t xml:space="preserve"> the suicide rate per 100k for all age groups</w:t>
      </w:r>
      <w:r w:rsidR="00BA0E98">
        <w:rPr>
          <w:rStyle w:val="Strong"/>
          <w:rFonts w:ascii="Arial" w:hAnsi="Arial" w:cs="Arial"/>
          <w:b w:val="0"/>
          <w:bCs w:val="0"/>
          <w:sz w:val="21"/>
          <w:szCs w:val="21"/>
        </w:rPr>
        <w:t xml:space="preserve"> and all genders</w:t>
      </w:r>
      <w:r w:rsidR="0016699B">
        <w:rPr>
          <w:rStyle w:val="Strong"/>
          <w:rFonts w:ascii="Arial" w:hAnsi="Arial" w:cs="Arial"/>
          <w:b w:val="0"/>
          <w:bCs w:val="0"/>
          <w:sz w:val="21"/>
          <w:szCs w:val="21"/>
        </w:rPr>
        <w:t xml:space="preserve"> (male and female)</w:t>
      </w:r>
      <w:r w:rsidR="00BA0E98">
        <w:rPr>
          <w:rStyle w:val="Strong"/>
          <w:rFonts w:ascii="Arial" w:hAnsi="Arial" w:cs="Arial"/>
          <w:b w:val="0"/>
          <w:bCs w:val="0"/>
          <w:sz w:val="21"/>
          <w:szCs w:val="21"/>
        </w:rPr>
        <w:t>.</w:t>
      </w:r>
    </w:p>
    <w:p w14:paraId="5C40C990" w14:textId="668119D2" w:rsidR="006C231C" w:rsidRDefault="006C231C" w:rsidP="006D04E8">
      <w:pPr>
        <w:pStyle w:val="ListParagraph"/>
        <w:ind w:left="1224"/>
        <w:rPr>
          <w:rStyle w:val="Strong"/>
          <w:rFonts w:ascii="Arial" w:hAnsi="Arial" w:cs="Arial"/>
          <w:b w:val="0"/>
          <w:bCs w:val="0"/>
          <w:sz w:val="21"/>
          <w:szCs w:val="21"/>
        </w:rPr>
      </w:pPr>
    </w:p>
    <w:p w14:paraId="01C88BC6" w14:textId="24978F11" w:rsidR="006C231C" w:rsidRDefault="006C231C" w:rsidP="006D04E8">
      <w:pPr>
        <w:pStyle w:val="ListParagraph"/>
        <w:ind w:left="1224"/>
        <w:rPr>
          <w:rStyle w:val="Strong"/>
          <w:rFonts w:ascii="Arial" w:hAnsi="Arial" w:cs="Arial"/>
          <w:b w:val="0"/>
          <w:bCs w:val="0"/>
          <w:sz w:val="21"/>
          <w:szCs w:val="21"/>
        </w:rPr>
      </w:pPr>
      <w:r>
        <w:rPr>
          <w:rStyle w:val="Strong"/>
          <w:rFonts w:ascii="Arial" w:hAnsi="Arial" w:cs="Arial"/>
          <w:b w:val="0"/>
          <w:bCs w:val="0"/>
          <w:sz w:val="21"/>
          <w:szCs w:val="21"/>
        </w:rPr>
        <w:t>We observe that suicide rate per 100k in males is about 3 times that of females between 1985 and 2015</w:t>
      </w:r>
      <w:r w:rsidR="00BA0E98">
        <w:rPr>
          <w:rStyle w:val="Strong"/>
          <w:rFonts w:ascii="Arial" w:hAnsi="Arial" w:cs="Arial"/>
          <w:b w:val="0"/>
          <w:bCs w:val="0"/>
          <w:sz w:val="21"/>
          <w:szCs w:val="21"/>
        </w:rPr>
        <w:t>.</w:t>
      </w:r>
    </w:p>
    <w:p w14:paraId="1D18985F" w14:textId="539A2F1B" w:rsidR="00BA0E98" w:rsidRDefault="00BA0E98" w:rsidP="006D04E8">
      <w:pPr>
        <w:pStyle w:val="ListParagraph"/>
        <w:ind w:left="1224"/>
        <w:rPr>
          <w:rStyle w:val="Strong"/>
          <w:rFonts w:ascii="Arial" w:hAnsi="Arial" w:cs="Arial"/>
          <w:b w:val="0"/>
          <w:bCs w:val="0"/>
          <w:sz w:val="21"/>
          <w:szCs w:val="21"/>
        </w:rPr>
      </w:pPr>
    </w:p>
    <w:p w14:paraId="5D0DFA4B" w14:textId="72415969" w:rsidR="00BA0E98" w:rsidRDefault="00BA0E98" w:rsidP="006D04E8">
      <w:pPr>
        <w:pStyle w:val="ListParagraph"/>
        <w:ind w:left="1224"/>
        <w:rPr>
          <w:rStyle w:val="Strong"/>
          <w:rFonts w:ascii="Arial" w:hAnsi="Arial" w:cs="Arial"/>
          <w:b w:val="0"/>
          <w:bCs w:val="0"/>
          <w:sz w:val="21"/>
          <w:szCs w:val="21"/>
        </w:rPr>
      </w:pPr>
      <w:r>
        <w:rPr>
          <w:rStyle w:val="Strong"/>
          <w:rFonts w:ascii="Arial" w:hAnsi="Arial" w:cs="Arial"/>
          <w:b w:val="0"/>
          <w:bCs w:val="0"/>
          <w:sz w:val="21"/>
          <w:szCs w:val="21"/>
        </w:rPr>
        <w:t xml:space="preserve">While suicide rate per 100k amongst females </w:t>
      </w:r>
      <w:r w:rsidR="00CC4EBB">
        <w:rPr>
          <w:rStyle w:val="Strong"/>
          <w:rFonts w:ascii="Arial" w:hAnsi="Arial" w:cs="Arial"/>
          <w:b w:val="0"/>
          <w:bCs w:val="0"/>
          <w:sz w:val="21"/>
          <w:szCs w:val="21"/>
        </w:rPr>
        <w:t xml:space="preserve">for </w:t>
      </w:r>
      <w:r>
        <w:rPr>
          <w:rStyle w:val="Strong"/>
          <w:rFonts w:ascii="Arial" w:hAnsi="Arial" w:cs="Arial"/>
          <w:b w:val="0"/>
          <w:bCs w:val="0"/>
          <w:sz w:val="21"/>
          <w:szCs w:val="21"/>
        </w:rPr>
        <w:t>all age categor</w:t>
      </w:r>
      <w:r w:rsidR="00CC4EBB">
        <w:rPr>
          <w:rStyle w:val="Strong"/>
          <w:rFonts w:ascii="Arial" w:hAnsi="Arial" w:cs="Arial"/>
          <w:b w:val="0"/>
          <w:bCs w:val="0"/>
          <w:sz w:val="21"/>
          <w:szCs w:val="21"/>
        </w:rPr>
        <w:t xml:space="preserve">ies </w:t>
      </w:r>
      <w:r>
        <w:rPr>
          <w:rStyle w:val="Strong"/>
          <w:rFonts w:ascii="Arial" w:hAnsi="Arial" w:cs="Arial"/>
          <w:b w:val="0"/>
          <w:bCs w:val="0"/>
          <w:sz w:val="21"/>
          <w:szCs w:val="21"/>
        </w:rPr>
        <w:t xml:space="preserve">remains the same, </w:t>
      </w:r>
      <w:r w:rsidR="00CC4EBB">
        <w:rPr>
          <w:rStyle w:val="Strong"/>
          <w:rFonts w:ascii="Arial" w:hAnsi="Arial" w:cs="Arial"/>
          <w:b w:val="0"/>
          <w:bCs w:val="0"/>
          <w:sz w:val="21"/>
          <w:szCs w:val="21"/>
        </w:rPr>
        <w:t>we inspect</w:t>
      </w:r>
      <w:r>
        <w:rPr>
          <w:rStyle w:val="Strong"/>
          <w:rFonts w:ascii="Arial" w:hAnsi="Arial" w:cs="Arial"/>
          <w:b w:val="0"/>
          <w:bCs w:val="0"/>
          <w:sz w:val="21"/>
          <w:szCs w:val="21"/>
        </w:rPr>
        <w:t xml:space="preserve"> that females in the age group 5 – 14 years, have higher suicide rate per 100k over males compared to all other age groups at about 37%.</w:t>
      </w:r>
    </w:p>
    <w:p w14:paraId="45FED577" w14:textId="25226F10" w:rsidR="00A06FA1" w:rsidRDefault="00A06FA1" w:rsidP="006D04E8">
      <w:pPr>
        <w:pStyle w:val="ListParagraph"/>
        <w:ind w:left="1224"/>
        <w:rPr>
          <w:rStyle w:val="Strong"/>
          <w:sz w:val="21"/>
          <w:szCs w:val="21"/>
        </w:rPr>
      </w:pPr>
    </w:p>
    <w:p w14:paraId="3F8E33DE" w14:textId="4E9FE5A3" w:rsidR="00CC4EBB" w:rsidRDefault="00CC4EBB" w:rsidP="00CC4EBB">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Country</w:t>
      </w:r>
    </w:p>
    <w:p w14:paraId="67398038" w14:textId="7855AA33" w:rsidR="00CC4EBB" w:rsidRDefault="00CC4EBB" w:rsidP="00CC4EBB">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Per Age Group</w:t>
      </w:r>
    </w:p>
    <w:p w14:paraId="096F69E1" w14:textId="49151AA2" w:rsidR="00CC4EBB" w:rsidRDefault="00CC4EBB" w:rsidP="00CC4EBB">
      <w:pPr>
        <w:pStyle w:val="ListParagraph"/>
        <w:ind w:left="2880"/>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7F6F5023" wp14:editId="075D2315">
            <wp:extent cx="1598295" cy="15982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9628" cy="1599628"/>
                    </a:xfrm>
                    <a:prstGeom prst="rect">
                      <a:avLst/>
                    </a:prstGeom>
                  </pic:spPr>
                </pic:pic>
              </a:graphicData>
            </a:graphic>
          </wp:inline>
        </w:drawing>
      </w:r>
      <w:r w:rsidRPr="00CC4EBB">
        <w:rPr>
          <w:rFonts w:ascii="Arial" w:eastAsia="Arial" w:hAnsi="Arial" w:cs="Arial"/>
          <w:noProof/>
          <w:color w:val="2F5496" w:themeColor="accent1" w:themeShade="BF"/>
          <w:sz w:val="20"/>
          <w:szCs w:val="20"/>
        </w:rPr>
        <w:t xml:space="preserve"> </w:t>
      </w:r>
      <w:r>
        <w:rPr>
          <w:rFonts w:ascii="Arial" w:eastAsia="Arial" w:hAnsi="Arial" w:cs="Arial"/>
          <w:noProof/>
          <w:color w:val="2F5496" w:themeColor="accent1" w:themeShade="BF"/>
          <w:sz w:val="20"/>
          <w:szCs w:val="20"/>
        </w:rPr>
        <w:drawing>
          <wp:inline distT="0" distB="0" distL="0" distR="0" wp14:anchorId="082BDB0C" wp14:editId="157F20AC">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anchor distT="0" distB="0" distL="114300" distR="114300" simplePos="0" relativeHeight="251663360" behindDoc="0" locked="0" layoutInCell="1" allowOverlap="1" wp14:anchorId="613983FA" wp14:editId="221674DB">
            <wp:simplePos x="0" y="0"/>
            <wp:positionH relativeFrom="column">
              <wp:posOffset>821690</wp:posOffset>
            </wp:positionH>
            <wp:positionV relativeFrom="paragraph">
              <wp:posOffset>52070</wp:posOffset>
            </wp:positionV>
            <wp:extent cx="1547495" cy="1547495"/>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7495" cy="1547495"/>
                    </a:xfrm>
                    <a:prstGeom prst="rect">
                      <a:avLst/>
                    </a:prstGeom>
                  </pic:spPr>
                </pic:pic>
              </a:graphicData>
            </a:graphic>
            <wp14:sizeRelH relativeFrom="page">
              <wp14:pctWidth>0</wp14:pctWidth>
            </wp14:sizeRelH>
            <wp14:sizeRelV relativeFrom="page">
              <wp14:pctHeight>0</wp14:pctHeight>
            </wp14:sizeRelV>
          </wp:anchor>
        </w:drawing>
      </w:r>
    </w:p>
    <w:p w14:paraId="65EFFC03" w14:textId="77777777" w:rsidR="00CC4EBB" w:rsidRPr="00CC4EBB" w:rsidRDefault="00CC4EBB" w:rsidP="00CC4EBB">
      <w:pPr>
        <w:rPr>
          <w:rStyle w:val="Strong"/>
          <w:sz w:val="21"/>
          <w:szCs w:val="21"/>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5F8A9AE8" w14:textId="4C8332A9"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57EFF46A" w:rsidR="00F37E3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2B80593B" w14:textId="77777777" w:rsidR="00BF43C6" w:rsidRPr="003063A2" w:rsidRDefault="00BF43C6" w:rsidP="00BF43C6">
      <w:pPr>
        <w:pStyle w:val="ListParagraph"/>
        <w:ind w:left="360"/>
        <w:rPr>
          <w:rFonts w:ascii="Arial" w:eastAsia="Arial" w:hAnsi="Arial" w:cs="Arial"/>
          <w:b/>
          <w:color w:val="2F5496" w:themeColor="accent1" w:themeShade="BF"/>
          <w:sz w:val="20"/>
          <w:szCs w:val="20"/>
        </w:rPr>
      </w:pP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1D21BAD3" w14:textId="56BBF920" w:rsidR="00A95D88" w:rsidRDefault="00A95D88"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[3] </w:t>
      </w:r>
      <w:hyperlink r:id="rId22" w:history="1">
        <w:r w:rsidRPr="00452761">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0A70805" w14:textId="71B73965" w:rsidR="00041957"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A95D88">
        <w:rPr>
          <w:rFonts w:ascii="Arial" w:eastAsia="ArialMT" w:hAnsi="Arial" w:cs="Arial"/>
          <w:color w:val="000000" w:themeColor="text1"/>
          <w:sz w:val="20"/>
          <w:szCs w:val="20"/>
        </w:rPr>
        <w:t>4</w:t>
      </w:r>
      <w:r w:rsidRPr="003063A2">
        <w:rPr>
          <w:rFonts w:ascii="Arial" w:eastAsia="ArialMT" w:hAnsi="Arial" w:cs="Arial"/>
          <w:color w:val="000000" w:themeColor="text1"/>
          <w:sz w:val="20"/>
          <w:szCs w:val="20"/>
        </w:rPr>
        <w:t xml:space="preserve">] </w:t>
      </w:r>
      <w:hyperlink r:id="rId23"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bookmarkStart w:id="0" w:name="_GoBack"/>
      <w:bookmarkEnd w:id="0"/>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09D7" w14:textId="77777777" w:rsidR="00EE1C4F" w:rsidRDefault="00EE1C4F" w:rsidP="002E5817">
      <w:r>
        <w:separator/>
      </w:r>
    </w:p>
  </w:endnote>
  <w:endnote w:type="continuationSeparator" w:id="0">
    <w:p w14:paraId="3A7BFD7D" w14:textId="77777777" w:rsidR="00EE1C4F" w:rsidRDefault="00EE1C4F"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ECC08" w14:textId="77777777" w:rsidR="00EE1C4F" w:rsidRDefault="00EE1C4F" w:rsidP="002E5817">
      <w:r>
        <w:separator/>
      </w:r>
    </w:p>
  </w:footnote>
  <w:footnote w:type="continuationSeparator" w:id="0">
    <w:p w14:paraId="312546C5" w14:textId="77777777" w:rsidR="00EE1C4F" w:rsidRDefault="00EE1C4F"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4BFD"/>
    <w:rsid w:val="000663F0"/>
    <w:rsid w:val="0007726D"/>
    <w:rsid w:val="00090EEF"/>
    <w:rsid w:val="000B6D3B"/>
    <w:rsid w:val="00117AA3"/>
    <w:rsid w:val="00155C99"/>
    <w:rsid w:val="0016699B"/>
    <w:rsid w:val="0017587C"/>
    <w:rsid w:val="00180B4B"/>
    <w:rsid w:val="0024651F"/>
    <w:rsid w:val="002E5817"/>
    <w:rsid w:val="002F0A71"/>
    <w:rsid w:val="002F5233"/>
    <w:rsid w:val="0030495A"/>
    <w:rsid w:val="003063A2"/>
    <w:rsid w:val="0032388C"/>
    <w:rsid w:val="003306F3"/>
    <w:rsid w:val="003310CE"/>
    <w:rsid w:val="00360668"/>
    <w:rsid w:val="00373DC4"/>
    <w:rsid w:val="00374661"/>
    <w:rsid w:val="00383E16"/>
    <w:rsid w:val="00393D01"/>
    <w:rsid w:val="003A71BA"/>
    <w:rsid w:val="003C07A2"/>
    <w:rsid w:val="003E6C43"/>
    <w:rsid w:val="003F7B27"/>
    <w:rsid w:val="00473ACB"/>
    <w:rsid w:val="00475907"/>
    <w:rsid w:val="004A695A"/>
    <w:rsid w:val="004F185C"/>
    <w:rsid w:val="00517FC9"/>
    <w:rsid w:val="00533961"/>
    <w:rsid w:val="005B2BA2"/>
    <w:rsid w:val="00651F72"/>
    <w:rsid w:val="00673FB0"/>
    <w:rsid w:val="0068721C"/>
    <w:rsid w:val="006A4619"/>
    <w:rsid w:val="006A7F75"/>
    <w:rsid w:val="006C231C"/>
    <w:rsid w:val="006D04E8"/>
    <w:rsid w:val="006F1523"/>
    <w:rsid w:val="00712AE8"/>
    <w:rsid w:val="0073125F"/>
    <w:rsid w:val="007326D5"/>
    <w:rsid w:val="00775DAE"/>
    <w:rsid w:val="007B662D"/>
    <w:rsid w:val="007B76F3"/>
    <w:rsid w:val="00801EFA"/>
    <w:rsid w:val="00810139"/>
    <w:rsid w:val="008135C1"/>
    <w:rsid w:val="0081717D"/>
    <w:rsid w:val="00832418"/>
    <w:rsid w:val="008352AE"/>
    <w:rsid w:val="00847CB6"/>
    <w:rsid w:val="00896B77"/>
    <w:rsid w:val="008C2B92"/>
    <w:rsid w:val="008D5F1E"/>
    <w:rsid w:val="008E6B6B"/>
    <w:rsid w:val="009105AB"/>
    <w:rsid w:val="00994372"/>
    <w:rsid w:val="009B3275"/>
    <w:rsid w:val="009E34D8"/>
    <w:rsid w:val="00A06FA1"/>
    <w:rsid w:val="00A314B5"/>
    <w:rsid w:val="00A50972"/>
    <w:rsid w:val="00A60ADF"/>
    <w:rsid w:val="00A95D88"/>
    <w:rsid w:val="00AA473A"/>
    <w:rsid w:val="00B24341"/>
    <w:rsid w:val="00B25D23"/>
    <w:rsid w:val="00B51832"/>
    <w:rsid w:val="00B540C0"/>
    <w:rsid w:val="00BA0E98"/>
    <w:rsid w:val="00BC031F"/>
    <w:rsid w:val="00BF43C6"/>
    <w:rsid w:val="00C00750"/>
    <w:rsid w:val="00C44A47"/>
    <w:rsid w:val="00C6391E"/>
    <w:rsid w:val="00C75BC1"/>
    <w:rsid w:val="00C85CF1"/>
    <w:rsid w:val="00CA7915"/>
    <w:rsid w:val="00CC4EBB"/>
    <w:rsid w:val="00CF79D3"/>
    <w:rsid w:val="00D157FB"/>
    <w:rsid w:val="00D65617"/>
    <w:rsid w:val="00D6579F"/>
    <w:rsid w:val="00E62FA1"/>
    <w:rsid w:val="00E675C2"/>
    <w:rsid w:val="00EE133B"/>
    <w:rsid w:val="00EE1C4F"/>
    <w:rsid w:val="00F06DF0"/>
    <w:rsid w:val="00F26A79"/>
    <w:rsid w:val="00F31F56"/>
    <w:rsid w:val="00F37E32"/>
    <w:rsid w:val="00F77708"/>
    <w:rsid w:val="00F93EE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rello.com/c/0uYp2wZC"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1D10-425F-4E49-959D-B6F86B31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54</cp:revision>
  <dcterms:created xsi:type="dcterms:W3CDTF">2021-01-01T01:47:00Z</dcterms:created>
  <dcterms:modified xsi:type="dcterms:W3CDTF">2021-01-07T22:23:00Z</dcterms:modified>
</cp:coreProperties>
</file>