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Hubble &amp; Signal B SIT Strategy: Scope, Levels and Coverage Assessment</w:t>
      </w:r>
    </w:p>
    <w:tbl>
      <w:tblPr>
        <w:tblStyle w:val="TableGrid"/>
        <w:tblW w:type="auto" w:w="0"/>
        <w:tblLook w:firstColumn="1" w:firstRow="1" w:lastColumn="0" w:lastRow="0" w:noHBand="0" w:noVBand="1" w:val="04A0"/>
      </w:tblPr>
      <w:tblGrid>
        <w:gridCol w:w="7013"/>
        <w:gridCol w:w="7013"/>
      </w:tblGrid>
      <w:tr>
        <w:tc>
          <w:tcPr>
            <w:tcW w:type="dxa" w:w="7013"/>
            <w:shd w:val="clear" w:color="auto" w:fill="F4F5F7"/>
          </w:tcPr>
          <w:p>
            <w:r/>
            <w:r>
              <w:rPr>
                <w:b/>
                <w:sz w:val="17"/>
              </w:rPr>
              <w:t>Status</w:t>
            </w:r>
          </w:p>
        </w:tc>
        <w:tc>
          <w:tcPr>
            <w:tcW w:type="dxa" w:w="7013"/>
            <w:shd w:val="clear" w:color="auto" w:fill="F4F5F7"/>
          </w:tcPr>
          <w:p>
            <w:r/>
            <w:r>
              <w:rPr>
                <w:b/>
                <w:sz w:val="17"/>
              </w:rPr>
              <w:t>DRAFT for review</w:t>
            </w:r>
          </w:p>
        </w:tc>
      </w:tr>
      <w:tr>
        <w:tc>
          <w:tcPr>
            <w:tcW w:type="dxa" w:w="7013"/>
          </w:tcPr>
          <w:p>
            <w:r/>
            <w:r>
              <w:rPr>
                <w:b/>
                <w:sz w:val="17"/>
              </w:rPr>
              <w:t>Owner</w:t>
            </w:r>
          </w:p>
        </w:tc>
        <w:tc>
          <w:tcPr>
            <w:tcW w:type="dxa" w:w="7013"/>
          </w:tcPr>
          <w:p>
            <w:r/>
            <w:r>
              <w:rPr>
                <w:sz w:val="17"/>
              </w:rPr>
              <w:t>SIT Lead, Hubble</w:t>
            </w:r>
          </w:p>
        </w:tc>
      </w:tr>
      <w:tr>
        <w:tc>
          <w:tcPr>
            <w:tcW w:type="dxa" w:w="7013"/>
          </w:tcPr>
          <w:p>
            <w:r/>
            <w:r>
              <w:rPr>
                <w:b/>
                <w:sz w:val="17"/>
              </w:rPr>
              <w:t>Reviewers</w:t>
            </w:r>
          </w:p>
        </w:tc>
        <w:tc>
          <w:tcPr>
            <w:tcW w:type="dxa" w:w="7013"/>
          </w:tcPr>
          <w:p>
            <w:r/>
            <w:r>
              <w:rPr>
                <w:sz w:val="17"/>
              </w:rPr>
              <w:t>Test Manager, Hubble Product Owner, Platform (EKS) lead, DBA (Aurora), Service squad leads</w:t>
            </w:r>
          </w:p>
        </w:tc>
      </w:tr>
      <w:tr>
        <w:tc>
          <w:tcPr>
            <w:tcW w:type="dxa" w:w="7013"/>
          </w:tcPr>
          <w:p>
            <w:r/>
            <w:r>
              <w:rPr>
                <w:b/>
                <w:sz w:val="17"/>
              </w:rPr>
              <w:t>Last updated</w:t>
            </w:r>
          </w:p>
        </w:tc>
        <w:tc>
          <w:tcPr>
            <w:tcW w:type="dxa" w:w="7013"/>
          </w:tcPr>
          <w:p>
            <w:r/>
            <w:r>
              <w:rPr>
                <w:sz w:val="17"/>
              </w:rPr>
              <w:t>28 Sep 2026</w:t>
            </w:r>
          </w:p>
        </w:tc>
      </w:tr>
      <w:tr>
        <w:tc>
          <w:tcPr>
            <w:tcW w:type="dxa" w:w="7013"/>
          </w:tcPr>
          <w:p>
            <w:r/>
            <w:r>
              <w:rPr>
                <w:b/>
                <w:sz w:val="17"/>
              </w:rPr>
              <w:t>Related pages</w:t>
            </w:r>
          </w:p>
        </w:tc>
        <w:tc>
          <w:tcPr>
            <w:tcW w:type="dxa" w:w="7013"/>
          </w:tcPr>
          <w:p>
            <w:r/>
            <w:r>
              <w:rPr>
                <w:sz w:val="17"/>
              </w:rPr>
              <w:t>Hubble AWS – Dev · Hubble AWS – Migration Plan · Hubble Aurora Design (Hubble_Aurora_Design.xlsx) · Service Resource Limits · Hubble to Daytona Connectivity · AWS EKS Cluster access</w:t>
            </w:r>
          </w:p>
        </w:tc>
      </w:tr>
    </w:tbl>
    <w:p/>
    <w:p>
      <w:pPr>
        <w:pStyle w:val="Heading1"/>
      </w:pPr>
      <w:r>
        <w:t>1. Purpose</w:t>
      </w:r>
    </w:p>
    <w:p>
      <w:r>
        <w:t>This page defines how System Integration Testing (SIT) is scoped, structured, automated and gated for Hubble and Signal B on AWS (EKS + Aurora PostgreSQL + Enterprise Kafka AWS). It lists every feature SIT must prove, today's coverage, the gaps, and the plan to close them.</w:t>
      </w:r>
    </w:p>
    <w:p>
      <w:pPr>
        <w:pStyle w:val="Heading1"/>
      </w:pPr>
      <w:r>
        <w:t>2. Summary</w:t>
      </w:r>
    </w:p>
    <w:p>
      <w:r>
        <w:t xml:space="preserve">SIT for Hubble tests only </w:t>
      </w:r>
      <w:r>
        <w:rPr>
          <w:b/>
        </w:rPr>
        <w:t>how the services work together</w:t>
      </w:r>
      <w:r>
        <w:t xml:space="preserve">. Single-service rules stay in </w:t>
      </w:r>
      <w:r>
        <w:rPr>
          <w:b/>
        </w:rPr>
        <w:t>SLFT</w:t>
      </w:r>
      <w:r>
        <w:t>, run by the service squads, and a passing SLFT result is required before a build enters SIT.</w:t>
      </w:r>
    </w:p>
    <w:p>
      <w:r>
        <w:t xml:space="preserve">SIT runs in the shared SIT environment with every Hubble service deployed on </w:t>
      </w:r>
      <w:r>
        <w:rPr>
          <w:b/>
        </w:rPr>
        <w:t>EKS</w:t>
      </w:r>
      <w:r>
        <w:t xml:space="preserve">, persisting to </w:t>
      </w:r>
      <w:r>
        <w:rPr>
          <w:b/>
        </w:rPr>
        <w:t>Aurora PostgreSQL</w:t>
      </w:r>
      <w:r>
        <w:t xml:space="preserve">, and connected to </w:t>
      </w:r>
      <w:r>
        <w:rPr>
          <w:b/>
        </w:rPr>
        <w:t>Enterprise Kafka AWS</w:t>
      </w:r>
      <w:r>
        <w:t>, S3, EMS, SFTP, Daytona and SignalB. Only third-party feeds are simulated. SIT checks that data flows correctly from ASX Trade, nCore, S&amp;P, MorningStar, OIIP and DCS/DPS through processing and Aurora to the published products (D01, D04, D06, D33, E03, CS/BT), to the HUBDAM data archive, and on through Signal B to participants as FIX Trade Capture Reports (35=AE). It also checks that Hubble keeps working through normal platform events: pod restarts, node drains, rolling deploys, Aurora failover and blue/green cutover.</w:t>
      </w:r>
    </w:p>
    <w:p>
      <w:r>
        <w:t>SIT is tested at three levels:</w:t>
      </w:r>
    </w:p>
    <w:p>
      <w:pPr>
        <w:pStyle w:val="ListBullet"/>
      </w:pPr>
      <w:r>
        <w:rPr>
          <w:b/>
        </w:rPr>
        <w:t>L1 Interface.</w:t>
      </w:r>
      <w:r>
        <w:t xml:space="preserve"> Every Kafka topic, EMS queue, S3/SFTP location, Aurora database, network path, certificate and identity is connected and correct. The EKS platform baseline is validated.</w:t>
      </w:r>
    </w:p>
    <w:p>
      <w:pPr>
        <w:pStyle w:val="ListBullet"/>
      </w:pPr>
      <w:r>
        <w:rPr>
          <w:b/>
        </w:rPr>
        <w:t>L2 Flow integration.</w:t>
      </w:r>
      <w:r>
        <w:t xml:space="preserve"> Data crosses service boundaries correctly and lands in the right Aurora tables. This covers start of day, reference data changes, date roll, stored-offset recovery, platform events and traceability.</w:t>
      </w:r>
    </w:p>
    <w:p>
      <w:pPr>
        <w:pStyle w:val="ListBullet"/>
      </w:pPr>
      <w:r>
        <w:rPr>
          <w:b/>
        </w:rPr>
        <w:t>L3 End-to-end business cycle.</w:t>
      </w:r>
      <w:r>
        <w:t xml:space="preserve"> Each product is correct, on schedule, delivered and reconciled with legacy Core, including multi-day corporate actions, SignalB delivery, parity with on-prem Hubble, and blue/green cutover.</w:t>
      </w:r>
    </w:p>
    <w:p>
      <w:r>
        <w:t>Tests are automated in the existing Cucumber framework, and each test is tagged to its Jira story so coverage can be tracked in a traceability matrix. Five quality gates control progress: story ready, SIT entry, story integrated, nightly regression and SIT exit. Performance, AZ/region DR and HA timing follow SIT exit, handled by SPT and OAT.</w:t>
      </w:r>
    </w:p>
    <w:p>
      <w:r>
        <w:rPr>
          <w:b/>
        </w:rPr>
        <w:t>Current position.</w:t>
      </w:r>
      <w:r>
        <w:t xml:space="preserve"> Of the </w:t>
      </w:r>
      <w:r>
        <w:rPr>
          <w:b/>
        </w:rPr>
        <w:t>72</w:t>
      </w:r>
      <w:r>
        <w:t xml:space="preserve"> required SIT features, </w:t>
      </w:r>
      <w:r>
        <w:rPr>
          <w:b/>
        </w:rPr>
        <w:t>8 are covered, 24 partially covered and 40 not covered</w:t>
      </w:r>
      <w:r>
        <w:t>. Signal B's FIX-facing behaviour is well covered, but it is fed with seeded data; the real Hubble → Signal B hand-off, recovery and full E2E run are not in CI. Coverage is strong for final reports but weak in the middle of the pipeline (Aurora persistence, start of day, TAS, recovery, file ingestion). There is no coverage yet of the AWS platform itself: the EKS baseline, Aurora roles and schema, network paths, certificates, Pod Identity and blue/green.</w:t>
      </w:r>
    </w:p>
    <w:p>
      <w:r>
        <w:rPr>
          <w:b/>
        </w:rPr>
        <w:t>Reuse.</w:t>
      </w:r>
      <w:r>
        <w:t xml:space="preserve"> EKS validation reuses the automated cluster validation already running for the Enterprise Kafka AWS project (73/73 checks passing). About 70% of its check types apply to Hubble as-is or through configuration, so the platform gate can be live in sprint 1 (section 8.1).</w:t>
      </w:r>
    </w:p>
    <w:p>
      <w:pPr>
        <w:pStyle w:val="Heading1"/>
      </w:pPr>
      <w:r>
        <w:t>3. Scope</w:t>
      </w:r>
    </w:p>
    <w:p>
      <w:pPr>
        <w:pStyle w:val="Heading2"/>
      </w:pPr>
      <w:r>
        <w:t>3.1 SLFT vs SIT boundary</w:t>
      </w:r>
    </w:p>
    <w:tbl>
      <w:tblPr>
        <w:tblStyle w:val="TableGrid"/>
        <w:tblW w:type="auto" w:w="0"/>
        <w:tblLook w:firstColumn="1" w:firstRow="1" w:lastColumn="0" w:lastRow="0" w:noHBand="0" w:noVBand="1" w:val="04A0"/>
      </w:tblPr>
      <w:tblGrid>
        <w:gridCol w:w="4675"/>
        <w:gridCol w:w="4675"/>
        <w:gridCol w:w="4675"/>
      </w:tblGrid>
      <w:tr>
        <w:tc>
          <w:tcPr>
            <w:tcW w:type="dxa" w:w="4675"/>
            <w:shd w:val="clear" w:color="auto" w:fill="F4F5F7"/>
          </w:tcPr>
          <w:p>
            <w:r/>
          </w:p>
        </w:tc>
        <w:tc>
          <w:tcPr>
            <w:tcW w:type="dxa" w:w="4675"/>
            <w:shd w:val="clear" w:color="auto" w:fill="F4F5F7"/>
          </w:tcPr>
          <w:p>
            <w:r/>
            <w:r>
              <w:rPr>
                <w:b/>
                <w:sz w:val="17"/>
              </w:rPr>
              <w:t>SLFT (service squads, dev env)</w:t>
            </w:r>
          </w:p>
        </w:tc>
        <w:tc>
          <w:tcPr>
            <w:tcW w:type="dxa" w:w="4675"/>
            <w:shd w:val="clear" w:color="auto" w:fill="F4F5F7"/>
          </w:tcPr>
          <w:p>
            <w:r/>
            <w:r>
              <w:rPr>
                <w:b/>
                <w:sz w:val="17"/>
              </w:rPr>
              <w:t>SIT (shared SIT env on AWS)</w:t>
            </w:r>
          </w:p>
        </w:tc>
      </w:tr>
      <w:tr>
        <w:tc>
          <w:tcPr>
            <w:tcW w:type="dxa" w:w="4675"/>
          </w:tcPr>
          <w:p>
            <w:r/>
            <w:r>
              <w:rPr>
                <w:sz w:val="17"/>
              </w:rPr>
              <w:t>Question</w:t>
            </w:r>
          </w:p>
        </w:tc>
        <w:tc>
          <w:tcPr>
            <w:tcW w:type="dxa" w:w="4675"/>
          </w:tcPr>
          <w:p>
            <w:r/>
            <w:r>
              <w:rPr>
                <w:sz w:val="17"/>
              </w:rPr>
              <w:t>Does this service apply its rules correctly?</w:t>
            </w:r>
          </w:p>
        </w:tc>
        <w:tc>
          <w:tcPr>
            <w:tcW w:type="dxa" w:w="4675"/>
          </w:tcPr>
          <w:p>
            <w:r/>
            <w:r>
              <w:rPr>
                <w:sz w:val="17"/>
              </w:rPr>
              <w:t>Do the real services, on the real platform, produce the right data and products together?</w:t>
            </w:r>
          </w:p>
        </w:tc>
      </w:tr>
      <w:tr>
        <w:tc>
          <w:tcPr>
            <w:tcW w:type="dxa" w:w="4675"/>
          </w:tcPr>
          <w:p>
            <w:r/>
            <w:r>
              <w:rPr>
                <w:sz w:val="17"/>
              </w:rPr>
              <w:t>Environment</w:t>
            </w:r>
          </w:p>
        </w:tc>
        <w:tc>
          <w:tcPr>
            <w:tcW w:type="dxa" w:w="4675"/>
          </w:tcPr>
          <w:p>
            <w:r/>
            <w:r>
              <w:rPr>
                <w:sz w:val="17"/>
              </w:rPr>
              <w:t>Dev or individual env; neighbours mocked</w:t>
            </w:r>
          </w:p>
        </w:tc>
        <w:tc>
          <w:tcPr>
            <w:tcW w:type="dxa" w:w="4675"/>
          </w:tcPr>
          <w:p>
            <w:r/>
            <w:r>
              <w:rPr>
                <w:sz w:val="17"/>
              </w:rPr>
              <w:t>SIT EKS cluster + Aurora + Enterprise Kafka AWS; all Hubble services real; only third-party feeds simulated</w:t>
            </w:r>
          </w:p>
        </w:tc>
      </w:tr>
      <w:tr>
        <w:tc>
          <w:tcPr>
            <w:tcW w:type="dxa" w:w="4675"/>
          </w:tcPr>
          <w:p>
            <w:r/>
            <w:r>
              <w:rPr>
                <w:sz w:val="17"/>
              </w:rPr>
              <w:t>Owns</w:t>
            </w:r>
          </w:p>
        </w:tc>
        <w:tc>
          <w:tcPr>
            <w:tcW w:type="dxa" w:w="4675"/>
          </w:tcPr>
          <w:p>
            <w:r/>
            <w:r>
              <w:rPr>
                <w:sz w:val="17"/>
              </w:rPr>
              <w:t>Full rule matrices: TAS criteria, valuation/footnote rules, intrinsic value, QSE AC1–AC8, field derivation, single-service rejection</w:t>
            </w:r>
          </w:p>
        </w:tc>
        <w:tc>
          <w:tcPr>
            <w:tcW w:type="dxa" w:w="4675"/>
          </w:tcPr>
          <w:p>
            <w:r/>
            <w:r>
              <w:rPr>
                <w:sz w:val="17"/>
              </w:rPr>
              <w:t>Hand-offs, schema compatibility, SOD sequence, reference-data propagation, date roll, stored-offset recovery, platform events, Aurora persistence, schedules, delivery, reconciliation, multi-day lifecycle, traceability</w:t>
            </w:r>
          </w:p>
        </w:tc>
      </w:tr>
      <w:tr>
        <w:tc>
          <w:tcPr>
            <w:tcW w:type="dxa" w:w="4675"/>
          </w:tcPr>
          <w:p>
            <w:r/>
            <w:r>
              <w:rPr>
                <w:sz w:val="17"/>
              </w:rPr>
              <w:t>Rule coverage</w:t>
            </w:r>
          </w:p>
        </w:tc>
        <w:tc>
          <w:tcPr>
            <w:tcW w:type="dxa" w:w="4675"/>
          </w:tcPr>
          <w:p>
            <w:r/>
            <w:r>
              <w:rPr>
                <w:sz w:val="17"/>
              </w:rPr>
              <w:t>Every branch of every rule</w:t>
            </w:r>
          </w:p>
        </w:tc>
        <w:tc>
          <w:tcPr>
            <w:tcW w:type="dxa" w:w="4675"/>
          </w:tcPr>
          <w:p>
            <w:r/>
            <w:r>
              <w:rPr>
                <w:sz w:val="17"/>
              </w:rPr>
              <w:t>One representative case per rule family, through the real chain</w:t>
            </w:r>
          </w:p>
        </w:tc>
      </w:tr>
      <w:tr>
        <w:tc>
          <w:tcPr>
            <w:tcW w:type="dxa" w:w="4675"/>
          </w:tcPr>
          <w:p>
            <w:r/>
            <w:r>
              <w:rPr>
                <w:sz w:val="17"/>
              </w:rPr>
              <w:t>Evidence</w:t>
            </w:r>
          </w:p>
        </w:tc>
        <w:tc>
          <w:tcPr>
            <w:tcW w:type="dxa" w:w="4675"/>
          </w:tcPr>
          <w:p>
            <w:r/>
            <w:r>
              <w:rPr>
                <w:sz w:val="17"/>
              </w:rPr>
              <w:t>SLFT report per build, tagged @HUBES</w:t>
            </w:r>
          </w:p>
        </w:tc>
        <w:tc>
          <w:tcPr>
            <w:tcW w:type="dxa" w:w="4675"/>
          </w:tcPr>
          <w:p>
            <w:r/>
            <w:r>
              <w:rPr>
                <w:sz w:val="17"/>
              </w:rPr>
              <w:t>Cucumber/ExtentReports, cluster validation report, generated RTM</w:t>
            </w:r>
          </w:p>
        </w:tc>
      </w:tr>
    </w:tbl>
    <w:p/>
    <w:p>
      <w:pPr>
        <w:ind w:left="340"/>
      </w:pPr>
      <w:r>
        <w:rPr>
          <w:b/>
          <w:color w:val="0052CC"/>
        </w:rPr>
        <w:t>Deciding test.</w:t>
      </w:r>
      <w:r>
        <w:rPr>
          <w:color w:val="0052CC"/>
        </w:rPr>
        <w:t xml:space="preserve"> If a test would pass with every neighbouring service mocked, it belongs in SLFT. SIT covers only what can fail when services, data, time and platform meet.</w:t>
      </w:r>
    </w:p>
    <w:p>
      <w:pPr>
        <w:pStyle w:val="Heading2"/>
      </w:pPr>
      <w:r>
        <w:t>3.2 In scope</w:t>
      </w:r>
    </w:p>
    <w:p>
      <w:pPr>
        <w:pStyle w:val="ListBullet"/>
      </w:pPr>
      <w:r>
        <w:t>All functional integration requirements (ingestion, processing, TAS, streaming, Aurora snapshots, outbound products, corporate actions)</w:t>
      </w:r>
    </w:p>
    <w:p>
      <w:pPr>
        <w:pStyle w:val="ListBullet"/>
      </w:pPr>
      <w:r>
        <w:t>AWS platform integration: EKS workload baseline, Aurora connectivity/roles/schema, network paths, certificates/DNS, Pod Identity, S3</w:t>
      </w:r>
    </w:p>
    <w:p>
      <w:pPr>
        <w:pStyle w:val="ListBullet"/>
      </w:pPr>
      <w:r>
        <w:t>Functional resilience: pod restart, node drain, rolling deploy, Aurora writer failover, DB unavailability, blue/green cutover (no loss, no duplicates)</w:t>
      </w:r>
    </w:p>
    <w:p>
      <w:pPr>
        <w:pStyle w:val="ListBullet"/>
      </w:pPr>
      <w:r>
        <w:t>NFR-02 traceability (correlation ID across services to Elasticsearch)</w:t>
      </w:r>
    </w:p>
    <w:p>
      <w:pPr>
        <w:pStyle w:val="ListBullet"/>
      </w:pPr>
      <w:r>
        <w:t>Migration parity: AWS Hubble vs on-prem Hubble outputs, and migrated data integrity</w:t>
      </w:r>
    </w:p>
    <w:p>
      <w:pPr>
        <w:pStyle w:val="ListBullet"/>
      </w:pPr>
      <w:r>
        <w:t>Signal B: Hubble MarketTradeSummary → Signal B Processor → Adapter → FIX 35=AE to participants, via the devdmz cluster (NLB / F5 / ForgeRock), including session management, rejects and recovery</w:t>
      </w:r>
    </w:p>
    <w:p>
      <w:pPr>
        <w:pStyle w:val="ListBullet"/>
      </w:pPr>
      <w:r>
        <w:t>HUBDAM data archive: every archived Hubble message type lands in DAS/DAPS; functional purging</w:t>
      </w:r>
    </w:p>
    <w:p>
      <w:pPr>
        <w:pStyle w:val="Heading2"/>
      </w:pPr>
      <w:r>
        <w:t>3.3 Out of scope (owner)</w:t>
      </w:r>
    </w:p>
    <w:tbl>
      <w:tblPr>
        <w:tblStyle w:val="TableGrid"/>
        <w:tblW w:type="auto" w:w="0"/>
        <w:tblLook w:firstColumn="1" w:firstRow="1" w:lastColumn="0" w:lastRow="0" w:noHBand="0" w:noVBand="1" w:val="04A0"/>
      </w:tblPr>
      <w:tblGrid>
        <w:gridCol w:w="7013"/>
        <w:gridCol w:w="7013"/>
      </w:tblGrid>
      <w:tr>
        <w:tc>
          <w:tcPr>
            <w:tcW w:type="dxa" w:w="7013"/>
            <w:shd w:val="clear" w:color="auto" w:fill="F4F5F7"/>
          </w:tcPr>
          <w:p>
            <w:r/>
            <w:r>
              <w:rPr>
                <w:b/>
                <w:sz w:val="17"/>
              </w:rPr>
              <w:t>Item</w:t>
            </w:r>
          </w:p>
        </w:tc>
        <w:tc>
          <w:tcPr>
            <w:tcW w:type="dxa" w:w="7013"/>
            <w:shd w:val="clear" w:color="auto" w:fill="F4F5F7"/>
          </w:tcPr>
          <w:p>
            <w:r/>
            <w:r>
              <w:rPr>
                <w:b/>
                <w:sz w:val="17"/>
              </w:rPr>
              <w:t>Owner</w:t>
            </w:r>
          </w:p>
        </w:tc>
      </w:tr>
      <w:tr>
        <w:tc>
          <w:tcPr>
            <w:tcW w:type="dxa" w:w="7013"/>
          </w:tcPr>
          <w:p>
            <w:r/>
            <w:r>
              <w:rPr>
                <w:sz w:val="17"/>
              </w:rPr>
              <w:t>Single-service rule matrices</w:t>
            </w:r>
          </w:p>
        </w:tc>
        <w:tc>
          <w:tcPr>
            <w:tcW w:type="dxa" w:w="7013"/>
          </w:tcPr>
          <w:p>
            <w:r/>
            <w:r>
              <w:rPr>
                <w:sz w:val="17"/>
              </w:rPr>
              <w:t>SLFT</w:t>
            </w:r>
          </w:p>
        </w:tc>
      </w:tr>
      <w:tr>
        <w:tc>
          <w:tcPr>
            <w:tcW w:type="dxa" w:w="7013"/>
          </w:tcPr>
          <w:p>
            <w:r/>
            <w:r>
              <w:rPr>
                <w:sz w:val="17"/>
              </w:rPr>
              <w:t>Throughput, latency, soak, report-generation SLAs (HUBES-600, 726, 926, 1535, 656, 925, 1532, 645, 929, 1536, 1893, 2151, 928, 1539, 1514, 2541, 2542, 1515, 2915)</w:t>
            </w:r>
          </w:p>
        </w:tc>
        <w:tc>
          <w:tcPr>
            <w:tcW w:type="dxa" w:w="7013"/>
          </w:tcPr>
          <w:p>
            <w:r/>
            <w:r>
              <w:rPr>
                <w:sz w:val="17"/>
              </w:rPr>
              <w:t>SPT / SLPT</w:t>
            </w:r>
          </w:p>
        </w:tc>
      </w:tr>
      <w:tr>
        <w:tc>
          <w:tcPr>
            <w:tcW w:type="dxa" w:w="7013"/>
          </w:tcPr>
          <w:p>
            <w:r/>
            <w:r>
              <w:rPr>
                <w:sz w:val="17"/>
              </w:rPr>
              <w:t>AZ loss, cross-region DR, backup restore, HA timing (HUBES-1590, 592, 595, 625, 1595, 1599, 1803)</w:t>
            </w:r>
          </w:p>
        </w:tc>
        <w:tc>
          <w:tcPr>
            <w:tcW w:type="dxa" w:w="7013"/>
          </w:tcPr>
          <w:p>
            <w:r/>
            <w:r>
              <w:rPr>
                <w:sz w:val="17"/>
              </w:rPr>
              <w:t>OAT / DR</w:t>
            </w:r>
          </w:p>
        </w:tc>
      </w:tr>
      <w:tr>
        <w:tc>
          <w:tcPr>
            <w:tcW w:type="dxa" w:w="7013"/>
          </w:tcPr>
          <w:p>
            <w:r/>
            <w:r>
              <w:rPr>
                <w:sz w:val="17"/>
              </w:rPr>
              <w:t>Deployment pipeline, monitoring, runbooks (HUBES-593, 1592–1594, 1598)</w:t>
            </w:r>
          </w:p>
        </w:tc>
        <w:tc>
          <w:tcPr>
            <w:tcW w:type="dxa" w:w="7013"/>
          </w:tcPr>
          <w:p>
            <w:r/>
            <w:r>
              <w:rPr>
                <w:sz w:val="17"/>
              </w:rPr>
              <w:t>Release / OAT</w:t>
            </w:r>
          </w:p>
        </w:tc>
      </w:tr>
      <w:tr>
        <w:tc>
          <w:tcPr>
            <w:tcW w:type="dxa" w:w="7013"/>
          </w:tcPr>
          <w:p>
            <w:r/>
            <w:r>
              <w:rPr>
                <w:sz w:val="17"/>
              </w:rPr>
              <w:t>SAST, accessibility (HUBES-1596, 1597)</w:t>
            </w:r>
          </w:p>
        </w:tc>
        <w:tc>
          <w:tcPr>
            <w:tcW w:type="dxa" w:w="7013"/>
          </w:tcPr>
          <w:p>
            <w:r/>
            <w:r>
              <w:rPr>
                <w:sz w:val="17"/>
              </w:rPr>
              <w:t>Pipeline gates</w:t>
            </w:r>
          </w:p>
        </w:tc>
      </w:tr>
      <w:tr>
        <w:tc>
          <w:tcPr>
            <w:tcW w:type="dxa" w:w="7013"/>
          </w:tcPr>
          <w:p>
            <w:r/>
            <w:r>
              <w:rPr>
                <w:sz w:val="17"/>
              </w:rPr>
              <w:t>EKS/Aurora provisioning correctness (IaC)</w:t>
            </w:r>
          </w:p>
        </w:tc>
        <w:tc>
          <w:tcPr>
            <w:tcW w:type="dxa" w:w="7013"/>
          </w:tcPr>
          <w:p>
            <w:r/>
            <w:r>
              <w:rPr>
                <w:sz w:val="17"/>
              </w:rPr>
              <w:t>Platform team (SIT consumes their validation evidence)</w:t>
            </w:r>
          </w:p>
        </w:tc>
      </w:tr>
      <w:tr>
        <w:tc>
          <w:tcPr>
            <w:tcW w:type="dxa" w:w="7013"/>
          </w:tcPr>
          <w:p>
            <w:r/>
            <w:r>
              <w:rPr>
                <w:sz w:val="17"/>
              </w:rPr>
              <w:t>HUBDAM purging performance (DAPS-PurgingPerformanceTests, HUBDAM-5827)</w:t>
            </w:r>
          </w:p>
        </w:tc>
        <w:tc>
          <w:tcPr>
            <w:tcW w:type="dxa" w:w="7013"/>
          </w:tcPr>
          <w:p>
            <w:r/>
            <w:r>
              <w:rPr>
                <w:sz w:val="17"/>
              </w:rPr>
              <w:t>SPT</w:t>
            </w:r>
          </w:p>
        </w:tc>
      </w:tr>
      <w:tr>
        <w:tc>
          <w:tcPr>
            <w:tcW w:type="dxa" w:w="7013"/>
          </w:tcPr>
          <w:p>
            <w:r/>
            <w:r>
              <w:rPr>
                <w:sz w:val="17"/>
              </w:rPr>
              <w:t>Signal B participant concurrency and throughput</w:t>
            </w:r>
          </w:p>
        </w:tc>
        <w:tc>
          <w:tcPr>
            <w:tcW w:type="dxa" w:w="7013"/>
          </w:tcPr>
          <w:p>
            <w:r/>
            <w:r>
              <w:rPr>
                <w:sz w:val="17"/>
              </w:rPr>
              <w:t>SPT</w:t>
            </w:r>
          </w:p>
        </w:tc>
      </w:tr>
    </w:tbl>
    <w:p/>
    <w:p>
      <w:pPr>
        <w:pStyle w:val="Heading2"/>
      </w:pPr>
      <w:r>
        <w:t>3.4 Existing automated suites (starting point)</w:t>
      </w:r>
    </w:p>
    <w:tbl>
      <w:tblPr>
        <w:tblStyle w:val="TableGrid"/>
        <w:tblW w:type="auto" w:w="0"/>
        <w:tblLook w:firstColumn="1" w:firstRow="1" w:lastColumn="0" w:lastRow="0" w:noHBand="0" w:noVBand="1" w:val="04A0"/>
      </w:tblPr>
      <w:tblGrid>
        <w:gridCol w:w="3506"/>
        <w:gridCol w:w="3506"/>
        <w:gridCol w:w="3506"/>
        <w:gridCol w:w="3506"/>
      </w:tblGrid>
      <w:tr>
        <w:tc>
          <w:tcPr>
            <w:tcW w:type="dxa" w:w="3506"/>
            <w:shd w:val="clear" w:color="auto" w:fill="F4F5F7"/>
          </w:tcPr>
          <w:p>
            <w:r/>
            <w:r>
              <w:rPr>
                <w:b/>
                <w:sz w:val="17"/>
              </w:rPr>
              <w:t>Suite</w:t>
            </w:r>
          </w:p>
        </w:tc>
        <w:tc>
          <w:tcPr>
            <w:tcW w:type="dxa" w:w="3506"/>
            <w:shd w:val="clear" w:color="auto" w:fill="F4F5F7"/>
          </w:tcPr>
          <w:p>
            <w:r/>
            <w:r>
              <w:rPr>
                <w:b/>
                <w:sz w:val="17"/>
              </w:rPr>
              <w:t>Feature files</w:t>
            </w:r>
          </w:p>
        </w:tc>
        <w:tc>
          <w:tcPr>
            <w:tcW w:type="dxa" w:w="3506"/>
            <w:shd w:val="clear" w:color="auto" w:fill="F4F5F7"/>
          </w:tcPr>
          <w:p>
            <w:r/>
            <w:r>
              <w:rPr>
                <w:b/>
                <w:sz w:val="17"/>
              </w:rPr>
              <w:t>What it tests today</w:t>
            </w:r>
          </w:p>
        </w:tc>
        <w:tc>
          <w:tcPr>
            <w:tcW w:type="dxa" w:w="3506"/>
            <w:shd w:val="clear" w:color="auto" w:fill="F4F5F7"/>
          </w:tcPr>
          <w:p>
            <w:r/>
            <w:r>
              <w:rPr>
                <w:b/>
                <w:sz w:val="17"/>
              </w:rPr>
              <w:t>In default CI run?</w:t>
            </w:r>
          </w:p>
        </w:tc>
      </w:tr>
      <w:tr>
        <w:tc>
          <w:tcPr>
            <w:tcW w:type="dxa" w:w="3506"/>
          </w:tcPr>
          <w:p>
            <w:r/>
            <w:r>
              <w:rPr>
                <w:sz w:val="17"/>
              </w:rPr>
              <w:t>D01</w:t>
            </w:r>
          </w:p>
        </w:tc>
        <w:tc>
          <w:tcPr>
            <w:tcW w:type="dxa" w:w="3506"/>
          </w:tcPr>
          <w:p>
            <w:r/>
            <w:r>
              <w:rPr>
                <w:sz w:val="17"/>
              </w:rPr>
              <w:t>31</w:t>
            </w:r>
          </w:p>
        </w:tc>
        <w:tc>
          <w:tcPr>
            <w:tcW w:type="dxa" w:w="3506"/>
          </w:tcPr>
          <w:p>
            <w:r/>
            <w:r>
              <w:rPr>
                <w:sz w:val="17"/>
              </w:rPr>
              <w:t>Instrument lifecycle, ASX Trade updates, valuation/best price, equity and fixed interest, rollover, reconstruction, code change, IB/QK/QY sorting, schedules, traceability, quote init</w:t>
            </w:r>
          </w:p>
        </w:tc>
        <w:tc>
          <w:tcPr>
            <w:tcW w:type="dxa" w:w="3506"/>
          </w:tcPr>
          <w:p>
            <w:r/>
            <w:r>
              <w:rPr>
                <w:sz w:val="17"/>
              </w:rPr>
              <w:t>Yes</w:t>
            </w:r>
          </w:p>
        </w:tc>
      </w:tr>
      <w:tr>
        <w:tc>
          <w:tcPr>
            <w:tcW w:type="dxa" w:w="3506"/>
          </w:tcPr>
          <w:p>
            <w:r/>
            <w:r>
              <w:rPr>
                <w:sz w:val="17"/>
              </w:rPr>
              <w:t>D04</w:t>
            </w:r>
          </w:p>
        </w:tc>
        <w:tc>
          <w:tcPr>
            <w:tcW w:type="dxa" w:w="3506"/>
          </w:tcPr>
          <w:p>
            <w:r/>
            <w:r>
              <w:rPr>
                <w:sz w:val="17"/>
              </w:rPr>
              <w:t>5</w:t>
            </w:r>
          </w:p>
        </w:tc>
        <w:tc>
          <w:tcPr>
            <w:tcW w:type="dxa" w:w="3506"/>
          </w:tcPr>
          <w:p>
            <w:r/>
            <w:r>
              <w:rPr>
                <w:sz w:val="17"/>
              </w:rPr>
              <w:t>D04 at multiple times; TOB vs NTQuote latest message; TOB reject windows</w:t>
            </w:r>
          </w:p>
        </w:tc>
        <w:tc>
          <w:tcPr>
            <w:tcW w:type="dxa" w:w="3506"/>
          </w:tcPr>
          <w:p>
            <w:r/>
            <w:r>
              <w:rPr>
                <w:sz w:val="17"/>
              </w:rPr>
              <w:t>Partly (2 are @manual)</w:t>
            </w:r>
          </w:p>
        </w:tc>
      </w:tr>
      <w:tr>
        <w:tc>
          <w:tcPr>
            <w:tcW w:type="dxa" w:w="3506"/>
          </w:tcPr>
          <w:p>
            <w:r/>
            <w:r>
              <w:rPr>
                <w:sz w:val="17"/>
              </w:rPr>
              <w:t>D33</w:t>
            </w:r>
          </w:p>
        </w:tc>
        <w:tc>
          <w:tcPr>
            <w:tcW w:type="dxa" w:w="3506"/>
          </w:tcPr>
          <w:p>
            <w:r/>
            <w:r>
              <w:rPr>
                <w:sz w:val="17"/>
              </w:rPr>
              <w:t>7</w:t>
            </w:r>
          </w:p>
        </w:tc>
        <w:tc>
          <w:tcPr>
            <w:tcW w:type="dxa" w:w="3506"/>
          </w:tcPr>
          <w:p>
            <w:r/>
            <w:r>
              <w:rPr>
                <w:sz w:val="17"/>
              </w:rPr>
              <w:t>IC CSV smoke, format, index-code sorting, S&amp;P, horizontal recon</w:t>
            </w:r>
          </w:p>
        </w:tc>
        <w:tc>
          <w:tcPr>
            <w:tcW w:type="dxa" w:w="3506"/>
          </w:tcPr>
          <w:p>
            <w:r/>
            <w:r>
              <w:rPr>
                <w:sz w:val="17"/>
              </w:rPr>
              <w:t>Partly (D33-003 @manual)</w:t>
            </w:r>
          </w:p>
        </w:tc>
      </w:tr>
      <w:tr>
        <w:tc>
          <w:tcPr>
            <w:tcW w:type="dxa" w:w="3506"/>
          </w:tcPr>
          <w:p>
            <w:r/>
            <w:r>
              <w:rPr>
                <w:sz w:val="17"/>
              </w:rPr>
              <w:t>D06</w:t>
            </w:r>
          </w:p>
        </w:tc>
        <w:tc>
          <w:tcPr>
            <w:tcW w:type="dxa" w:w="3506"/>
          </w:tcPr>
          <w:p>
            <w:r/>
            <w:r>
              <w:rPr>
                <w:sz w:val="17"/>
              </w:rPr>
              <w:t>4</w:t>
            </w:r>
          </w:p>
        </w:tc>
        <w:tc>
          <w:tcPr>
            <w:tcW w:type="dxa" w:w="3506"/>
          </w:tcPr>
          <w:p>
            <w:r/>
            <w:r>
              <w:rPr>
                <w:sz w:val="17"/>
              </w:rPr>
              <w:t>Day1/Day2 input, report generation, horizontal recon</w:t>
            </w:r>
          </w:p>
        </w:tc>
        <w:tc>
          <w:tcPr>
            <w:tcW w:type="dxa" w:w="3506"/>
          </w:tcPr>
          <w:p>
            <w:r/>
            <w:r>
              <w:rPr>
                <w:sz w:val="17"/>
              </w:rPr>
              <w:t>Partly (recon @manual)</w:t>
            </w:r>
          </w:p>
        </w:tc>
      </w:tr>
      <w:tr>
        <w:tc>
          <w:tcPr>
            <w:tcW w:type="dxa" w:w="3506"/>
          </w:tcPr>
          <w:p>
            <w:r/>
            <w:r>
              <w:rPr>
                <w:sz w:val="17"/>
              </w:rPr>
              <w:t>E03</w:t>
            </w:r>
          </w:p>
        </w:tc>
        <w:tc>
          <w:tcPr>
            <w:tcW w:type="dxa" w:w="3506"/>
          </w:tcPr>
          <w:p>
            <w:r/>
            <w:r>
              <w:rPr>
                <w:sz w:val="17"/>
              </w:rPr>
              <w:t>3</w:t>
            </w:r>
          </w:p>
        </w:tc>
        <w:tc>
          <w:tcPr>
            <w:tcW w:type="dxa" w:w="3506"/>
          </w:tcPr>
          <w:p>
            <w:r/>
            <w:r>
              <w:rPr>
                <w:sz w:val="17"/>
              </w:rPr>
              <w:t>New and existing instruments; horizontal recon</w:t>
            </w:r>
          </w:p>
        </w:tc>
        <w:tc>
          <w:tcPr>
            <w:tcW w:type="dxa" w:w="3506"/>
          </w:tcPr>
          <w:p>
            <w:r/>
            <w:r>
              <w:rPr>
                <w:sz w:val="17"/>
              </w:rPr>
              <w:t>Partly (E03-003 @manual)</w:t>
            </w:r>
          </w:p>
        </w:tc>
      </w:tr>
      <w:tr>
        <w:tc>
          <w:tcPr>
            <w:tcW w:type="dxa" w:w="3506"/>
          </w:tcPr>
          <w:p>
            <w:r/>
            <w:r>
              <w:rPr>
                <w:sz w:val="17"/>
              </w:rPr>
              <w:t>Corporate actions</w:t>
            </w:r>
          </w:p>
        </w:tc>
        <w:tc>
          <w:tcPr>
            <w:tcW w:type="dxa" w:w="3506"/>
          </w:tcPr>
          <w:p>
            <w:r/>
            <w:r>
              <w:rPr>
                <w:sz w:val="17"/>
              </w:rPr>
              <w:t>16</w:t>
            </w:r>
          </w:p>
        </w:tc>
        <w:tc>
          <w:tcPr>
            <w:tcW w:type="dxa" w:w="3506"/>
          </w:tcPr>
          <w:p>
            <w:r/>
            <w:r>
              <w:rPr>
                <w:sz w:val="17"/>
              </w:rPr>
              <w:t>Code change, rollover, reconstruction Day1–7, SOD / quote-init / EOD triggers</w:t>
            </w:r>
          </w:p>
        </w:tc>
        <w:tc>
          <w:tcPr>
            <w:tcW w:type="dxa" w:w="3506"/>
          </w:tcPr>
          <w:p>
            <w:r/>
            <w:r>
              <w:rPr>
                <w:sz w:val="17"/>
              </w:rPr>
              <w:t>Yes</w:t>
            </w:r>
          </w:p>
        </w:tc>
      </w:tr>
      <w:tr>
        <w:tc>
          <w:tcPr>
            <w:tcW w:type="dxa" w:w="3506"/>
          </w:tcPr>
          <w:p>
            <w:r/>
            <w:r>
              <w:rPr>
                <w:sz w:val="17"/>
              </w:rPr>
              <w:t>HUBDAM (DAS/DAPS)</w:t>
            </w:r>
          </w:p>
        </w:tc>
        <w:tc>
          <w:tcPr>
            <w:tcW w:type="dxa" w:w="3506"/>
          </w:tcPr>
          <w:p>
            <w:r/>
            <w:r>
              <w:rPr>
                <w:sz w:val="17"/>
              </w:rPr>
              <w:t>22</w:t>
            </w:r>
          </w:p>
        </w:tc>
        <w:tc>
          <w:tcPr>
            <w:tcW w:type="dxa" w:w="3506"/>
          </w:tcPr>
          <w:p>
            <w:r/>
            <w:r>
              <w:rPr>
                <w:sz w:val="17"/>
              </w:rPr>
              <w:t>Per-message-type archive (Quote, Trade, Instrument, IndexPrice, TopOfBook, NTQuote variants, CorporateAction, Participant, MarketStatistic…) + purging (functional and performance)</w:t>
            </w:r>
          </w:p>
        </w:tc>
        <w:tc>
          <w:tcPr>
            <w:tcW w:type="dxa" w:w="3506"/>
          </w:tcPr>
          <w:p>
            <w:r/>
            <w:r>
              <w:rPr>
                <w:b/>
                <w:sz w:val="17"/>
              </w:rPr>
              <w:t>No: excluded by the default filter `not @hubdam-data-archive`</w:t>
            </w:r>
          </w:p>
        </w:tc>
      </w:tr>
      <w:tr>
        <w:tc>
          <w:tcPr>
            <w:tcW w:type="dxa" w:w="3506"/>
          </w:tcPr>
          <w:p>
            <w:r/>
            <w:r>
              <w:rPr>
                <w:sz w:val="17"/>
              </w:rPr>
              <w:t>CSBT</w:t>
            </w:r>
          </w:p>
        </w:tc>
        <w:tc>
          <w:tcPr>
            <w:tcW w:type="dxa" w:w="3506"/>
          </w:tcPr>
          <w:p>
            <w:r/>
            <w:r>
              <w:rPr>
                <w:sz w:val="17"/>
              </w:rPr>
              <w:t>3</w:t>
            </w:r>
          </w:p>
        </w:tc>
        <w:tc>
          <w:tcPr>
            <w:tcW w:type="dxa" w:w="3506"/>
          </w:tcPr>
          <w:p>
            <w:r/>
            <w:r>
              <w:rPr>
                <w:sz w:val="17"/>
              </w:rPr>
              <w:t>Course of Sales and Broker Trade per instrument group + recon</w:t>
            </w:r>
          </w:p>
        </w:tc>
        <w:tc>
          <w:tcPr>
            <w:tcW w:type="dxa" w:w="3506"/>
          </w:tcPr>
          <w:p>
            <w:r/>
            <w:r>
              <w:rPr>
                <w:sz w:val="17"/>
              </w:rPr>
              <w:t>Yes</w:t>
            </w:r>
          </w:p>
        </w:tc>
      </w:tr>
      <w:tr>
        <w:tc>
          <w:tcPr>
            <w:tcW w:type="dxa" w:w="3506"/>
          </w:tcPr>
          <w:p>
            <w:r/>
            <w:r>
              <w:rPr>
                <w:sz w:val="17"/>
              </w:rPr>
              <w:t>Multi-day root</w:t>
            </w:r>
          </w:p>
        </w:tc>
        <w:tc>
          <w:tcPr>
            <w:tcW w:type="dxa" w:w="3506"/>
          </w:tcPr>
          <w:p>
            <w:r/>
            <w:r>
              <w:rPr>
                <w:sz w:val="17"/>
              </w:rPr>
              <w:t>2</w:t>
            </w:r>
          </w:p>
        </w:tc>
        <w:tc>
          <w:tcPr>
            <w:tcW w:type="dxa" w:w="3506"/>
          </w:tcPr>
          <w:p>
            <w:r/>
            <w:r>
              <w:rPr>
                <w:sz w:val="17"/>
              </w:rPr>
              <w:t>Day1/Day2 D01/D04/E03 valuation-price setup</w:t>
            </w:r>
          </w:p>
        </w:tc>
        <w:tc>
          <w:tcPr>
            <w:tcW w:type="dxa" w:w="3506"/>
          </w:tcPr>
          <w:p>
            <w:r/>
            <w:r>
              <w:rPr>
                <w:sz w:val="17"/>
              </w:rPr>
              <w:t>Yes</w:t>
            </w:r>
          </w:p>
        </w:tc>
      </w:tr>
      <w:tr>
        <w:tc>
          <w:tcPr>
            <w:tcW w:type="dxa" w:w="3506"/>
          </w:tcPr>
          <w:p>
            <w:r/>
            <w:r>
              <w:rPr>
                <w:sz w:val="17"/>
              </w:rPr>
              <w:t>Quote summary enrichment</w:t>
            </w:r>
          </w:p>
        </w:tc>
        <w:tc>
          <w:tcPr>
            <w:tcW w:type="dxa" w:w="3506"/>
          </w:tcPr>
          <w:p>
            <w:r/>
            <w:r>
              <w:rPr>
                <w:sz w:val="17"/>
              </w:rPr>
              <w:t>3</w:t>
            </w:r>
          </w:p>
        </w:tc>
        <w:tc>
          <w:tcPr>
            <w:tcW w:type="dxa" w:w="3506"/>
          </w:tcPr>
          <w:p>
            <w:r/>
            <w:r>
              <w:rPr>
                <w:sz w:val="17"/>
              </w:rPr>
              <w:t>AC1–AC8 functional, multi-day/restart, Gatling performance</w:t>
            </w:r>
          </w:p>
        </w:tc>
        <w:tc>
          <w:tcPr>
            <w:tcW w:type="dxa" w:w="3506"/>
          </w:tcPr>
          <w:p>
            <w:r/>
            <w:r>
              <w:rPr>
                <w:sz w:val="17"/>
              </w:rPr>
              <w:t>Confirm runner</w:t>
            </w:r>
          </w:p>
        </w:tc>
      </w:tr>
      <w:tr>
        <w:tc>
          <w:tcPr>
            <w:tcW w:type="dxa" w:w="3506"/>
          </w:tcPr>
          <w:p>
            <w:r/>
            <w:r>
              <w:rPr>
                <w:b/>
                <w:sz w:val="17"/>
              </w:rPr>
              <w:t>Signal B</w:t>
            </w:r>
          </w:p>
        </w:tc>
        <w:tc>
          <w:tcPr>
            <w:tcW w:type="dxa" w:w="3506"/>
          </w:tcPr>
          <w:p>
            <w:r/>
            <w:r>
              <w:rPr>
                <w:sz w:val="17"/>
              </w:rPr>
              <w:t>6</w:t>
            </w:r>
          </w:p>
        </w:tc>
        <w:tc>
          <w:tcPr>
            <w:tcW w:type="dxa" w:w="3506"/>
          </w:tcPr>
          <w:p>
            <w:r/>
            <w:r>
              <w:rPr>
                <w:sz w:val="17"/>
              </w:rPr>
              <w:t>Multi-participant TCR, adapter retransmission, ForgeRock FIX auth, adapter rejects, processor rejects, full E2E</w:t>
            </w:r>
          </w:p>
        </w:tc>
        <w:tc>
          <w:tcPr>
            <w:tcW w:type="dxa" w:w="3506"/>
          </w:tcPr>
          <w:p>
            <w:r/>
            <w:r>
              <w:rPr>
                <w:sz w:val="17"/>
              </w:rPr>
              <w:t>Partly (E2E not in CI; poison-topic assertion commented out)</w:t>
            </w:r>
          </w:p>
        </w:tc>
      </w:tr>
    </w:tbl>
    <w:p/>
    <w:p>
      <w:pPr>
        <w:pStyle w:val="Heading1"/>
      </w:pPr>
      <w:r>
        <w:t>4. System under test: AWS platform</w:t>
      </w:r>
    </w:p>
    <w:p>
      <w:r>
        <w:t xml:space="preserve">Values below come from </w:t>
      </w:r>
      <w:r>
        <w:rPr>
          <w:b/>
        </w:rPr>
        <w:t>Hubble AWS – Dev</w:t>
      </w:r>
      <w:r>
        <w:t>. The SIT environment values (account, cluster and DB names) are to be confirmed; see section 18.</w:t>
      </w:r>
    </w:p>
    <w:p>
      <w:pPr>
        <w:pStyle w:val="Heading2"/>
      </w:pPr>
      <w:r>
        <w:t>4.1 EKS</w:t>
      </w:r>
    </w:p>
    <w:tbl>
      <w:tblPr>
        <w:tblStyle w:val="TableGrid"/>
        <w:tblW w:type="auto" w:w="0"/>
        <w:tblLook w:firstColumn="1" w:firstRow="1" w:lastColumn="0" w:lastRow="0" w:noHBand="0" w:noVBand="1" w:val="04A0"/>
      </w:tblPr>
      <w:tblGrid>
        <w:gridCol w:w="4675"/>
        <w:gridCol w:w="4675"/>
        <w:gridCol w:w="4675"/>
      </w:tblGrid>
      <w:tr>
        <w:tc>
          <w:tcPr>
            <w:tcW w:type="dxa" w:w="4675"/>
            <w:shd w:val="clear" w:color="auto" w:fill="F4F5F7"/>
          </w:tcPr>
          <w:p>
            <w:r/>
            <w:r>
              <w:rPr>
                <w:b/>
                <w:sz w:val="17"/>
              </w:rPr>
              <w:t>Item</w:t>
            </w:r>
          </w:p>
        </w:tc>
        <w:tc>
          <w:tcPr>
            <w:tcW w:type="dxa" w:w="4675"/>
            <w:shd w:val="clear" w:color="auto" w:fill="F4F5F7"/>
          </w:tcPr>
          <w:p>
            <w:r/>
            <w:r>
              <w:rPr>
                <w:b/>
                <w:sz w:val="17"/>
              </w:rPr>
              <w:t>Dev (reference)</w:t>
            </w:r>
          </w:p>
        </w:tc>
        <w:tc>
          <w:tcPr>
            <w:tcW w:type="dxa" w:w="4675"/>
            <w:shd w:val="clear" w:color="auto" w:fill="F4F5F7"/>
          </w:tcPr>
          <w:p>
            <w:r/>
            <w:r>
              <w:rPr>
                <w:b/>
                <w:sz w:val="17"/>
              </w:rPr>
              <w:t>SIT (to confirm)</w:t>
            </w:r>
          </w:p>
        </w:tc>
      </w:tr>
      <w:tr>
        <w:tc>
          <w:tcPr>
            <w:tcW w:type="dxa" w:w="4675"/>
          </w:tcPr>
          <w:p>
            <w:r/>
            <w:r>
              <w:rPr>
                <w:sz w:val="17"/>
              </w:rPr>
              <w:t>AWS account</w:t>
            </w:r>
          </w:p>
        </w:tc>
        <w:tc>
          <w:tcPr>
            <w:tcW w:type="dxa" w:w="4675"/>
          </w:tcPr>
          <w:p>
            <w:r/>
            <w:r>
              <w:rPr>
                <w:sz w:val="17"/>
              </w:rPr>
              <w:t>datainthub-dev</w:t>
            </w:r>
          </w:p>
        </w:tc>
        <w:tc>
          <w:tcPr>
            <w:tcW w:type="dxa" w:w="4675"/>
          </w:tcPr>
          <w:p>
            <w:r/>
            <w:r>
              <w:rPr>
                <w:sz w:val="17"/>
              </w:rPr>
              <w:t>datainthub-npd (assumed)</w:t>
            </w:r>
          </w:p>
        </w:tc>
      </w:tr>
      <w:tr>
        <w:tc>
          <w:tcPr>
            <w:tcW w:type="dxa" w:w="4675"/>
          </w:tcPr>
          <w:p>
            <w:r/>
            <w:r>
              <w:rPr>
                <w:sz w:val="17"/>
              </w:rPr>
              <w:t>EKS cluster</w:t>
            </w:r>
          </w:p>
        </w:tc>
        <w:tc>
          <w:tcPr>
            <w:tcW w:type="dxa" w:w="4675"/>
          </w:tcPr>
          <w:p>
            <w:r/>
            <w:r>
              <w:rPr>
                <w:sz w:val="17"/>
              </w:rPr>
              <w:t>hubble-dev-blue / hubble-dev-green</w:t>
            </w:r>
          </w:p>
        </w:tc>
        <w:tc>
          <w:tcPr>
            <w:tcW w:type="dxa" w:w="4675"/>
          </w:tcPr>
          <w:p>
            <w:r/>
            <w:r>
              <w:rPr>
                <w:sz w:val="17"/>
              </w:rPr>
              <w:t>hubble-npd-blue/green (assumed)</w:t>
            </w:r>
          </w:p>
        </w:tc>
      </w:tr>
      <w:tr>
        <w:tc>
          <w:tcPr>
            <w:tcW w:type="dxa" w:w="4675"/>
          </w:tcPr>
          <w:p>
            <w:r/>
            <w:r>
              <w:rPr>
                <w:sz w:val="17"/>
              </w:rPr>
              <w:t>Namespace</w:t>
            </w:r>
          </w:p>
        </w:tc>
        <w:tc>
          <w:tcPr>
            <w:tcW w:type="dxa" w:w="4675"/>
          </w:tcPr>
          <w:p>
            <w:r/>
            <w:r>
              <w:rPr>
                <w:sz w:val="17"/>
              </w:rPr>
              <w:t>hubble</w:t>
            </w:r>
          </w:p>
        </w:tc>
        <w:tc>
          <w:tcPr>
            <w:tcW w:type="dxa" w:w="4675"/>
          </w:tcPr>
          <w:p>
            <w:r/>
            <w:r>
              <w:rPr>
                <w:sz w:val="17"/>
              </w:rPr>
              <w:t>hubble</w:t>
            </w:r>
          </w:p>
        </w:tc>
      </w:tr>
      <w:tr>
        <w:tc>
          <w:tcPr>
            <w:tcW w:type="dxa" w:w="4675"/>
          </w:tcPr>
          <w:p>
            <w:r/>
            <w:r>
              <w:rPr>
                <w:sz w:val="17"/>
              </w:rPr>
              <w:t>VPC / CIDR</w:t>
            </w:r>
          </w:p>
        </w:tc>
        <w:tc>
          <w:tcPr>
            <w:tcW w:type="dxa" w:w="4675"/>
          </w:tcPr>
          <w:p>
            <w:r/>
            <w:r>
              <w:rPr>
                <w:sz w:val="17"/>
              </w:rPr>
              <w:t>vpc1 (Syd), 10.74.136.0/23</w:t>
            </w:r>
          </w:p>
        </w:tc>
        <w:tc>
          <w:tcPr>
            <w:tcW w:type="dxa" w:w="4675"/>
          </w:tcPr>
          <w:p>
            <w:r/>
            <w:r>
              <w:rPr>
                <w:sz w:val="17"/>
              </w:rPr>
              <w:t>TBC</w:t>
            </w:r>
          </w:p>
        </w:tc>
      </w:tr>
      <w:tr>
        <w:tc>
          <w:tcPr>
            <w:tcW w:type="dxa" w:w="4675"/>
          </w:tcPr>
          <w:p>
            <w:r/>
            <w:r>
              <w:rPr>
                <w:sz w:val="17"/>
              </w:rPr>
              <w:t>Tags</w:t>
            </w:r>
          </w:p>
        </w:tc>
        <w:tc>
          <w:tcPr>
            <w:tcW w:type="dxa" w:w="4675"/>
          </w:tcPr>
          <w:p>
            <w:r/>
            <w:r>
              <w:rPr>
                <w:sz w:val="17"/>
              </w:rPr>
              <w:t>asx_application=Hubble Platform, asx_environment=Dev, asx_data_classification=Protected, eks_karpenter=true</w:t>
            </w:r>
          </w:p>
        </w:tc>
        <w:tc>
          <w:tcPr>
            <w:tcW w:type="dxa" w:w="4675"/>
          </w:tcPr>
          <w:p>
            <w:r/>
            <w:r>
              <w:rPr>
                <w:sz w:val="17"/>
              </w:rPr>
              <w:t>TBC</w:t>
            </w:r>
          </w:p>
        </w:tc>
      </w:tr>
      <w:tr>
        <w:tc>
          <w:tcPr>
            <w:tcW w:type="dxa" w:w="4675"/>
          </w:tcPr>
          <w:p>
            <w:r/>
            <w:r>
              <w:rPr>
                <w:sz w:val="17"/>
              </w:rPr>
              <w:t>Node groups</w:t>
            </w:r>
          </w:p>
        </w:tc>
        <w:tc>
          <w:tcPr>
            <w:tcW w:type="dxa" w:w="4675"/>
          </w:tcPr>
          <w:p>
            <w:r/>
            <w:r>
              <w:rPr>
                <w:sz w:val="17"/>
              </w:rPr>
              <w:t>hub-apps-az1 / az2 / az3 (2 nodes each, min=max=desired=2)</w:t>
            </w:r>
          </w:p>
        </w:tc>
        <w:tc>
          <w:tcPr>
            <w:tcW w:type="dxa" w:w="4675"/>
          </w:tcPr>
          <w:p>
            <w:r/>
            <w:r>
              <w:rPr>
                <w:sz w:val="17"/>
              </w:rPr>
              <w:t>TBC</w:t>
            </w:r>
          </w:p>
        </w:tc>
      </w:tr>
      <w:tr>
        <w:tc>
          <w:tcPr>
            <w:tcW w:type="dxa" w:w="4675"/>
          </w:tcPr>
          <w:p>
            <w:r/>
            <w:r>
              <w:rPr>
                <w:sz w:val="17"/>
              </w:rPr>
              <w:t>Node type</w:t>
            </w:r>
          </w:p>
        </w:tc>
        <w:tc>
          <w:tcPr>
            <w:tcW w:type="dxa" w:w="4675"/>
          </w:tcPr>
          <w:p>
            <w:r/>
            <w:r>
              <w:rPr>
                <w:sz w:val="17"/>
              </w:rPr>
              <w:t xml:space="preserve">m7g.2xlarge (8 vCPU, 32 GB, </w:t>
            </w:r>
            <w:r>
              <w:rPr>
                <w:b/>
                <w:sz w:val="17"/>
              </w:rPr>
              <w:t>Graviton / arm64</w:t>
            </w:r>
            <w:r>
              <w:rPr>
                <w:sz w:val="17"/>
              </w:rPr>
              <w:t>), routed subnet</w:t>
            </w:r>
          </w:p>
        </w:tc>
        <w:tc>
          <w:tcPr>
            <w:tcW w:type="dxa" w:w="4675"/>
          </w:tcPr>
          <w:p>
            <w:r/>
            <w:r>
              <w:rPr>
                <w:sz w:val="17"/>
              </w:rPr>
              <w:t>TBC</w:t>
            </w:r>
          </w:p>
        </w:tc>
      </w:tr>
      <w:tr>
        <w:tc>
          <w:tcPr>
            <w:tcW w:type="dxa" w:w="4675"/>
          </w:tcPr>
          <w:p>
            <w:r/>
            <w:r>
              <w:rPr>
                <w:sz w:val="17"/>
              </w:rPr>
              <w:t>Taint</w:t>
            </w:r>
          </w:p>
        </w:tc>
        <w:tc>
          <w:tcPr>
            <w:tcW w:type="dxa" w:w="4675"/>
          </w:tcPr>
          <w:p>
            <w:r/>
            <w:r>
              <w:rPr>
                <w:sz w:val="17"/>
              </w:rPr>
              <w:t>node-group=hub-apps:NoSchedule</w:t>
            </w:r>
          </w:p>
        </w:tc>
        <w:tc>
          <w:tcPr>
            <w:tcW w:type="dxa" w:w="4675"/>
          </w:tcPr>
          <w:p>
            <w:r/>
            <w:r>
              <w:rPr>
                <w:sz w:val="17"/>
              </w:rPr>
              <w:t>same</w:t>
            </w:r>
          </w:p>
        </w:tc>
      </w:tr>
      <w:tr>
        <w:tc>
          <w:tcPr>
            <w:tcW w:type="dxa" w:w="4675"/>
          </w:tcPr>
          <w:p>
            <w:r/>
            <w:r>
              <w:rPr>
                <w:sz w:val="17"/>
              </w:rPr>
              <w:t>Labels</w:t>
            </w:r>
          </w:p>
        </w:tc>
        <w:tc>
          <w:tcPr>
            <w:tcW w:type="dxa" w:w="4675"/>
          </w:tcPr>
          <w:p>
            <w:r/>
            <w:r>
              <w:rPr>
                <w:sz w:val="17"/>
              </w:rPr>
              <w:t>app=hubble-applications, node-az=hub-apps-azN</w:t>
            </w:r>
          </w:p>
        </w:tc>
        <w:tc>
          <w:tcPr>
            <w:tcW w:type="dxa" w:w="4675"/>
          </w:tcPr>
          <w:p>
            <w:r/>
            <w:r>
              <w:rPr>
                <w:sz w:val="17"/>
              </w:rPr>
              <w:t>same</w:t>
            </w:r>
          </w:p>
        </w:tc>
      </w:tr>
      <w:tr>
        <w:tc>
          <w:tcPr>
            <w:tcW w:type="dxa" w:w="4675"/>
          </w:tcPr>
          <w:p>
            <w:r/>
            <w:r>
              <w:rPr>
                <w:sz w:val="17"/>
              </w:rPr>
              <w:t>Resource limits</w:t>
            </w:r>
          </w:p>
        </w:tc>
        <w:tc>
          <w:tcPr>
            <w:tcW w:type="dxa" w:w="4675"/>
          </w:tcPr>
          <w:p>
            <w:r/>
            <w:r>
              <w:rPr>
                <w:sz w:val="17"/>
              </w:rPr>
              <w:t>per the Service Resource Limits page</w:t>
            </w:r>
          </w:p>
        </w:tc>
        <w:tc>
          <w:tcPr>
            <w:tcW w:type="dxa" w:w="4675"/>
          </w:tcPr>
          <w:p>
            <w:r/>
            <w:r>
              <w:rPr>
                <w:sz w:val="17"/>
              </w:rPr>
              <w:t>same</w:t>
            </w:r>
          </w:p>
        </w:tc>
      </w:tr>
    </w:tbl>
    <w:p/>
    <w:p>
      <w:pPr>
        <w:pStyle w:val="Heading2"/>
      </w:pPr>
      <w:r>
        <w:t>4.2 Devdmz (SignalB edge)</w:t>
      </w:r>
    </w:p>
    <w:tbl>
      <w:tblPr>
        <w:tblStyle w:val="TableGrid"/>
        <w:tblW w:type="auto" w:w="0"/>
        <w:tblLook w:firstColumn="1" w:firstRow="1" w:lastColumn="0" w:lastRow="0" w:noHBand="0" w:noVBand="1" w:val="04A0"/>
      </w:tblPr>
      <w:tblGrid>
        <w:gridCol w:w="7013"/>
        <w:gridCol w:w="7013"/>
      </w:tblGrid>
      <w:tr>
        <w:tc>
          <w:tcPr>
            <w:tcW w:type="dxa" w:w="7013"/>
            <w:shd w:val="clear" w:color="auto" w:fill="F4F5F7"/>
          </w:tcPr>
          <w:p>
            <w:r/>
            <w:r>
              <w:rPr>
                <w:b/>
                <w:sz w:val="17"/>
              </w:rPr>
              <w:t>Item</w:t>
            </w:r>
          </w:p>
        </w:tc>
        <w:tc>
          <w:tcPr>
            <w:tcW w:type="dxa" w:w="7013"/>
            <w:shd w:val="clear" w:color="auto" w:fill="F4F5F7"/>
          </w:tcPr>
          <w:p>
            <w:r/>
            <w:r>
              <w:rPr>
                <w:b/>
                <w:sz w:val="17"/>
              </w:rPr>
              <w:t>Value</w:t>
            </w:r>
          </w:p>
        </w:tc>
      </w:tr>
      <w:tr>
        <w:tc>
          <w:tcPr>
            <w:tcW w:type="dxa" w:w="7013"/>
          </w:tcPr>
          <w:p>
            <w:r/>
            <w:r>
              <w:rPr>
                <w:sz w:val="17"/>
              </w:rPr>
              <w:t>Account / cluster / namespace</w:t>
            </w:r>
          </w:p>
        </w:tc>
        <w:tc>
          <w:tcPr>
            <w:tcW w:type="dxa" w:w="7013"/>
          </w:tcPr>
          <w:p>
            <w:r/>
            <w:r>
              <w:rPr>
                <w:sz w:val="17"/>
              </w:rPr>
              <w:t>datainthub-devdmz · hubble-devdmz-blue/green · hubble</w:t>
            </w:r>
          </w:p>
        </w:tc>
      </w:tr>
      <w:tr>
        <w:tc>
          <w:tcPr>
            <w:tcW w:type="dxa" w:w="7013"/>
          </w:tcPr>
          <w:p>
            <w:r/>
            <w:r>
              <w:rPr>
                <w:sz w:val="17"/>
              </w:rPr>
              <w:t>CIDR</w:t>
            </w:r>
          </w:p>
        </w:tc>
        <w:tc>
          <w:tcPr>
            <w:tcW w:type="dxa" w:w="7013"/>
          </w:tcPr>
          <w:p>
            <w:r/>
            <w:r>
              <w:rPr>
                <w:sz w:val="17"/>
              </w:rPr>
              <w:t>10.76.104.0/23</w:t>
            </w:r>
          </w:p>
        </w:tc>
      </w:tr>
      <w:tr>
        <w:tc>
          <w:tcPr>
            <w:tcW w:type="dxa" w:w="7013"/>
          </w:tcPr>
          <w:p>
            <w:r/>
            <w:r>
              <w:rPr>
                <w:sz w:val="17"/>
              </w:rPr>
              <w:t>Ingress</w:t>
            </w:r>
          </w:p>
        </w:tc>
        <w:tc>
          <w:tcPr>
            <w:tcW w:type="dxa" w:w="7013"/>
          </w:tcPr>
          <w:p>
            <w:r/>
            <w:r>
              <w:rPr>
                <w:sz w:val="17"/>
              </w:rPr>
              <w:t>NLB for SignalB adaptor (FIX endpoint, port 4500); F5 endpoint AMOClient.signalb.aws.dev.asx.com.au</w:t>
            </w:r>
          </w:p>
        </w:tc>
      </w:tr>
      <w:tr>
        <w:tc>
          <w:tcPr>
            <w:tcW w:type="dxa" w:w="7013"/>
          </w:tcPr>
          <w:p>
            <w:r/>
            <w:r>
              <w:rPr>
                <w:sz w:val="17"/>
              </w:rPr>
              <w:t>Access</w:t>
            </w:r>
          </w:p>
        </w:tc>
        <w:tc>
          <w:tcPr>
            <w:tcW w:type="dxa" w:w="7013"/>
          </w:tcPr>
          <w:p>
            <w:r/>
            <w:r>
              <w:rPr>
                <w:sz w:val="17"/>
              </w:rPr>
              <w:t>Via zproxy:8083; the Ops VM subnet is in the master authorised network</w:t>
            </w:r>
          </w:p>
        </w:tc>
      </w:tr>
    </w:tbl>
    <w:p/>
    <w:p>
      <w:pPr>
        <w:pStyle w:val="Heading2"/>
      </w:pPr>
      <w:r>
        <w:t>4.3 Aurora PostgreSQL</w:t>
      </w:r>
    </w:p>
    <w:tbl>
      <w:tblPr>
        <w:tblStyle w:val="TableGrid"/>
        <w:tblW w:type="auto" w:w="0"/>
        <w:tblLook w:firstColumn="1" w:firstRow="1" w:lastColumn="0" w:lastRow="0" w:noHBand="0" w:noVBand="1" w:val="04A0"/>
      </w:tblPr>
      <w:tblGrid>
        <w:gridCol w:w="4675"/>
        <w:gridCol w:w="4675"/>
        <w:gridCol w:w="4675"/>
      </w:tblGrid>
      <w:tr>
        <w:tc>
          <w:tcPr>
            <w:tcW w:type="dxa" w:w="4675"/>
            <w:shd w:val="clear" w:color="auto" w:fill="F4F5F7"/>
          </w:tcPr>
          <w:p>
            <w:r/>
            <w:r>
              <w:rPr>
                <w:b/>
                <w:sz w:val="17"/>
              </w:rPr>
              <w:t>Item</w:t>
            </w:r>
          </w:p>
        </w:tc>
        <w:tc>
          <w:tcPr>
            <w:tcW w:type="dxa" w:w="4675"/>
            <w:shd w:val="clear" w:color="auto" w:fill="F4F5F7"/>
          </w:tcPr>
          <w:p>
            <w:r/>
            <w:r>
              <w:rPr>
                <w:b/>
                <w:sz w:val="17"/>
              </w:rPr>
              <w:t>Dev</w:t>
            </w:r>
          </w:p>
        </w:tc>
        <w:tc>
          <w:tcPr>
            <w:tcW w:type="dxa" w:w="4675"/>
            <w:shd w:val="clear" w:color="auto" w:fill="F4F5F7"/>
          </w:tcPr>
          <w:p>
            <w:r/>
            <w:r>
              <w:rPr>
                <w:b/>
                <w:sz w:val="17"/>
              </w:rPr>
              <w:t>NPD</w:t>
            </w:r>
          </w:p>
        </w:tc>
      </w:tr>
      <w:tr>
        <w:tc>
          <w:tcPr>
            <w:tcW w:type="dxa" w:w="4675"/>
          </w:tcPr>
          <w:p>
            <w:r/>
            <w:r>
              <w:rPr>
                <w:sz w:val="17"/>
              </w:rPr>
              <w:t>Cluster / DB</w:t>
            </w:r>
          </w:p>
        </w:tc>
        <w:tc>
          <w:tcPr>
            <w:tcW w:type="dxa" w:w="4675"/>
          </w:tcPr>
          <w:p>
            <w:r/>
            <w:r>
              <w:rPr>
                <w:sz w:val="17"/>
              </w:rPr>
              <w:t>hubdevdb01</w:t>
            </w:r>
          </w:p>
        </w:tc>
        <w:tc>
          <w:tcPr>
            <w:tcW w:type="dxa" w:w="4675"/>
          </w:tcPr>
          <w:p>
            <w:r/>
            <w:r>
              <w:rPr>
                <w:sz w:val="17"/>
              </w:rPr>
              <w:t>hubnpddb01</w:t>
            </w:r>
          </w:p>
        </w:tc>
      </w:tr>
      <w:tr>
        <w:tc>
          <w:tcPr>
            <w:tcW w:type="dxa" w:w="4675"/>
          </w:tcPr>
          <w:p>
            <w:r/>
            <w:r>
              <w:rPr>
                <w:sz w:val="17"/>
              </w:rPr>
              <w:t>Instance</w:t>
            </w:r>
          </w:p>
        </w:tc>
        <w:tc>
          <w:tcPr>
            <w:tcW w:type="dxa" w:w="4675"/>
          </w:tcPr>
          <w:p>
            <w:r/>
            <w:r>
              <w:rPr>
                <w:sz w:val="17"/>
              </w:rPr>
              <w:t>db.r7g.large (2 vCPU / 16 GB), 1 writer + 1 reader, 7-day retention, 500 GB</w:t>
            </w:r>
          </w:p>
        </w:tc>
        <w:tc>
          <w:tcPr>
            <w:tcW w:type="dxa" w:w="4675"/>
          </w:tcPr>
          <w:p>
            <w:r/>
            <w:r>
              <w:rPr>
                <w:sz w:val="17"/>
              </w:rPr>
              <w:t>TBC</w:t>
            </w:r>
          </w:p>
        </w:tc>
      </w:tr>
      <w:tr>
        <w:tc>
          <w:tcPr>
            <w:tcW w:type="dxa" w:w="4675"/>
          </w:tcPr>
          <w:p>
            <w:r/>
            <w:r>
              <w:rPr>
                <w:sz w:val="17"/>
              </w:rPr>
              <w:t>Users</w:t>
            </w:r>
          </w:p>
        </w:tc>
        <w:tc>
          <w:tcPr>
            <w:tcW w:type="dxa" w:w="4675"/>
          </w:tcPr>
          <w:p>
            <w:r/>
            <w:r>
              <w:rPr>
                <w:sz w:val="17"/>
              </w:rPr>
              <w:t>hubbledevdb_deploy_user (deployment), hubbledevdb_app_user (application), hubbledevdb_recon_user (recon)</w:t>
            </w:r>
          </w:p>
        </w:tc>
        <w:tc>
          <w:tcPr>
            <w:tcW w:type="dxa" w:w="4675"/>
          </w:tcPr>
          <w:p>
            <w:r/>
            <w:r>
              <w:rPr>
                <w:sz w:val="17"/>
              </w:rPr>
              <w:t>hubblenpddb_deploy_user / _app_user / _recon_user</w:t>
            </w:r>
          </w:p>
        </w:tc>
      </w:tr>
      <w:tr>
        <w:tc>
          <w:tcPr>
            <w:tcW w:type="dxa" w:w="4675"/>
          </w:tcPr>
          <w:p>
            <w:r/>
            <w:r>
              <w:rPr>
                <w:sz w:val="17"/>
              </w:rPr>
              <w:t>Layout</w:t>
            </w:r>
          </w:p>
        </w:tc>
        <w:tc>
          <w:tcPr>
            <w:tcW w:type="dxa" w:w="4675"/>
          </w:tcPr>
          <w:p>
            <w:r/>
            <w:r>
              <w:rPr>
                <w:sz w:val="17"/>
              </w:rPr>
              <w:t>One database per microservice, Liquibase-managed (DATABASECHANGELOG / DATABASECHANGELOGLOCK). Snapshot DBs carry PriceSumFlushOffset; QuoteCapture, ValuationPrice and SecurityStreaming carry PartitionOffset.</w:t>
            </w:r>
          </w:p>
        </w:tc>
        <w:tc>
          <w:tcPr>
            <w:tcW w:type="dxa" w:w="4675"/>
          </w:tcPr>
          <w:p>
            <w:r/>
            <w:r>
              <w:rPr>
                <w:sz w:val="17"/>
              </w:rPr>
              <w:t>same</w:t>
            </w:r>
          </w:p>
        </w:tc>
      </w:tr>
    </w:tbl>
    <w:p/>
    <w:p>
      <w:pPr>
        <w:pStyle w:val="Heading2"/>
      </w:pPr>
      <w:r>
        <w:t>4.4 Other platform components</w:t>
      </w:r>
    </w:p>
    <w:tbl>
      <w:tblPr>
        <w:tblStyle w:val="TableGrid"/>
        <w:tblW w:type="auto" w:w="0"/>
        <w:tblLook w:firstColumn="1" w:firstRow="1" w:lastColumn="0" w:lastRow="0" w:noHBand="0" w:noVBand="1" w:val="04A0"/>
      </w:tblPr>
      <w:tblGrid>
        <w:gridCol w:w="4675"/>
        <w:gridCol w:w="4675"/>
        <w:gridCol w:w="4675"/>
      </w:tblGrid>
      <w:tr>
        <w:tc>
          <w:tcPr>
            <w:tcW w:type="dxa" w:w="4675"/>
            <w:shd w:val="clear" w:color="auto" w:fill="F4F5F7"/>
          </w:tcPr>
          <w:p>
            <w:r/>
            <w:r>
              <w:rPr>
                <w:b/>
                <w:sz w:val="17"/>
              </w:rPr>
              <w:t>Component</w:t>
            </w:r>
          </w:p>
        </w:tc>
        <w:tc>
          <w:tcPr>
            <w:tcW w:type="dxa" w:w="4675"/>
            <w:shd w:val="clear" w:color="auto" w:fill="F4F5F7"/>
          </w:tcPr>
          <w:p>
            <w:r/>
            <w:r>
              <w:rPr>
                <w:b/>
                <w:sz w:val="17"/>
              </w:rPr>
              <w:t>Detail</w:t>
            </w:r>
          </w:p>
        </w:tc>
        <w:tc>
          <w:tcPr>
            <w:tcW w:type="dxa" w:w="4675"/>
            <w:shd w:val="clear" w:color="auto" w:fill="F4F5F7"/>
          </w:tcPr>
          <w:p>
            <w:r/>
            <w:r>
              <w:rPr>
                <w:b/>
                <w:sz w:val="17"/>
              </w:rPr>
              <w:t>SIT relevance</w:t>
            </w:r>
          </w:p>
        </w:tc>
      </w:tr>
      <w:tr>
        <w:tc>
          <w:tcPr>
            <w:tcW w:type="dxa" w:w="4675"/>
          </w:tcPr>
          <w:p>
            <w:r/>
            <w:r>
              <w:rPr>
                <w:sz w:val="17"/>
              </w:rPr>
              <w:t>S3</w:t>
            </w:r>
          </w:p>
        </w:tc>
        <w:tc>
          <w:tcPr>
            <w:tcW w:type="dxa" w:w="4675"/>
          </w:tcPr>
          <w:p>
            <w:r/>
            <w:r>
              <w:rPr>
                <w:sz w:val="17"/>
              </w:rPr>
              <w:t>hubble-applications-sbox (dev), auth via EKS Pod Identity</w:t>
            </w:r>
          </w:p>
        </w:tc>
        <w:tc>
          <w:tcPr>
            <w:tcW w:type="dxa" w:w="4675"/>
          </w:tcPr>
          <w:p>
            <w:r/>
            <w:r>
              <w:rPr>
                <w:sz w:val="17"/>
              </w:rPr>
              <w:t>Report delivery and file ingestion; no static keys</w:t>
            </w:r>
          </w:p>
        </w:tc>
      </w:tr>
      <w:tr>
        <w:tc>
          <w:tcPr>
            <w:tcW w:type="dxa" w:w="4675"/>
          </w:tcPr>
          <w:p>
            <w:r/>
            <w:r>
              <w:rPr>
                <w:sz w:val="17"/>
              </w:rPr>
              <w:t>Enterprise Kafka AWS</w:t>
            </w:r>
          </w:p>
        </w:tc>
        <w:tc>
          <w:tcPr>
            <w:tcW w:type="dxa" w:w="4675"/>
          </w:tcPr>
          <w:p>
            <w:r/>
            <w:r>
              <w:rPr>
                <w:sz w:val="17"/>
              </w:rPr>
              <w:t>Confluent on EKS (ent-kafka), nonprod 10.74.7.0/24, ports 9092/9094/443</w:t>
            </w:r>
          </w:p>
        </w:tc>
        <w:tc>
          <w:tcPr>
            <w:tcW w:type="dxa" w:w="4675"/>
          </w:tcPr>
          <w:p>
            <w:r/>
            <w:r>
              <w:rPr>
                <w:sz w:val="17"/>
              </w:rPr>
              <w:t>All topics; schema registry</w:t>
            </w:r>
          </w:p>
        </w:tc>
      </w:tr>
      <w:tr>
        <w:tc>
          <w:tcPr>
            <w:tcW w:type="dxa" w:w="4675"/>
          </w:tcPr>
          <w:p>
            <w:r/>
            <w:r>
              <w:rPr>
                <w:sz w:val="17"/>
              </w:rPr>
              <w:t>Certificates / DNS</w:t>
            </w:r>
          </w:p>
        </w:tc>
        <w:tc>
          <w:tcPr>
            <w:tcW w:type="dxa" w:w="4675"/>
          </w:tcPr>
          <w:p>
            <w:r/>
            <w:r>
              <w:rPr>
                <w:sz w:val="17"/>
              </w:rPr>
              <w:t>CN hubble-platform-dev; SANs hubble-verification-service.dev…, streaming.signalb.dev…, *.dev.datainthub.nonprod.aws.asx</w:t>
            </w:r>
          </w:p>
        </w:tc>
        <w:tc>
          <w:tcPr>
            <w:tcW w:type="dxa" w:w="4675"/>
          </w:tcPr>
          <w:p>
            <w:r/>
            <w:r>
              <w:rPr>
                <w:sz w:val="17"/>
              </w:rPr>
              <w:t>TLS for verification and SignalB streaming</w:t>
            </w:r>
          </w:p>
        </w:tc>
      </w:tr>
      <w:tr>
        <w:tc>
          <w:tcPr>
            <w:tcW w:type="dxa" w:w="4675"/>
          </w:tcPr>
          <w:p>
            <w:r/>
            <w:r>
              <w:rPr>
                <w:sz w:val="17"/>
              </w:rPr>
              <w:t>Identity</w:t>
            </w:r>
          </w:p>
        </w:tc>
        <w:tc>
          <w:tcPr>
            <w:tcW w:type="dxa" w:w="4675"/>
          </w:tcPr>
          <w:p>
            <w:r/>
            <w:r>
              <w:rPr>
                <w:sz w:val="17"/>
              </w:rPr>
              <w:t>ForgeRock IdP (gateway.sit1.ciam…, gateway.dev.ciam…, qimfa.asx.com.au), TCP 443</w:t>
            </w:r>
          </w:p>
        </w:tc>
        <w:tc>
          <w:tcPr>
            <w:tcW w:type="dxa" w:w="4675"/>
          </w:tcPr>
          <w:p>
            <w:r/>
            <w:r>
              <w:rPr>
                <w:sz w:val="17"/>
              </w:rPr>
              <w:t>Client auth for SignalB and verification service</w:t>
            </w:r>
          </w:p>
        </w:tc>
      </w:tr>
      <w:tr>
        <w:tc>
          <w:tcPr>
            <w:tcW w:type="dxa" w:w="4675"/>
          </w:tcPr>
          <w:p>
            <w:r/>
            <w:r>
              <w:rPr>
                <w:sz w:val="17"/>
              </w:rPr>
              <w:t>Daytona</w:t>
            </w:r>
          </w:p>
        </w:tc>
        <w:tc>
          <w:tcPr>
            <w:tcW w:type="dxa" w:w="4675"/>
          </w:tcPr>
          <w:p>
            <w:r/>
            <w:r>
              <w:rPr>
                <w:sz w:val="17"/>
              </w:rPr>
              <w:t>QA qtxfly201-mgmt 10.113.30.3; customer test qfixflyer221 10.113.30.2; TCP 8080, 61616, 22345, 22350, 12346</w:t>
            </w:r>
          </w:p>
        </w:tc>
        <w:tc>
          <w:tcPr>
            <w:tcW w:type="dxa" w:w="4675"/>
          </w:tcPr>
          <w:p>
            <w:r/>
            <w:r>
              <w:rPr>
                <w:sz w:val="17"/>
              </w:rPr>
              <w:t>Upstream/downstream connectivity</w:t>
            </w:r>
          </w:p>
        </w:tc>
      </w:tr>
      <w:tr>
        <w:tc>
          <w:tcPr>
            <w:tcW w:type="dxa" w:w="4675"/>
          </w:tcPr>
          <w:p>
            <w:r/>
            <w:r>
              <w:rPr>
                <w:sz w:val="17"/>
              </w:rPr>
              <w:t>Legacy SQL Server</w:t>
            </w:r>
          </w:p>
        </w:tc>
        <w:tc>
          <w:tcPr>
            <w:tcW w:type="dxa" w:w="4675"/>
          </w:tcPr>
          <w:p>
            <w:r/>
            <w:r>
              <w:rPr>
                <w:sz w:val="17"/>
              </w:rPr>
              <w:t>QHUBDB221.asx.com.au 172.20.191.190:54480</w:t>
            </w:r>
          </w:p>
        </w:tc>
        <w:tc>
          <w:tcPr>
            <w:tcW w:type="dxa" w:w="4675"/>
          </w:tcPr>
          <w:p>
            <w:r/>
            <w:r>
              <w:rPr>
                <w:sz w:val="17"/>
              </w:rPr>
              <w:t>Migration parity and reconciliation source</w:t>
            </w:r>
          </w:p>
        </w:tc>
      </w:tr>
    </w:tbl>
    <w:p/>
    <w:p>
      <w:pPr>
        <w:pStyle w:val="Heading2"/>
      </w:pPr>
      <w:r>
        <w:t>4.5 Documented network flows (each one is tested in feature #9)</w:t>
      </w:r>
    </w:p>
    <w:tbl>
      <w:tblPr>
        <w:tblStyle w:val="TableGrid"/>
        <w:tblW w:type="auto" w:w="0"/>
        <w:tblLook w:firstColumn="1" w:firstRow="1" w:lastColumn="0" w:lastRow="0" w:noHBand="0" w:noVBand="1" w:val="04A0"/>
      </w:tblPr>
      <w:tblGrid>
        <w:gridCol w:w="4675"/>
        <w:gridCol w:w="4675"/>
        <w:gridCol w:w="4675"/>
      </w:tblGrid>
      <w:tr>
        <w:tc>
          <w:tcPr>
            <w:tcW w:type="dxa" w:w="4675"/>
            <w:shd w:val="clear" w:color="auto" w:fill="F4F5F7"/>
          </w:tcPr>
          <w:p>
            <w:r/>
            <w:r>
              <w:rPr>
                <w:b/>
                <w:sz w:val="17"/>
              </w:rPr>
              <w:t>From</w:t>
            </w:r>
          </w:p>
        </w:tc>
        <w:tc>
          <w:tcPr>
            <w:tcW w:type="dxa" w:w="4675"/>
            <w:shd w:val="clear" w:color="auto" w:fill="F4F5F7"/>
          </w:tcPr>
          <w:p>
            <w:r/>
            <w:r>
              <w:rPr>
                <w:b/>
                <w:sz w:val="17"/>
              </w:rPr>
              <w:t>To</w:t>
            </w:r>
          </w:p>
        </w:tc>
        <w:tc>
          <w:tcPr>
            <w:tcW w:type="dxa" w:w="4675"/>
            <w:shd w:val="clear" w:color="auto" w:fill="F4F5F7"/>
          </w:tcPr>
          <w:p>
            <w:r/>
            <w:r>
              <w:rPr>
                <w:b/>
                <w:sz w:val="17"/>
              </w:rPr>
              <w:t>Ports</w:t>
            </w:r>
          </w:p>
        </w:tc>
      </w:tr>
      <w:tr>
        <w:tc>
          <w:tcPr>
            <w:tcW w:type="dxa" w:w="4675"/>
          </w:tcPr>
          <w:p>
            <w:r/>
            <w:r>
              <w:rPr>
                <w:sz w:val="17"/>
              </w:rPr>
              <w:t>GitLab prod (devops-npd 10.74.54.0/24)</w:t>
            </w:r>
          </w:p>
        </w:tc>
        <w:tc>
          <w:tcPr>
            <w:tcW w:type="dxa" w:w="4675"/>
          </w:tcPr>
          <w:p>
            <w:r/>
            <w:r>
              <w:rPr>
                <w:sz w:val="17"/>
              </w:rPr>
              <w:t>Hubble Dev EKS and Devdmz EKS</w:t>
            </w:r>
          </w:p>
        </w:tc>
        <w:tc>
          <w:tcPr>
            <w:tcW w:type="dxa" w:w="4675"/>
          </w:tcPr>
          <w:p>
            <w:r/>
            <w:r>
              <w:rPr>
                <w:sz w:val="17"/>
              </w:rPr>
              <w:t>22, 443</w:t>
            </w:r>
          </w:p>
        </w:tc>
      </w:tr>
      <w:tr>
        <w:tc>
          <w:tcPr>
            <w:tcW w:type="dxa" w:w="4675"/>
          </w:tcPr>
          <w:p>
            <w:r/>
            <w:r>
              <w:rPr>
                <w:sz w:val="17"/>
              </w:rPr>
              <w:t>Hubble Dev EKS, Devdmz EKS</w:t>
            </w:r>
          </w:p>
        </w:tc>
        <w:tc>
          <w:tcPr>
            <w:tcW w:type="dxa" w:w="4675"/>
          </w:tcPr>
          <w:p>
            <w:r/>
            <w:r>
              <w:rPr>
                <w:sz w:val="17"/>
              </w:rPr>
              <w:t>ForgeRock IdP</w:t>
            </w:r>
          </w:p>
        </w:tc>
        <w:tc>
          <w:tcPr>
            <w:tcW w:type="dxa" w:w="4675"/>
          </w:tcPr>
          <w:p>
            <w:r/>
            <w:r>
              <w:rPr>
                <w:sz w:val="17"/>
              </w:rPr>
              <w:t>443</w:t>
            </w:r>
          </w:p>
        </w:tc>
      </w:tr>
      <w:tr>
        <w:tc>
          <w:tcPr>
            <w:tcW w:type="dxa" w:w="4675"/>
          </w:tcPr>
          <w:p>
            <w:r/>
            <w:r>
              <w:rPr>
                <w:sz w:val="17"/>
              </w:rPr>
              <w:t>Devdmz EKS</w:t>
            </w:r>
          </w:p>
        </w:tc>
        <w:tc>
          <w:tcPr>
            <w:tcW w:type="dxa" w:w="4675"/>
          </w:tcPr>
          <w:p>
            <w:r/>
            <w:r>
              <w:rPr>
                <w:sz w:val="17"/>
              </w:rPr>
              <w:t>Hubble Dev Aurora</w:t>
            </w:r>
          </w:p>
        </w:tc>
        <w:tc>
          <w:tcPr>
            <w:tcW w:type="dxa" w:w="4675"/>
          </w:tcPr>
          <w:p>
            <w:r/>
            <w:r>
              <w:rPr>
                <w:sz w:val="17"/>
              </w:rPr>
              <w:t>5432</w:t>
            </w:r>
          </w:p>
        </w:tc>
      </w:tr>
      <w:tr>
        <w:tc>
          <w:tcPr>
            <w:tcW w:type="dxa" w:w="4675"/>
          </w:tcPr>
          <w:p>
            <w:r/>
            <w:r>
              <w:rPr>
                <w:sz w:val="17"/>
              </w:rPr>
              <w:t>Devdmz EKS</w:t>
            </w:r>
          </w:p>
        </w:tc>
        <w:tc>
          <w:tcPr>
            <w:tcW w:type="dxa" w:w="4675"/>
          </w:tcPr>
          <w:p>
            <w:r/>
            <w:r>
              <w:rPr>
                <w:sz w:val="17"/>
              </w:rPr>
              <w:t>Enterprise Kafka AWS nonprod</w:t>
            </w:r>
          </w:p>
        </w:tc>
        <w:tc>
          <w:tcPr>
            <w:tcW w:type="dxa" w:w="4675"/>
          </w:tcPr>
          <w:p>
            <w:r/>
            <w:r>
              <w:rPr>
                <w:sz w:val="17"/>
              </w:rPr>
              <w:t>9092, 9094, 443</w:t>
            </w:r>
          </w:p>
        </w:tc>
      </w:tr>
      <w:tr>
        <w:tc>
          <w:tcPr>
            <w:tcW w:type="dxa" w:w="4675"/>
          </w:tcPr>
          <w:p>
            <w:r/>
            <w:r>
              <w:rPr>
                <w:sz w:val="17"/>
              </w:rPr>
              <w:t>Hubble Dev EKS</w:t>
            </w:r>
          </w:p>
        </w:tc>
        <w:tc>
          <w:tcPr>
            <w:tcW w:type="dxa" w:w="4675"/>
          </w:tcPr>
          <w:p>
            <w:r/>
            <w:r>
              <w:rPr>
                <w:sz w:val="17"/>
              </w:rPr>
              <w:t>Daytona nonprod</w:t>
            </w:r>
          </w:p>
        </w:tc>
        <w:tc>
          <w:tcPr>
            <w:tcW w:type="dxa" w:w="4675"/>
          </w:tcPr>
          <w:p>
            <w:r/>
            <w:r>
              <w:rPr>
                <w:sz w:val="17"/>
              </w:rPr>
              <w:t>8080, 61616, 22345, 22350, 12346</w:t>
            </w:r>
          </w:p>
        </w:tc>
      </w:tr>
      <w:tr>
        <w:tc>
          <w:tcPr>
            <w:tcW w:type="dxa" w:w="4675"/>
          </w:tcPr>
          <w:p>
            <w:r/>
            <w:r>
              <w:rPr>
                <w:sz w:val="17"/>
              </w:rPr>
              <w:t>Hubble Dev EKS</w:t>
            </w:r>
          </w:p>
        </w:tc>
        <w:tc>
          <w:tcPr>
            <w:tcW w:type="dxa" w:w="4675"/>
          </w:tcPr>
          <w:p>
            <w:r/>
            <w:r>
              <w:rPr>
                <w:sz w:val="17"/>
              </w:rPr>
              <w:t>SQL Server Test QHUBDB221</w:t>
            </w:r>
          </w:p>
        </w:tc>
        <w:tc>
          <w:tcPr>
            <w:tcW w:type="dxa" w:w="4675"/>
          </w:tcPr>
          <w:p>
            <w:r/>
            <w:r>
              <w:rPr>
                <w:sz w:val="17"/>
              </w:rPr>
              <w:t>54480</w:t>
            </w:r>
          </w:p>
        </w:tc>
      </w:tr>
      <w:tr>
        <w:tc>
          <w:tcPr>
            <w:tcW w:type="dxa" w:w="4675"/>
          </w:tcPr>
          <w:p>
            <w:r/>
            <w:r>
              <w:rPr>
                <w:sz w:val="17"/>
              </w:rPr>
              <w:t>Hubble Dev EKS</w:t>
            </w:r>
          </w:p>
        </w:tc>
        <w:tc>
          <w:tcPr>
            <w:tcW w:type="dxa" w:w="4675"/>
          </w:tcPr>
          <w:p>
            <w:r/>
            <w:r>
              <w:rPr>
                <w:sz w:val="17"/>
              </w:rPr>
              <w:t>Enterprise Kafka, EMS, SFTP, Elasticsearch</w:t>
            </w:r>
          </w:p>
        </w:tc>
        <w:tc>
          <w:tcPr>
            <w:tcW w:type="dxa" w:w="4675"/>
          </w:tcPr>
          <w:p>
            <w:r/>
            <w:r>
              <w:rPr>
                <w:b/>
                <w:sz w:val="17"/>
              </w:rPr>
              <w:t>Not documented; confirm (section 18)</w:t>
            </w:r>
          </w:p>
        </w:tc>
      </w:tr>
    </w:tbl>
    <w:p/>
    <w:p>
      <w:pPr>
        <w:pStyle w:val="Heading2"/>
      </w:pPr>
      <w:r>
        <w:t>4.6 Signal B</w:t>
      </w:r>
    </w:p>
    <w:tbl>
      <w:tblPr>
        <w:tblStyle w:val="TableGrid"/>
        <w:tblW w:type="auto" w:w="0"/>
        <w:tblLook w:firstColumn="1" w:firstRow="1" w:lastColumn="0" w:lastRow="0" w:noHBand="0" w:noVBand="1" w:val="04A0"/>
      </w:tblPr>
      <w:tblGrid>
        <w:gridCol w:w="4675"/>
        <w:gridCol w:w="4675"/>
        <w:gridCol w:w="4675"/>
      </w:tblGrid>
      <w:tr>
        <w:tc>
          <w:tcPr>
            <w:tcW w:type="dxa" w:w="4675"/>
            <w:shd w:val="clear" w:color="auto" w:fill="F4F5F7"/>
          </w:tcPr>
          <w:p>
            <w:r/>
            <w:r>
              <w:rPr>
                <w:b/>
                <w:sz w:val="17"/>
              </w:rPr>
              <w:t>Component</w:t>
            </w:r>
          </w:p>
        </w:tc>
        <w:tc>
          <w:tcPr>
            <w:tcW w:type="dxa" w:w="4675"/>
            <w:shd w:val="clear" w:color="auto" w:fill="F4F5F7"/>
          </w:tcPr>
          <w:p>
            <w:r/>
            <w:r>
              <w:rPr>
                <w:b/>
                <w:sz w:val="17"/>
              </w:rPr>
              <w:t>Role</w:t>
            </w:r>
          </w:p>
        </w:tc>
        <w:tc>
          <w:tcPr>
            <w:tcW w:type="dxa" w:w="4675"/>
            <w:shd w:val="clear" w:color="auto" w:fill="F4F5F7"/>
          </w:tcPr>
          <w:p>
            <w:r/>
            <w:r>
              <w:rPr>
                <w:b/>
                <w:sz w:val="17"/>
              </w:rPr>
              <w:t>Touch-points</w:t>
            </w:r>
          </w:p>
        </w:tc>
      </w:tr>
      <w:tr>
        <w:tc>
          <w:tcPr>
            <w:tcW w:type="dxa" w:w="4675"/>
          </w:tcPr>
          <w:p>
            <w:r/>
            <w:r>
              <w:rPr>
                <w:sz w:val="17"/>
              </w:rPr>
              <w:t>Signal B Processor</w:t>
            </w:r>
          </w:p>
        </w:tc>
        <w:tc>
          <w:tcPr>
            <w:tcW w:type="dxa" w:w="4675"/>
          </w:tcPr>
          <w:p>
            <w:r/>
            <w:r>
              <w:rPr>
                <w:sz w:val="17"/>
              </w:rPr>
              <w:t>Consumes Hubble MarketTradeSummary from Kafka, applies participant routing and masking; invalid messages go to the business poison topic</w:t>
            </w:r>
          </w:p>
        </w:tc>
        <w:tc>
          <w:tcPr>
            <w:tcW w:type="dxa" w:w="4675"/>
          </w:tcPr>
          <w:p>
            <w:r/>
            <w:r>
              <w:rPr>
                <w:sz w:val="17"/>
              </w:rPr>
              <w:t>Kafka (MTS in, poison out), Aurora</w:t>
            </w:r>
          </w:p>
        </w:tc>
      </w:tr>
      <w:tr>
        <w:tc>
          <w:tcPr>
            <w:tcW w:type="dxa" w:w="4675"/>
          </w:tcPr>
          <w:p>
            <w:r/>
            <w:r>
              <w:rPr>
                <w:sz w:val="17"/>
              </w:rPr>
              <w:t>Signal B Adapter</w:t>
            </w:r>
          </w:p>
        </w:tc>
        <w:tc>
          <w:tcPr>
            <w:tcW w:type="dxa" w:w="4675"/>
          </w:tcPr>
          <w:p>
            <w:r/>
            <w:r>
              <w:rPr>
                <w:sz w:val="17"/>
              </w:rPr>
              <w:t>FIX engine for participants: logon (35=A), heartbeat/test request (35=0/1), TCR request (35=AD) → ack (35=AQ) → reports (35=AE), resend/gap-fill, session (35=3) and business (35=j) rejects</w:t>
            </w:r>
          </w:p>
        </w:tc>
        <w:tc>
          <w:tcPr>
            <w:tcW w:type="dxa" w:w="4675"/>
          </w:tcPr>
          <w:p>
            <w:r/>
            <w:r>
              <w:rPr>
                <w:sz w:val="17"/>
              </w:rPr>
              <w:t>FIX over NLB :4500 / F5 AMOClient endpoint (devdmz)</w:t>
            </w:r>
          </w:p>
        </w:tc>
      </w:tr>
      <w:tr>
        <w:tc>
          <w:tcPr>
            <w:tcW w:type="dxa" w:w="4675"/>
          </w:tcPr>
          <w:p>
            <w:r/>
            <w:r>
              <w:rPr>
                <w:sz w:val="17"/>
              </w:rPr>
              <w:t>ForgeRock IdP</w:t>
            </w:r>
          </w:p>
        </w:tc>
        <w:tc>
          <w:tcPr>
            <w:tcW w:type="dxa" w:w="4675"/>
          </w:tcPr>
          <w:p>
            <w:r/>
            <w:r>
              <w:rPr>
                <w:sz w:val="17"/>
              </w:rPr>
              <w:t>Authenticates FIX participants at logon</w:t>
            </w:r>
          </w:p>
        </w:tc>
        <w:tc>
          <w:tcPr>
            <w:tcW w:type="dxa" w:w="4675"/>
          </w:tcPr>
          <w:p>
            <w:r/>
            <w:r>
              <w:rPr>
                <w:sz w:val="17"/>
              </w:rPr>
              <w:t>TCP 443</w:t>
            </w:r>
          </w:p>
        </w:tc>
      </w:tr>
      <w:tr>
        <w:tc>
          <w:tcPr>
            <w:tcW w:type="dxa" w:w="4675"/>
          </w:tcPr>
          <w:p>
            <w:r/>
            <w:r>
              <w:rPr>
                <w:sz w:val="17"/>
              </w:rPr>
              <w:t>DB scheduler</w:t>
            </w:r>
          </w:p>
        </w:tc>
        <w:tc>
          <w:tcPr>
            <w:tcW w:type="dxa" w:w="4675"/>
          </w:tcPr>
          <w:p>
            <w:r/>
            <w:r>
              <w:rPr>
                <w:sz w:val="17"/>
              </w:rPr>
              <w:t>Opens and closes the Signal B trading day; controls allowed logon hours</w:t>
            </w:r>
          </w:p>
        </w:tc>
        <w:tc>
          <w:tcPr>
            <w:tcW w:type="dxa" w:w="4675"/>
          </w:tcPr>
          <w:p>
            <w:r/>
            <w:r>
              <w:rPr>
                <w:sz w:val="17"/>
              </w:rPr>
              <w:t>Aurora</w:t>
            </w:r>
          </w:p>
        </w:tc>
      </w:tr>
      <w:tr>
        <w:tc>
          <w:tcPr>
            <w:tcW w:type="dxa" w:w="4675"/>
          </w:tcPr>
          <w:p>
            <w:r/>
            <w:r>
              <w:rPr>
                <w:sz w:val="17"/>
              </w:rPr>
              <w:t>Daytona (qfixflyer / qtxfly)</w:t>
            </w:r>
          </w:p>
        </w:tc>
        <w:tc>
          <w:tcPr>
            <w:tcW w:type="dxa" w:w="4675"/>
          </w:tcPr>
          <w:p>
            <w:r/>
            <w:r>
              <w:rPr>
                <w:sz w:val="17"/>
              </w:rPr>
              <w:t>Most likely the FIX participant simulator for QA and customer-test environments (to confirm, Q6)</w:t>
            </w:r>
          </w:p>
        </w:tc>
        <w:tc>
          <w:tcPr>
            <w:tcW w:type="dxa" w:w="4675"/>
          </w:tcPr>
          <w:p>
            <w:r/>
            <w:r>
              <w:rPr>
                <w:sz w:val="17"/>
              </w:rPr>
              <w:t>TCP 8080, 61616, 22345, 22350, 12346</w:t>
            </w:r>
          </w:p>
        </w:tc>
      </w:tr>
    </w:tbl>
    <w:p/>
    <w:p>
      <w:pPr>
        <w:pStyle w:val="Heading1"/>
      </w:pPr>
      <w:r>
        <w:t>5. SIT levels</w:t>
      </w:r>
    </w:p>
    <w:tbl>
      <w:tblPr>
        <w:tblStyle w:val="TableGrid"/>
        <w:tblW w:type="auto" w:w="0"/>
        <w:tblLook w:firstColumn="1" w:firstRow="1" w:lastColumn="0" w:lastRow="0" w:noHBand="0" w:noVBand="1" w:val="04A0"/>
      </w:tblPr>
      <w:tblGrid>
        <w:gridCol w:w="3506"/>
        <w:gridCol w:w="3506"/>
        <w:gridCol w:w="3506"/>
        <w:gridCol w:w="3506"/>
      </w:tblGrid>
      <w:tr>
        <w:tc>
          <w:tcPr>
            <w:tcW w:type="dxa" w:w="3506"/>
            <w:shd w:val="clear" w:color="auto" w:fill="F4F5F7"/>
          </w:tcPr>
          <w:p>
            <w:r/>
          </w:p>
        </w:tc>
        <w:tc>
          <w:tcPr>
            <w:tcW w:type="dxa" w:w="3506"/>
            <w:shd w:val="clear" w:color="auto" w:fill="F4F5F7"/>
          </w:tcPr>
          <w:p>
            <w:r/>
            <w:r>
              <w:rPr>
                <w:b/>
                <w:sz w:val="17"/>
              </w:rPr>
              <w:t>L1 Interface</w:t>
            </w:r>
          </w:p>
        </w:tc>
        <w:tc>
          <w:tcPr>
            <w:tcW w:type="dxa" w:w="3506"/>
            <w:shd w:val="clear" w:color="auto" w:fill="F4F5F7"/>
          </w:tcPr>
          <w:p>
            <w:r/>
            <w:r>
              <w:rPr>
                <w:b/>
                <w:sz w:val="17"/>
              </w:rPr>
              <w:t>L2 Flow integration</w:t>
            </w:r>
          </w:p>
        </w:tc>
        <w:tc>
          <w:tcPr>
            <w:tcW w:type="dxa" w:w="3506"/>
            <w:shd w:val="clear" w:color="auto" w:fill="F4F5F7"/>
          </w:tcPr>
          <w:p>
            <w:r/>
            <w:r>
              <w:rPr>
                <w:b/>
                <w:sz w:val="17"/>
              </w:rPr>
              <w:t>L3 End-to-end business cycle</w:t>
            </w:r>
          </w:p>
        </w:tc>
      </w:tr>
      <w:tr>
        <w:tc>
          <w:tcPr>
            <w:tcW w:type="dxa" w:w="3506"/>
          </w:tcPr>
          <w:p>
            <w:r/>
            <w:r>
              <w:rPr>
                <w:sz w:val="17"/>
              </w:rPr>
              <w:t>Proves</w:t>
            </w:r>
          </w:p>
        </w:tc>
        <w:tc>
          <w:tcPr>
            <w:tcW w:type="dxa" w:w="3506"/>
          </w:tcPr>
          <w:p>
            <w:r/>
            <w:r>
              <w:rPr>
                <w:sz w:val="17"/>
              </w:rPr>
              <w:t>Every connection, identity, certificate, DB role and schema is correct, and the EKS baseline matches the design</w:t>
            </w:r>
          </w:p>
        </w:tc>
        <w:tc>
          <w:tcPr>
            <w:tcW w:type="dxa" w:w="3506"/>
          </w:tcPr>
          <w:p>
            <w:r/>
            <w:r>
              <w:rPr>
                <w:sz w:val="17"/>
              </w:rPr>
              <w:t>Data crosses service boundaries and lands in the correct Aurora tables; recovery from stored offsets; platform events cause no loss</w:t>
            </w:r>
          </w:p>
        </w:tc>
        <w:tc>
          <w:tcPr>
            <w:tcW w:type="dxa" w:w="3506"/>
          </w:tcPr>
          <w:p>
            <w:r/>
            <w:r>
              <w:rPr>
                <w:sz w:val="17"/>
              </w:rPr>
              <w:t>Products and SignalB feeds are correct, on time, delivered, reconciled and equal to on-prem Hubble</w:t>
            </w:r>
          </w:p>
        </w:tc>
      </w:tr>
      <w:tr>
        <w:tc>
          <w:tcPr>
            <w:tcW w:type="dxa" w:w="3506"/>
          </w:tcPr>
          <w:p>
            <w:r/>
            <w:r>
              <w:rPr>
                <w:sz w:val="17"/>
              </w:rPr>
              <w:t>Input at</w:t>
            </w:r>
          </w:p>
        </w:tc>
        <w:tc>
          <w:tcPr>
            <w:tcW w:type="dxa" w:w="3506"/>
          </w:tcPr>
          <w:p>
            <w:r/>
            <w:r>
              <w:rPr>
                <w:sz w:val="17"/>
              </w:rPr>
              <w:t>Platform APIs (kubectl, AWS), real upstream service or queue</w:t>
            </w:r>
          </w:p>
        </w:tc>
        <w:tc>
          <w:tcPr>
            <w:tcW w:type="dxa" w:w="3506"/>
          </w:tcPr>
          <w:p>
            <w:r/>
            <w:r>
              <w:rPr>
                <w:sz w:val="17"/>
              </w:rPr>
              <w:t>Source boundary: EMS, Kafka, S3/SFTP drops, reference data</w:t>
            </w:r>
          </w:p>
        </w:tc>
        <w:tc>
          <w:tcPr>
            <w:tcW w:type="dxa" w:w="3506"/>
          </w:tcPr>
          <w:p>
            <w:r/>
            <w:r>
              <w:rPr>
                <w:sz w:val="17"/>
              </w:rPr>
              <w:t>Source boundary + schedule or business-date trigger</w:t>
            </w:r>
          </w:p>
        </w:tc>
      </w:tr>
      <w:tr>
        <w:tc>
          <w:tcPr>
            <w:tcW w:type="dxa" w:w="3506"/>
          </w:tcPr>
          <w:p>
            <w:r/>
            <w:r>
              <w:rPr>
                <w:sz w:val="17"/>
              </w:rPr>
              <w:t>Assert at</w:t>
            </w:r>
          </w:p>
        </w:tc>
        <w:tc>
          <w:tcPr>
            <w:tcW w:type="dxa" w:w="3506"/>
          </w:tcPr>
          <w:p>
            <w:r/>
            <w:r>
              <w:rPr>
                <w:sz w:val="17"/>
              </w:rPr>
              <w:t>Cluster state, DB catalog, TLS handshake, consumer lag</w:t>
            </w:r>
          </w:p>
        </w:tc>
        <w:tc>
          <w:tcPr>
            <w:tcW w:type="dxa" w:w="3506"/>
          </w:tcPr>
          <w:p>
            <w:r/>
            <w:r>
              <w:rPr>
                <w:sz w:val="17"/>
              </w:rPr>
              <w:t>Kafka topics, Aurora tables, offset tables, ES traces</w:t>
            </w:r>
          </w:p>
        </w:tc>
        <w:tc>
          <w:tcPr>
            <w:tcW w:type="dxa" w:w="3506"/>
          </w:tcPr>
          <w:p>
            <w:r/>
            <w:r>
              <w:rPr>
                <w:sz w:val="17"/>
              </w:rPr>
              <w:t>Report files on S3/SFTP, SignalB endpoint, recon reports, legacy comparison</w:t>
            </w:r>
          </w:p>
        </w:tc>
      </w:tr>
      <w:tr>
        <w:tc>
          <w:tcPr>
            <w:tcW w:type="dxa" w:w="3506"/>
          </w:tcPr>
          <w:p>
            <w:r/>
            <w:r>
              <w:rPr>
                <w:sz w:val="17"/>
              </w:rPr>
              <w:t>Share of SIT scenarios</w:t>
            </w:r>
          </w:p>
        </w:tc>
        <w:tc>
          <w:tcPr>
            <w:tcW w:type="dxa" w:w="3506"/>
          </w:tcPr>
          <w:p>
            <w:r/>
            <w:r>
              <w:rPr>
                <w:sz w:val="17"/>
              </w:rPr>
              <w:t>~15%</w:t>
            </w:r>
          </w:p>
        </w:tc>
        <w:tc>
          <w:tcPr>
            <w:tcW w:type="dxa" w:w="3506"/>
          </w:tcPr>
          <w:p>
            <w:r/>
            <w:r>
              <w:rPr>
                <w:sz w:val="17"/>
              </w:rPr>
              <w:t>~50%</w:t>
            </w:r>
          </w:p>
        </w:tc>
        <w:tc>
          <w:tcPr>
            <w:tcW w:type="dxa" w:w="3506"/>
          </w:tcPr>
          <w:p>
            <w:r/>
            <w:r>
              <w:rPr>
                <w:sz w:val="17"/>
              </w:rPr>
              <w:t>~35%</w:t>
            </w:r>
          </w:p>
        </w:tc>
      </w:tr>
      <w:tr>
        <w:tc>
          <w:tcPr>
            <w:tcW w:type="dxa" w:w="3506"/>
          </w:tcPr>
          <w:p>
            <w:r/>
            <w:r>
              <w:rPr>
                <w:sz w:val="17"/>
              </w:rPr>
              <w:t>Runtime target</w:t>
            </w:r>
          </w:p>
        </w:tc>
        <w:tc>
          <w:tcPr>
            <w:tcW w:type="dxa" w:w="3506"/>
          </w:tcPr>
          <w:p>
            <w:r/>
            <w:r>
              <w:rPr>
                <w:sz w:val="17"/>
              </w:rPr>
              <w:t>&lt; 10 min</w:t>
            </w:r>
          </w:p>
        </w:tc>
        <w:tc>
          <w:tcPr>
            <w:tcW w:type="dxa" w:w="3506"/>
          </w:tcPr>
          <w:p>
            <w:r/>
            <w:r>
              <w:rPr>
                <w:sz w:val="17"/>
              </w:rPr>
              <w:t>&lt; 15 min per feature</w:t>
            </w:r>
          </w:p>
        </w:tc>
        <w:tc>
          <w:tcPr>
            <w:tcW w:type="dxa" w:w="3506"/>
          </w:tcPr>
          <w:p>
            <w:r/>
            <w:r>
              <w:rPr>
                <w:sz w:val="17"/>
              </w:rPr>
              <w:t>Single day &lt; 30 min; multi-day overnight</w:t>
            </w:r>
          </w:p>
        </w:tc>
      </w:tr>
    </w:tbl>
    <w:p/>
    <w:p>
      <w:pPr>
        <w:pStyle w:val="Heading1"/>
      </w:pPr>
      <w:r>
        <w:t>6. Quality gates</w:t>
      </w:r>
    </w:p>
    <w:tbl>
      <w:tblPr>
        <w:tblStyle w:val="TableGrid"/>
        <w:tblW w:type="auto" w:w="0"/>
        <w:tblLook w:firstColumn="1" w:firstRow="1" w:lastColumn="0" w:lastRow="0" w:noHBand="0" w:noVBand="1" w:val="04A0"/>
      </w:tblPr>
      <w:tblGrid>
        <w:gridCol w:w="2805"/>
        <w:gridCol w:w="2805"/>
        <w:gridCol w:w="2805"/>
        <w:gridCol w:w="2805"/>
        <w:gridCol w:w="2805"/>
      </w:tblGrid>
      <w:tr>
        <w:tc>
          <w:tcPr>
            <w:tcW w:type="dxa" w:w="2805"/>
            <w:shd w:val="clear" w:color="auto" w:fill="F4F5F7"/>
          </w:tcPr>
          <w:p>
            <w:r/>
            <w:r>
              <w:rPr>
                <w:b/>
                <w:sz w:val="17"/>
              </w:rPr>
              <w:t>Gate</w:t>
            </w:r>
          </w:p>
        </w:tc>
        <w:tc>
          <w:tcPr>
            <w:tcW w:type="dxa" w:w="2805"/>
            <w:shd w:val="clear" w:color="auto" w:fill="F4F5F7"/>
          </w:tcPr>
          <w:p>
            <w:r/>
            <w:r>
              <w:rPr>
                <w:b/>
                <w:sz w:val="17"/>
              </w:rPr>
              <w:t>When</w:t>
            </w:r>
          </w:p>
        </w:tc>
        <w:tc>
          <w:tcPr>
            <w:tcW w:type="dxa" w:w="2805"/>
            <w:shd w:val="clear" w:color="auto" w:fill="F4F5F7"/>
          </w:tcPr>
          <w:p>
            <w:r/>
            <w:r>
              <w:rPr>
                <w:b/>
                <w:sz w:val="17"/>
              </w:rPr>
              <w:t>What runs / checks</w:t>
            </w:r>
          </w:p>
        </w:tc>
        <w:tc>
          <w:tcPr>
            <w:tcW w:type="dxa" w:w="2805"/>
            <w:shd w:val="clear" w:color="auto" w:fill="F4F5F7"/>
          </w:tcPr>
          <w:p>
            <w:r/>
            <w:r>
              <w:rPr>
                <w:b/>
                <w:sz w:val="17"/>
              </w:rPr>
              <w:t>Pass if</w:t>
            </w:r>
          </w:p>
        </w:tc>
        <w:tc>
          <w:tcPr>
            <w:tcW w:type="dxa" w:w="2805"/>
            <w:shd w:val="clear" w:color="auto" w:fill="F4F5F7"/>
          </w:tcPr>
          <w:p>
            <w:r/>
            <w:r>
              <w:rPr>
                <w:b/>
                <w:sz w:val="17"/>
              </w:rPr>
              <w:t>Owner · on fail</w:t>
            </w:r>
          </w:p>
        </w:tc>
      </w:tr>
      <w:tr>
        <w:tc>
          <w:tcPr>
            <w:tcW w:type="dxa" w:w="2805"/>
          </w:tcPr>
          <w:p>
            <w:r/>
            <w:r>
              <w:rPr>
                <w:b/>
                <w:sz w:val="17"/>
              </w:rPr>
              <w:t>G0 Story ready</w:t>
            </w:r>
          </w:p>
        </w:tc>
        <w:tc>
          <w:tcPr>
            <w:tcW w:type="dxa" w:w="2805"/>
          </w:tcPr>
          <w:p>
            <w:r/>
            <w:r>
              <w:rPr>
                <w:sz w:val="17"/>
              </w:rPr>
              <w:t>Before sprint</w:t>
            </w:r>
          </w:p>
        </w:tc>
        <w:tc>
          <w:tcPr>
            <w:tcW w:type="dxa" w:w="2805"/>
          </w:tcPr>
          <w:p>
            <w:r/>
            <w:r>
              <w:rPr>
                <w:sz w:val="17"/>
              </w:rPr>
              <w:t>ACs marked SLFT/SIT; integration impact named; BA-signed expected values; test data identified</w:t>
            </w:r>
          </w:p>
        </w:tc>
        <w:tc>
          <w:tcPr>
            <w:tcW w:type="dxa" w:w="2805"/>
          </w:tcPr>
          <w:p>
            <w:r/>
            <w:r>
              <w:rPr>
                <w:sz w:val="17"/>
              </w:rPr>
              <w:t>All present on the Jira story</w:t>
            </w:r>
          </w:p>
        </w:tc>
        <w:tc>
          <w:tcPr>
            <w:tcW w:type="dxa" w:w="2805"/>
          </w:tcPr>
          <w:p>
            <w:r/>
            <w:r>
              <w:rPr>
                <w:sz w:val="17"/>
              </w:rPr>
              <w:t>BA + SIT QA · story not pulled</w:t>
            </w:r>
          </w:p>
        </w:tc>
      </w:tr>
      <w:tr>
        <w:tc>
          <w:tcPr>
            <w:tcW w:type="dxa" w:w="2805"/>
          </w:tcPr>
          <w:p>
            <w:r/>
            <w:r>
              <w:rPr>
                <w:b/>
                <w:sz w:val="17"/>
              </w:rPr>
              <w:t>G1 SIT entry</w:t>
            </w:r>
          </w:p>
        </w:tc>
        <w:tc>
          <w:tcPr>
            <w:tcW w:type="dxa" w:w="2805"/>
          </w:tcPr>
          <w:p>
            <w:r/>
            <w:r>
              <w:rPr>
                <w:sz w:val="17"/>
              </w:rPr>
              <w:t>Every deploy</w:t>
            </w:r>
          </w:p>
        </w:tc>
        <w:tc>
          <w:tcPr>
            <w:tcW w:type="dxa" w:w="2805"/>
          </w:tcPr>
          <w:p>
            <w:r/>
            <w:r>
              <w:rPr>
                <w:sz w:val="17"/>
              </w:rPr>
              <w:t xml:space="preserve">SLFT green → </w:t>
            </w:r>
            <w:r>
              <w:rPr>
                <w:b/>
                <w:sz w:val="17"/>
              </w:rPr>
              <w:t>EKS cluster validation</w:t>
            </w:r>
            <w:r>
              <w:rPr>
                <w:sz w:val="17"/>
              </w:rPr>
              <w:t xml:space="preserve"> → Aurora schema/role check → L1 interface pack → @smoke</w:t>
            </w:r>
          </w:p>
        </w:tc>
        <w:tc>
          <w:tcPr>
            <w:tcW w:type="dxa" w:w="2805"/>
          </w:tcPr>
          <w:p>
            <w:r/>
            <w:r>
              <w:rPr>
                <w:sz w:val="17"/>
              </w:rPr>
              <w:t>100% pass, ≤ 30 min</w:t>
            </w:r>
          </w:p>
        </w:tc>
        <w:tc>
          <w:tcPr>
            <w:tcW w:type="dxa" w:w="2805"/>
          </w:tcPr>
          <w:p>
            <w:r/>
            <w:r>
              <w:rPr>
                <w:sz w:val="17"/>
              </w:rPr>
              <w:t>GoCD (automatic) · build not accepted</w:t>
            </w:r>
          </w:p>
        </w:tc>
      </w:tr>
      <w:tr>
        <w:tc>
          <w:tcPr>
            <w:tcW w:type="dxa" w:w="2805"/>
          </w:tcPr>
          <w:p>
            <w:r/>
            <w:r>
              <w:rPr>
                <w:b/>
                <w:sz w:val="17"/>
              </w:rPr>
              <w:t>G2 Story integrated</w:t>
            </w:r>
          </w:p>
        </w:tc>
        <w:tc>
          <w:tcPr>
            <w:tcW w:type="dxa" w:w="2805"/>
          </w:tcPr>
          <w:p>
            <w:r/>
            <w:r>
              <w:rPr>
                <w:sz w:val="17"/>
              </w:rPr>
              <w:t>Per story</w:t>
            </w:r>
          </w:p>
        </w:tc>
        <w:tc>
          <w:tcPr>
            <w:tcW w:type="dxa" w:w="2805"/>
          </w:tcPr>
          <w:p>
            <w:r/>
            <w:r>
              <w:rPr>
                <w:sz w:val="17"/>
              </w:rPr>
              <w:t>New/changed L2/L3 scenarios tagged @HUBES + impacted flows</w:t>
            </w:r>
          </w:p>
        </w:tc>
        <w:tc>
          <w:tcPr>
            <w:tcW w:type="dxa" w:w="2805"/>
          </w:tcPr>
          <w:p>
            <w:r/>
            <w:r>
              <w:rPr>
                <w:sz w:val="17"/>
              </w:rPr>
              <w:t>Passing; RTM shows SLFT + SIT evidence</w:t>
            </w:r>
          </w:p>
        </w:tc>
        <w:tc>
          <w:tcPr>
            <w:tcW w:type="dxa" w:w="2805"/>
          </w:tcPr>
          <w:p>
            <w:r/>
            <w:r>
              <w:rPr>
                <w:sz w:val="17"/>
              </w:rPr>
              <w:t>SIT QA · story stays In Test</w:t>
            </w:r>
          </w:p>
        </w:tc>
      </w:tr>
      <w:tr>
        <w:tc>
          <w:tcPr>
            <w:tcW w:type="dxa" w:w="2805"/>
          </w:tcPr>
          <w:p>
            <w:r/>
            <w:r>
              <w:rPr>
                <w:b/>
                <w:sz w:val="17"/>
              </w:rPr>
              <w:t>G3 Nightly regression</w:t>
            </w:r>
          </w:p>
        </w:tc>
        <w:tc>
          <w:tcPr>
            <w:tcW w:type="dxa" w:w="2805"/>
          </w:tcPr>
          <w:p>
            <w:r/>
            <w:r>
              <w:rPr>
                <w:sz w:val="17"/>
              </w:rPr>
              <w:t>Nightly</w:t>
            </w:r>
          </w:p>
        </w:tc>
        <w:tc>
          <w:tcPr>
            <w:tcW w:type="dxa" w:w="2805"/>
          </w:tcPr>
          <w:p>
            <w:r/>
            <w:r>
              <w:rPr>
                <w:sz w:val="17"/>
              </w:rPr>
              <w:t>L1 + L2 + single-day L3; cluster validation before and after; platform-health capture</w:t>
            </w:r>
          </w:p>
        </w:tc>
        <w:tc>
          <w:tcPr>
            <w:tcW w:type="dxa" w:w="2805"/>
          </w:tcPr>
          <w:p>
            <w:r/>
            <w:r>
              <w:rPr>
                <w:sz w:val="17"/>
              </w:rPr>
              <w:t>≥ 98% pass; failures triaged by 10:00</w:t>
            </w:r>
          </w:p>
        </w:tc>
        <w:tc>
          <w:tcPr>
            <w:tcW w:type="dxa" w:w="2805"/>
          </w:tcPr>
          <w:p>
            <w:r/>
            <w:r>
              <w:rPr>
                <w:sz w:val="17"/>
              </w:rPr>
              <w:t>SIT lead · 2 red nights freezes promotion</w:t>
            </w:r>
          </w:p>
        </w:tc>
      </w:tr>
      <w:tr>
        <w:tc>
          <w:tcPr>
            <w:tcW w:type="dxa" w:w="2805"/>
          </w:tcPr>
          <w:p>
            <w:r/>
            <w:r>
              <w:rPr>
                <w:b/>
                <w:sz w:val="17"/>
              </w:rPr>
              <w:t>G4 SIT exit</w:t>
            </w:r>
          </w:p>
        </w:tc>
        <w:tc>
          <w:tcPr>
            <w:tcW w:type="dxa" w:w="2805"/>
          </w:tcPr>
          <w:p>
            <w:r/>
            <w:r>
              <w:rPr>
                <w:sz w:val="17"/>
              </w:rPr>
              <w:t>Release</w:t>
            </w:r>
          </w:p>
        </w:tc>
        <w:tc>
          <w:tcPr>
            <w:tcW w:type="dxa" w:w="2805"/>
          </w:tcPr>
          <w:p>
            <w:r/>
            <w:r>
              <w:rPr>
                <w:sz w:val="17"/>
              </w:rPr>
              <w:t>Full regression + @multiday + @resilience + blue/green cutover + recon + migration parity</w:t>
            </w:r>
          </w:p>
        </w:tc>
        <w:tc>
          <w:tcPr>
            <w:tcW w:type="dxa" w:w="2805"/>
          </w:tcPr>
          <w:p>
            <w:r/>
            <w:r>
              <w:rPr>
                <w:sz w:val="17"/>
              </w:rPr>
              <w:t>100% of P1 executed, ≥ 95% pass; no Sev 1/2 open; RTM published</w:t>
            </w:r>
          </w:p>
        </w:tc>
        <w:tc>
          <w:tcPr>
            <w:tcW w:type="dxa" w:w="2805"/>
          </w:tcPr>
          <w:p>
            <w:r/>
            <w:r>
              <w:rPr>
                <w:sz w:val="17"/>
              </w:rPr>
              <w:t>Test Manager + PO · RC rejected</w:t>
            </w:r>
          </w:p>
        </w:tc>
      </w:tr>
    </w:tbl>
    <w:p/>
    <w:p>
      <w:pPr>
        <w:pStyle w:val="Heading1"/>
      </w:pPr>
      <w:r>
        <w:t>7. SIT feature list and coverage</w:t>
      </w:r>
    </w:p>
    <w:p>
      <w:r>
        <w:rPr>
          <w:b/>
        </w:rPr>
        <w:t>Coverage:</w:t>
      </w:r>
      <w:r>
        <w:t xml:space="preserve"> </w:t>
      </w:r>
      <w:r>
        <w:rPr>
          <w:b/>
        </w:rPr>
        <w:t>Covered</w:t>
      </w:r>
      <w:r>
        <w:t xml:space="preserve"> means automated, in CI, with minor gaps only. </w:t>
      </w:r>
      <w:r>
        <w:rPr>
          <w:b/>
        </w:rPr>
        <w:t>Partially covered</w:t>
      </w:r>
      <w:r>
        <w:t xml:space="preserve"> means a test exists but is manual, only checks the report, or covers only some cases. </w:t>
      </w:r>
      <w:r>
        <w:rPr>
          <w:b/>
        </w:rPr>
        <w:t>Not covered</w:t>
      </w:r>
      <w:r>
        <w:t xml:space="preserve"> means there is no SIT test.</w:t>
      </w:r>
    </w:p>
    <w:p>
      <w:pPr>
        <w:pStyle w:val="Heading2"/>
      </w:pPr>
      <w:r>
        <w:t>7.1 L1 Interface</w:t>
      </w:r>
    </w:p>
    <w:tbl>
      <w:tblPr>
        <w:tblStyle w:val="TableGrid"/>
        <w:tblW w:type="auto" w:w="0"/>
        <w:tblLook w:firstColumn="1" w:firstRow="1" w:lastColumn="0" w:lastRow="0" w:noHBand="0" w:noVBand="1" w:val="04A0"/>
      </w:tblPr>
      <w:tblGrid>
        <w:gridCol w:w="2805"/>
        <w:gridCol w:w="2805"/>
        <w:gridCol w:w="2805"/>
        <w:gridCol w:w="2805"/>
        <w:gridCol w:w="2805"/>
      </w:tblGrid>
      <w:tr>
        <w:tc>
          <w:tcPr>
            <w:tcW w:type="dxa" w:w="2805"/>
            <w:shd w:val="clear" w:color="auto" w:fill="F4F5F7"/>
          </w:tcPr>
          <w:p>
            <w:r/>
            <w:r>
              <w:rPr>
                <w:b/>
                <w:sz w:val="17"/>
              </w:rPr>
              <w:t>#</w:t>
            </w:r>
          </w:p>
        </w:tc>
        <w:tc>
          <w:tcPr>
            <w:tcW w:type="dxa" w:w="2805"/>
            <w:shd w:val="clear" w:color="auto" w:fill="F4F5F7"/>
          </w:tcPr>
          <w:p>
            <w:r/>
            <w:r>
              <w:rPr>
                <w:b/>
                <w:sz w:val="17"/>
              </w:rPr>
              <w:t>SIT feature</w:t>
            </w:r>
          </w:p>
        </w:tc>
        <w:tc>
          <w:tcPr>
            <w:tcW w:type="dxa" w:w="2805"/>
            <w:shd w:val="clear" w:color="auto" w:fill="F4F5F7"/>
          </w:tcPr>
          <w:p>
            <w:r/>
            <w:r>
              <w:rPr>
                <w:b/>
                <w:sz w:val="17"/>
              </w:rPr>
              <w:t>What it must prove</w:t>
            </w:r>
          </w:p>
        </w:tc>
        <w:tc>
          <w:tcPr>
            <w:tcW w:type="dxa" w:w="2805"/>
            <w:shd w:val="clear" w:color="auto" w:fill="F4F5F7"/>
          </w:tcPr>
          <w:p>
            <w:r/>
            <w:r>
              <w:rPr>
                <w:b/>
                <w:sz w:val="17"/>
              </w:rPr>
              <w:t>Coverage</w:t>
            </w:r>
          </w:p>
        </w:tc>
        <w:tc>
          <w:tcPr>
            <w:tcW w:type="dxa" w:w="2805"/>
            <w:shd w:val="clear" w:color="auto" w:fill="F4F5F7"/>
          </w:tcPr>
          <w:p>
            <w:r/>
            <w:r>
              <w:rPr>
                <w:b/>
                <w:sz w:val="17"/>
              </w:rPr>
              <w:t>Today / what's missing</w:t>
            </w:r>
          </w:p>
        </w:tc>
      </w:tr>
      <w:tr>
        <w:tc>
          <w:tcPr>
            <w:tcW w:type="dxa" w:w="2805"/>
          </w:tcPr>
          <w:p>
            <w:r/>
            <w:r>
              <w:rPr>
                <w:sz w:val="17"/>
              </w:rPr>
              <w:t>1</w:t>
            </w:r>
          </w:p>
        </w:tc>
        <w:tc>
          <w:tcPr>
            <w:tcW w:type="dxa" w:w="2805"/>
          </w:tcPr>
          <w:p>
            <w:r/>
            <w:r>
              <w:rPr>
                <w:sz w:val="17"/>
              </w:rPr>
              <w:t>Kafka producer → consumer contracts</w:t>
            </w:r>
          </w:p>
        </w:tc>
        <w:tc>
          <w:tcPr>
            <w:tcW w:type="dxa" w:w="2805"/>
          </w:tcPr>
          <w:p>
            <w:r/>
            <w:r>
              <w:rPr>
                <w:sz w:val="17"/>
              </w:rPr>
              <w:t>Every real producer/consumer pair on Enterprise Kafka AWS is connected and schema-compatible</w:t>
            </w:r>
          </w:p>
        </w:tc>
        <w:tc>
          <w:tcPr>
            <w:tcW w:type="dxa" w:w="2805"/>
          </w:tcPr>
          <w:p>
            <w:r/>
            <w:r>
              <w:rPr>
                <w:b/>
                <w:sz w:val="17"/>
              </w:rPr>
              <w:t>Not covered</w:t>
            </w:r>
          </w:p>
        </w:tc>
        <w:tc>
          <w:tcPr>
            <w:tcW w:type="dxa" w:w="2805"/>
          </w:tcPr>
          <w:p>
            <w:r/>
            <w:r>
              <w:rPr>
                <w:sz w:val="17"/>
              </w:rPr>
              <w:t>Only implicit in Hooks setup</w:t>
            </w:r>
          </w:p>
        </w:tc>
      </w:tr>
      <w:tr>
        <w:tc>
          <w:tcPr>
            <w:tcW w:type="dxa" w:w="2805"/>
          </w:tcPr>
          <w:p>
            <w:r/>
            <w:r>
              <w:rPr>
                <w:sz w:val="17"/>
              </w:rPr>
              <w:t>2</w:t>
            </w:r>
          </w:p>
        </w:tc>
        <w:tc>
          <w:tcPr>
            <w:tcW w:type="dxa" w:w="2805"/>
          </w:tcPr>
          <w:p>
            <w:r/>
            <w:r>
              <w:rPr>
                <w:sz w:val="17"/>
              </w:rPr>
              <w:t>EMS queue integration</w:t>
            </w:r>
          </w:p>
        </w:tc>
        <w:tc>
          <w:tcPr>
            <w:tcW w:type="dxa" w:w="2805"/>
          </w:tcPr>
          <w:p>
            <w:r/>
            <w:r>
              <w:rPr>
                <w:sz w:val="17"/>
              </w:rPr>
              <w:t>ASX_TRADE and nCore queues deliver to the right ingestion services</w:t>
            </w:r>
          </w:p>
        </w:tc>
        <w:tc>
          <w:tcPr>
            <w:tcW w:type="dxa" w:w="2805"/>
          </w:tcPr>
          <w:p>
            <w:r/>
            <w:r>
              <w:rPr>
                <w:b/>
                <w:sz w:val="17"/>
              </w:rPr>
              <w:t>Partially covered</w:t>
            </w:r>
          </w:p>
        </w:tc>
        <w:tc>
          <w:tcPr>
            <w:tcW w:type="dxa" w:w="2805"/>
          </w:tcPr>
          <w:p>
            <w:r/>
            <w:r>
              <w:rPr>
                <w:sz w:val="17"/>
              </w:rPr>
              <w:t>EmsSteps injects messages but doesn't check delivery</w:t>
            </w:r>
          </w:p>
        </w:tc>
      </w:tr>
      <w:tr>
        <w:tc>
          <w:tcPr>
            <w:tcW w:type="dxa" w:w="2805"/>
          </w:tcPr>
          <w:p>
            <w:r/>
            <w:r>
              <w:rPr>
                <w:sz w:val="17"/>
              </w:rPr>
              <w:t>3</w:t>
            </w:r>
          </w:p>
        </w:tc>
        <w:tc>
          <w:tcPr>
            <w:tcW w:type="dxa" w:w="2805"/>
          </w:tcPr>
          <w:p>
            <w:r/>
            <w:r>
              <w:rPr>
                <w:sz w:val="17"/>
              </w:rPr>
              <w:t>S3 / SFTP file locations</w:t>
            </w:r>
          </w:p>
        </w:tc>
        <w:tc>
          <w:tcPr>
            <w:tcW w:type="dxa" w:w="2805"/>
          </w:tcPr>
          <w:p>
            <w:r/>
            <w:r>
              <w:rPr>
                <w:sz w:val="17"/>
              </w:rPr>
              <w:t>Inbound drop and outbound report locations are wired</w:t>
            </w:r>
          </w:p>
        </w:tc>
        <w:tc>
          <w:tcPr>
            <w:tcW w:type="dxa" w:w="2805"/>
          </w:tcPr>
          <w:p>
            <w:r/>
            <w:r>
              <w:rPr>
                <w:b/>
                <w:sz w:val="17"/>
              </w:rPr>
              <w:t>Partially covered</w:t>
            </w:r>
          </w:p>
        </w:tc>
        <w:tc>
          <w:tcPr>
            <w:tcW w:type="dxa" w:w="2805"/>
          </w:tcPr>
          <w:p>
            <w:r/>
            <w:r>
              <w:rPr>
                <w:sz w:val="17"/>
              </w:rPr>
              <w:t>Outbound read only; inbound drops not tested</w:t>
            </w:r>
          </w:p>
        </w:tc>
      </w:tr>
      <w:tr>
        <w:tc>
          <w:tcPr>
            <w:tcW w:type="dxa" w:w="2805"/>
          </w:tcPr>
          <w:p>
            <w:r/>
            <w:r>
              <w:rPr>
                <w:sz w:val="17"/>
              </w:rPr>
              <w:t>4</w:t>
            </w:r>
          </w:p>
        </w:tc>
        <w:tc>
          <w:tcPr>
            <w:tcW w:type="dxa" w:w="2805"/>
          </w:tcPr>
          <w:p>
            <w:r/>
            <w:r>
              <w:rPr>
                <w:sz w:val="17"/>
              </w:rPr>
              <w:t>Elasticsearch log sink</w:t>
            </w:r>
          </w:p>
        </w:tc>
        <w:tc>
          <w:tcPr>
            <w:tcW w:type="dxa" w:w="2805"/>
          </w:tcPr>
          <w:p>
            <w:r/>
            <w:r>
              <w:rPr>
                <w:sz w:val="17"/>
              </w:rPr>
              <w:t>Every service logs structured JSON to ES with its service name</w:t>
            </w:r>
          </w:p>
        </w:tc>
        <w:tc>
          <w:tcPr>
            <w:tcW w:type="dxa" w:w="2805"/>
          </w:tcPr>
          <w:p>
            <w:r/>
            <w:r>
              <w:rPr>
                <w:b/>
                <w:sz w:val="17"/>
              </w:rPr>
              <w:t>Not covered</w:t>
            </w:r>
          </w:p>
        </w:tc>
        <w:tc>
          <w:tcPr>
            <w:tcW w:type="dxa" w:w="2805"/>
          </w:tcPr>
          <w:p>
            <w:r/>
            <w:r>
              <w:rPr>
                <w:sz w:val="17"/>
              </w:rPr>
              <w:t>None</w:t>
            </w:r>
          </w:p>
        </w:tc>
      </w:tr>
      <w:tr>
        <w:tc>
          <w:tcPr>
            <w:tcW w:type="dxa" w:w="2805"/>
          </w:tcPr>
          <w:p>
            <w:r/>
            <w:r>
              <w:rPr>
                <w:sz w:val="17"/>
              </w:rPr>
              <w:t>5</w:t>
            </w:r>
          </w:p>
        </w:tc>
        <w:tc>
          <w:tcPr>
            <w:tcW w:type="dxa" w:w="2805"/>
          </w:tcPr>
          <w:p>
            <w:r/>
            <w:r>
              <w:rPr>
                <w:sz w:val="17"/>
              </w:rPr>
              <w:t>EKS platform baseline</w:t>
            </w:r>
          </w:p>
        </w:tc>
        <w:tc>
          <w:tcPr>
            <w:tcW w:type="dxa" w:w="2805"/>
          </w:tcPr>
          <w:p>
            <w:r/>
            <w:r>
              <w:rPr>
                <w:sz w:val="17"/>
              </w:rPr>
              <w:t>Cluster, node groups, taints, labels, instance types, AZ spread and storage match the design</w:t>
            </w:r>
          </w:p>
        </w:tc>
        <w:tc>
          <w:tcPr>
            <w:tcW w:type="dxa" w:w="2805"/>
          </w:tcPr>
          <w:p>
            <w:r/>
            <w:r>
              <w:rPr>
                <w:b/>
                <w:sz w:val="17"/>
              </w:rPr>
              <w:t>Not covered</w:t>
            </w:r>
          </w:p>
        </w:tc>
        <w:tc>
          <w:tcPr>
            <w:tcW w:type="dxa" w:w="2805"/>
          </w:tcPr>
          <w:p>
            <w:r/>
            <w:r>
              <w:rPr>
                <w:sz w:val="17"/>
              </w:rPr>
              <w:t>Reusable cluster-validation script exists (Enterprise Kafka project); not yet applied to Hubble</w:t>
            </w:r>
          </w:p>
        </w:tc>
      </w:tr>
      <w:tr>
        <w:tc>
          <w:tcPr>
            <w:tcW w:type="dxa" w:w="2805"/>
          </w:tcPr>
          <w:p>
            <w:r/>
            <w:r>
              <w:rPr>
                <w:sz w:val="17"/>
              </w:rPr>
              <w:t>6</w:t>
            </w:r>
          </w:p>
        </w:tc>
        <w:tc>
          <w:tcPr>
            <w:tcW w:type="dxa" w:w="2805"/>
          </w:tcPr>
          <w:p>
            <w:r/>
            <w:r>
              <w:rPr>
                <w:sz w:val="17"/>
              </w:rPr>
              <w:t>Hubble workload deployment and configuration</w:t>
            </w:r>
          </w:p>
        </w:tc>
        <w:tc>
          <w:tcPr>
            <w:tcW w:type="dxa" w:w="2805"/>
          </w:tcPr>
          <w:p>
            <w:r/>
            <w:r>
              <w:rPr>
                <w:sz w:val="17"/>
              </w:rPr>
              <w:t>Every Hubble deployment/statefulset runs the release image (arm64), with replicas, config maps, secrets, tolerations and resource limits as designed</w:t>
            </w:r>
          </w:p>
        </w:tc>
        <w:tc>
          <w:tcPr>
            <w:tcW w:type="dxa" w:w="2805"/>
          </w:tcPr>
          <w:p>
            <w:r/>
            <w:r>
              <w:rPr>
                <w:b/>
                <w:sz w:val="17"/>
              </w:rPr>
              <w:t>Partially covered</w:t>
            </w:r>
          </w:p>
        </w:tc>
        <w:tc>
          <w:tcPr>
            <w:tcW w:type="dxa" w:w="2805"/>
          </w:tcPr>
          <w:p>
            <w:r/>
            <w:r>
              <w:rPr>
                <w:sz w:val="17"/>
              </w:rPr>
              <w:t>KubeUtil only scales statefulsets</w:t>
            </w:r>
          </w:p>
        </w:tc>
      </w:tr>
      <w:tr>
        <w:tc>
          <w:tcPr>
            <w:tcW w:type="dxa" w:w="2805"/>
          </w:tcPr>
          <w:p>
            <w:r/>
            <w:r>
              <w:rPr>
                <w:sz w:val="17"/>
              </w:rPr>
              <w:t>7</w:t>
            </w:r>
          </w:p>
        </w:tc>
        <w:tc>
          <w:tcPr>
            <w:tcW w:type="dxa" w:w="2805"/>
          </w:tcPr>
          <w:p>
            <w:r/>
            <w:r>
              <w:rPr>
                <w:sz w:val="17"/>
              </w:rPr>
              <w:t>Aurora connectivity and DB user roles</w:t>
            </w:r>
          </w:p>
        </w:tc>
        <w:tc>
          <w:tcPr>
            <w:tcW w:type="dxa" w:w="2805"/>
          </w:tcPr>
          <w:p>
            <w:r/>
            <w:r>
              <w:rPr>
                <w:sz w:val="17"/>
              </w:rPr>
              <w:t>Services use the app user on their own DB; recon is read-only; deploy is migrations only</w:t>
            </w:r>
          </w:p>
        </w:tc>
        <w:tc>
          <w:tcPr>
            <w:tcW w:type="dxa" w:w="2805"/>
          </w:tcPr>
          <w:p>
            <w:r/>
            <w:r>
              <w:rPr>
                <w:b/>
                <w:sz w:val="17"/>
              </w:rPr>
              <w:t>Not covered</w:t>
            </w:r>
          </w:p>
        </w:tc>
        <w:tc>
          <w:tcPr>
            <w:tcW w:type="dxa" w:w="2805"/>
          </w:tcPr>
          <w:p>
            <w:r/>
            <w:r>
              <w:rPr>
                <w:sz w:val="17"/>
              </w:rPr>
              <w:t>None</w:t>
            </w:r>
          </w:p>
        </w:tc>
      </w:tr>
      <w:tr>
        <w:tc>
          <w:tcPr>
            <w:tcW w:type="dxa" w:w="2805"/>
          </w:tcPr>
          <w:p>
            <w:r/>
            <w:r>
              <w:rPr>
                <w:sz w:val="17"/>
              </w:rPr>
              <w:t>8</w:t>
            </w:r>
          </w:p>
        </w:tc>
        <w:tc>
          <w:tcPr>
            <w:tcW w:type="dxa" w:w="2805"/>
          </w:tcPr>
          <w:p>
            <w:r/>
            <w:r>
              <w:rPr>
                <w:sz w:val="17"/>
              </w:rPr>
              <w:t>Aurora schema version and config consistency</w:t>
            </w:r>
          </w:p>
        </w:tc>
        <w:tc>
          <w:tcPr>
            <w:tcW w:type="dxa" w:w="2805"/>
          </w:tcPr>
          <w:p>
            <w:r/>
            <w:r>
              <w:rPr>
                <w:sz w:val="17"/>
              </w:rPr>
              <w:t>Liquibase state matches the release; no stray tables; TAS config tables consistent</w:t>
            </w:r>
          </w:p>
        </w:tc>
        <w:tc>
          <w:tcPr>
            <w:tcW w:type="dxa" w:w="2805"/>
          </w:tcPr>
          <w:p>
            <w:r/>
            <w:r>
              <w:rPr>
                <w:b/>
                <w:sz w:val="17"/>
              </w:rPr>
              <w:t>Not covered</w:t>
            </w:r>
          </w:p>
        </w:tc>
        <w:tc>
          <w:tcPr>
            <w:tcW w:type="dxa" w:w="2805"/>
          </w:tcPr>
          <w:p>
            <w:r/>
            <w:r>
              <w:rPr>
                <w:sz w:val="17"/>
              </w:rPr>
              <w:t>None</w:t>
            </w:r>
          </w:p>
        </w:tc>
      </w:tr>
      <w:tr>
        <w:tc>
          <w:tcPr>
            <w:tcW w:type="dxa" w:w="2805"/>
          </w:tcPr>
          <w:p>
            <w:r/>
            <w:r>
              <w:rPr>
                <w:sz w:val="17"/>
              </w:rPr>
              <w:t>9</w:t>
            </w:r>
          </w:p>
        </w:tc>
        <w:tc>
          <w:tcPr>
            <w:tcW w:type="dxa" w:w="2805"/>
          </w:tcPr>
          <w:p>
            <w:r/>
            <w:r>
              <w:rPr>
                <w:sz w:val="17"/>
              </w:rPr>
              <w:t>Network paths and firewall rules</w:t>
            </w:r>
          </w:p>
        </w:tc>
        <w:tc>
          <w:tcPr>
            <w:tcW w:type="dxa" w:w="2805"/>
          </w:tcPr>
          <w:p>
            <w:r/>
            <w:r>
              <w:rPr>
                <w:sz w:val="17"/>
              </w:rPr>
              <w:t>Every documented flow (section 4.5) is reachable, and undocumented flows are blocked</w:t>
            </w:r>
          </w:p>
        </w:tc>
        <w:tc>
          <w:tcPr>
            <w:tcW w:type="dxa" w:w="2805"/>
          </w:tcPr>
          <w:p>
            <w:r/>
            <w:r>
              <w:rPr>
                <w:b/>
                <w:sz w:val="17"/>
              </w:rPr>
              <w:t>Not covered</w:t>
            </w:r>
          </w:p>
        </w:tc>
        <w:tc>
          <w:tcPr>
            <w:tcW w:type="dxa" w:w="2805"/>
          </w:tcPr>
          <w:p>
            <w:r/>
            <w:r>
              <w:rPr>
                <w:sz w:val="17"/>
              </w:rPr>
              <w:t>None</w:t>
            </w:r>
          </w:p>
        </w:tc>
      </w:tr>
      <w:tr>
        <w:tc>
          <w:tcPr>
            <w:tcW w:type="dxa" w:w="2805"/>
          </w:tcPr>
          <w:p>
            <w:r/>
            <w:r>
              <w:rPr>
                <w:sz w:val="17"/>
              </w:rPr>
              <w:t>10</w:t>
            </w:r>
          </w:p>
        </w:tc>
        <w:tc>
          <w:tcPr>
            <w:tcW w:type="dxa" w:w="2805"/>
          </w:tcPr>
          <w:p>
            <w:r/>
            <w:r>
              <w:rPr>
                <w:sz w:val="17"/>
              </w:rPr>
              <w:t>Certificates, DNS and endpoints</w:t>
            </w:r>
          </w:p>
        </w:tc>
        <w:tc>
          <w:tcPr>
            <w:tcW w:type="dxa" w:w="2805"/>
          </w:tcPr>
          <w:p>
            <w:r/>
            <w:r>
              <w:rPr>
                <w:sz w:val="17"/>
              </w:rPr>
              <w:t>TLS certificates are valid with the correct SANs; hosted-zone records resolve; NLB/F5 endpoints answer</w:t>
            </w:r>
          </w:p>
        </w:tc>
        <w:tc>
          <w:tcPr>
            <w:tcW w:type="dxa" w:w="2805"/>
          </w:tcPr>
          <w:p>
            <w:r/>
            <w:r>
              <w:rPr>
                <w:b/>
                <w:sz w:val="17"/>
              </w:rPr>
              <w:t>Not covered</w:t>
            </w:r>
          </w:p>
        </w:tc>
        <w:tc>
          <w:tcPr>
            <w:tcW w:type="dxa" w:w="2805"/>
          </w:tcPr>
          <w:p>
            <w:r/>
            <w:r>
              <w:rPr>
                <w:sz w:val="17"/>
              </w:rPr>
              <w:t>None</w:t>
            </w:r>
          </w:p>
        </w:tc>
      </w:tr>
      <w:tr>
        <w:tc>
          <w:tcPr>
            <w:tcW w:type="dxa" w:w="2805"/>
          </w:tcPr>
          <w:p>
            <w:r/>
            <w:r>
              <w:rPr>
                <w:sz w:val="17"/>
              </w:rPr>
              <w:t>11</w:t>
            </w:r>
          </w:p>
        </w:tc>
        <w:tc>
          <w:tcPr>
            <w:tcW w:type="dxa" w:w="2805"/>
          </w:tcPr>
          <w:p>
            <w:r/>
            <w:r>
              <w:rPr>
                <w:sz w:val="17"/>
              </w:rPr>
              <w:t>Identity and access</w:t>
            </w:r>
          </w:p>
        </w:tc>
        <w:tc>
          <w:tcPr>
            <w:tcW w:type="dxa" w:w="2805"/>
          </w:tcPr>
          <w:p>
            <w:r/>
            <w:r>
              <w:rPr>
                <w:sz w:val="17"/>
              </w:rPr>
              <w:t>S3 access via Pod Identity (no static keys); ForgeRock token flow for SignalB/verification clients</w:t>
            </w:r>
          </w:p>
        </w:tc>
        <w:tc>
          <w:tcPr>
            <w:tcW w:type="dxa" w:w="2805"/>
          </w:tcPr>
          <w:p>
            <w:r/>
            <w:r>
              <w:rPr>
                <w:b/>
                <w:sz w:val="17"/>
              </w:rPr>
              <w:t>Not covered</w:t>
            </w:r>
          </w:p>
        </w:tc>
        <w:tc>
          <w:tcPr>
            <w:tcW w:type="dxa" w:w="2805"/>
          </w:tcPr>
          <w:p>
            <w:r/>
            <w:r>
              <w:rPr>
                <w:sz w:val="17"/>
              </w:rPr>
              <w:t>None</w:t>
            </w:r>
          </w:p>
        </w:tc>
      </w:tr>
    </w:tbl>
    <w:p/>
    <w:p>
      <w:pPr>
        <w:pStyle w:val="Heading2"/>
      </w:pPr>
      <w:r>
        <w:t>7.2 L2 Flow integration</w:t>
      </w:r>
    </w:p>
    <w:tbl>
      <w:tblPr>
        <w:tblStyle w:val="TableGrid"/>
        <w:tblW w:type="auto" w:w="0"/>
        <w:tblLook w:firstColumn="1" w:firstRow="1" w:lastColumn="0" w:lastRow="0" w:noHBand="0" w:noVBand="1" w:val="04A0"/>
      </w:tblPr>
      <w:tblGrid>
        <w:gridCol w:w="2805"/>
        <w:gridCol w:w="2805"/>
        <w:gridCol w:w="2805"/>
        <w:gridCol w:w="2805"/>
        <w:gridCol w:w="2805"/>
      </w:tblGrid>
      <w:tr>
        <w:tc>
          <w:tcPr>
            <w:tcW w:type="dxa" w:w="2805"/>
            <w:shd w:val="clear" w:color="auto" w:fill="F4F5F7"/>
          </w:tcPr>
          <w:p>
            <w:r/>
            <w:r>
              <w:rPr>
                <w:b/>
                <w:sz w:val="17"/>
              </w:rPr>
              <w:t>#</w:t>
            </w:r>
          </w:p>
        </w:tc>
        <w:tc>
          <w:tcPr>
            <w:tcW w:type="dxa" w:w="2805"/>
            <w:shd w:val="clear" w:color="auto" w:fill="F4F5F7"/>
          </w:tcPr>
          <w:p>
            <w:r/>
            <w:r>
              <w:rPr>
                <w:b/>
                <w:sz w:val="17"/>
              </w:rPr>
              <w:t>SIT feature</w:t>
            </w:r>
          </w:p>
        </w:tc>
        <w:tc>
          <w:tcPr>
            <w:tcW w:type="dxa" w:w="2805"/>
            <w:shd w:val="clear" w:color="auto" w:fill="F4F5F7"/>
          </w:tcPr>
          <w:p>
            <w:r/>
            <w:r>
              <w:rPr>
                <w:b/>
                <w:sz w:val="17"/>
              </w:rPr>
              <w:t>What it must prove</w:t>
            </w:r>
          </w:p>
        </w:tc>
        <w:tc>
          <w:tcPr>
            <w:tcW w:type="dxa" w:w="2805"/>
            <w:shd w:val="clear" w:color="auto" w:fill="F4F5F7"/>
          </w:tcPr>
          <w:p>
            <w:r/>
            <w:r>
              <w:rPr>
                <w:b/>
                <w:sz w:val="17"/>
              </w:rPr>
              <w:t>Coverage</w:t>
            </w:r>
          </w:p>
        </w:tc>
        <w:tc>
          <w:tcPr>
            <w:tcW w:type="dxa" w:w="2805"/>
            <w:shd w:val="clear" w:color="auto" w:fill="F4F5F7"/>
          </w:tcPr>
          <w:p>
            <w:r/>
            <w:r>
              <w:rPr>
                <w:b/>
                <w:sz w:val="17"/>
              </w:rPr>
              <w:t>Today / what's missing</w:t>
            </w:r>
          </w:p>
        </w:tc>
      </w:tr>
      <w:tr>
        <w:tc>
          <w:tcPr>
            <w:tcW w:type="dxa" w:w="2805"/>
          </w:tcPr>
          <w:p>
            <w:r/>
            <w:r>
              <w:rPr>
                <w:sz w:val="17"/>
              </w:rPr>
              <w:t>12</w:t>
            </w:r>
          </w:p>
        </w:tc>
        <w:tc>
          <w:tcPr>
            <w:tcW w:type="dxa" w:w="2805"/>
          </w:tcPr>
          <w:p>
            <w:r/>
            <w:r>
              <w:rPr>
                <w:sz w:val="17"/>
              </w:rPr>
              <w:t>ASX Trade → processing</w:t>
            </w:r>
          </w:p>
        </w:tc>
        <w:tc>
          <w:tcPr>
            <w:tcW w:type="dxa" w:w="2805"/>
          </w:tcPr>
          <w:p>
            <w:r/>
            <w:r>
              <w:rPr>
                <w:sz w:val="17"/>
              </w:rPr>
              <w:t>Stats, trades, TOB and OB directory reach quote capture and trade enrichment; cancel, amend and duplicate handling</w:t>
            </w:r>
          </w:p>
        </w:tc>
        <w:tc>
          <w:tcPr>
            <w:tcW w:type="dxa" w:w="2805"/>
          </w:tcPr>
          <w:p>
            <w:r/>
            <w:r>
              <w:rPr>
                <w:b/>
                <w:sz w:val="17"/>
              </w:rPr>
              <w:t>Partially covered</w:t>
            </w:r>
          </w:p>
        </w:tc>
        <w:tc>
          <w:tcPr>
            <w:tcW w:type="dxa" w:w="2805"/>
          </w:tcPr>
          <w:p>
            <w:r/>
            <w:r>
              <w:rPr>
                <w:sz w:val="17"/>
              </w:rPr>
              <w:t>Setup data in D01-003/004, D04-002, CSBT; hand-off not checked</w:t>
            </w:r>
          </w:p>
        </w:tc>
      </w:tr>
      <w:tr>
        <w:tc>
          <w:tcPr>
            <w:tcW w:type="dxa" w:w="2805"/>
          </w:tcPr>
          <w:p>
            <w:r/>
            <w:r>
              <w:rPr>
                <w:sz w:val="17"/>
              </w:rPr>
              <w:t>13</w:t>
            </w:r>
          </w:p>
        </w:tc>
        <w:tc>
          <w:tcPr>
            <w:tcW w:type="dxa" w:w="2805"/>
          </w:tcPr>
          <w:p>
            <w:r/>
            <w:r>
              <w:rPr>
                <w:sz w:val="17"/>
              </w:rPr>
              <w:t>Reference data propagation</w:t>
            </w:r>
          </w:p>
        </w:tc>
        <w:tc>
          <w:tcPr>
            <w:tcW w:type="dxa" w:w="2805"/>
          </w:tcPr>
          <w:p>
            <w:r/>
            <w:r>
              <w:rPr>
                <w:sz w:val="17"/>
              </w:rPr>
              <w:t>nCore instrument, issuer, index and CA changes reach every consumer</w:t>
            </w:r>
          </w:p>
        </w:tc>
        <w:tc>
          <w:tcPr>
            <w:tcW w:type="dxa" w:w="2805"/>
          </w:tcPr>
          <w:p>
            <w:r/>
            <w:r>
              <w:rPr>
                <w:b/>
                <w:sz w:val="17"/>
              </w:rPr>
              <w:t>Partially covered</w:t>
            </w:r>
          </w:p>
        </w:tc>
        <w:tc>
          <w:tcPr>
            <w:tcW w:type="dxa" w:w="2805"/>
          </w:tcPr>
          <w:p>
            <w:r/>
            <w:r>
              <w:rPr>
                <w:sz w:val="17"/>
              </w:rPr>
              <w:t>Only through D01 NewInstrument</w:t>
            </w:r>
          </w:p>
        </w:tc>
      </w:tr>
      <w:tr>
        <w:tc>
          <w:tcPr>
            <w:tcW w:type="dxa" w:w="2805"/>
          </w:tcPr>
          <w:p>
            <w:r/>
            <w:r>
              <w:rPr>
                <w:sz w:val="17"/>
              </w:rPr>
              <w:t>14</w:t>
            </w:r>
          </w:p>
        </w:tc>
        <w:tc>
          <w:tcPr>
            <w:tcW w:type="dxa" w:w="2805"/>
          </w:tcPr>
          <w:p>
            <w:r/>
            <w:r>
              <w:rPr>
                <w:sz w:val="17"/>
              </w:rPr>
              <w:t>Third-party feeds</w:t>
            </w:r>
          </w:p>
        </w:tc>
        <w:tc>
          <w:tcPr>
            <w:tcW w:type="dxa" w:w="2805"/>
          </w:tcPr>
          <w:p>
            <w:r/>
            <w:r>
              <w:rPr>
                <w:sz w:val="17"/>
              </w:rPr>
              <w:t>S&amp;P/GRIP, MorningStar and OIIP flow through ingestion and S&amp;P enrichment</w:t>
            </w:r>
          </w:p>
        </w:tc>
        <w:tc>
          <w:tcPr>
            <w:tcW w:type="dxa" w:w="2805"/>
          </w:tcPr>
          <w:p>
            <w:r/>
            <w:r>
              <w:rPr>
                <w:b/>
                <w:sz w:val="17"/>
              </w:rPr>
              <w:t>Partially covered</w:t>
            </w:r>
          </w:p>
        </w:tc>
        <w:tc>
          <w:tcPr>
            <w:tcW w:type="dxa" w:w="2805"/>
          </w:tcPr>
          <w:p>
            <w:r/>
            <w:r>
              <w:rPr>
                <w:sz w:val="17"/>
              </w:rPr>
              <w:t>One S&amp;P path (D33-006)</w:t>
            </w:r>
          </w:p>
        </w:tc>
      </w:tr>
      <w:tr>
        <w:tc>
          <w:tcPr>
            <w:tcW w:type="dxa" w:w="2805"/>
          </w:tcPr>
          <w:p>
            <w:r/>
            <w:r>
              <w:rPr>
                <w:sz w:val="17"/>
              </w:rPr>
              <w:t>15</w:t>
            </w:r>
          </w:p>
        </w:tc>
        <w:tc>
          <w:tcPr>
            <w:tcW w:type="dxa" w:w="2805"/>
          </w:tcPr>
          <w:p>
            <w:r/>
            <w:r>
              <w:rPr>
                <w:sz w:val="17"/>
              </w:rPr>
              <w:t>DCS / DPS EOD files</w:t>
            </w:r>
          </w:p>
        </w:tc>
        <w:tc>
          <w:tcPr>
            <w:tcW w:type="dxa" w:w="2805"/>
          </w:tcPr>
          <w:p>
            <w:r/>
            <w:r>
              <w:rPr>
                <w:sz w:val="17"/>
              </w:rPr>
              <w:t>CORE, Margin Price and Index XBW are ingested and used downstream</w:t>
            </w:r>
          </w:p>
        </w:tc>
        <w:tc>
          <w:tcPr>
            <w:tcW w:type="dxa" w:w="2805"/>
          </w:tcPr>
          <w:p>
            <w:r/>
            <w:r>
              <w:rPr>
                <w:b/>
                <w:sz w:val="17"/>
              </w:rPr>
              <w:t>Not covered</w:t>
            </w:r>
          </w:p>
        </w:tc>
        <w:tc>
          <w:tcPr>
            <w:tcW w:type="dxa" w:w="2805"/>
          </w:tcPr>
          <w:p>
            <w:r/>
            <w:r>
              <w:rPr>
                <w:sz w:val="17"/>
              </w:rPr>
              <w:t>None</w:t>
            </w:r>
          </w:p>
        </w:tc>
      </w:tr>
      <w:tr>
        <w:tc>
          <w:tcPr>
            <w:tcW w:type="dxa" w:w="2805"/>
          </w:tcPr>
          <w:p>
            <w:r/>
            <w:r>
              <w:rPr>
                <w:sz w:val="17"/>
              </w:rPr>
              <w:t>16</w:t>
            </w:r>
          </w:p>
        </w:tc>
        <w:tc>
          <w:tcPr>
            <w:tcW w:type="dxa" w:w="2805"/>
          </w:tcPr>
          <w:p>
            <w:r/>
            <w:r>
              <w:rPr>
                <w:sz w:val="17"/>
              </w:rPr>
              <w:t>Calendar-driven behaviour</w:t>
            </w:r>
          </w:p>
        </w:tc>
        <w:tc>
          <w:tcPr>
            <w:tcW w:type="dxa" w:w="2805"/>
          </w:tcPr>
          <w:p>
            <w:r/>
            <w:r>
              <w:rPr>
                <w:sz w:val="17"/>
              </w:rPr>
              <w:t>Holidays and half-days change SOD, cut-offs and schedules</w:t>
            </w:r>
          </w:p>
        </w:tc>
        <w:tc>
          <w:tcPr>
            <w:tcW w:type="dxa" w:w="2805"/>
          </w:tcPr>
          <w:p>
            <w:r/>
            <w:r>
              <w:rPr>
                <w:b/>
                <w:sz w:val="17"/>
              </w:rPr>
              <w:t>Not covered</w:t>
            </w:r>
          </w:p>
        </w:tc>
        <w:tc>
          <w:tcPr>
            <w:tcW w:type="dxa" w:w="2805"/>
          </w:tcPr>
          <w:p>
            <w:r/>
            <w:r>
              <w:rPr>
                <w:sz w:val="17"/>
              </w:rPr>
              <w:t>None</w:t>
            </w:r>
          </w:p>
        </w:tc>
      </w:tr>
      <w:tr>
        <w:tc>
          <w:tcPr>
            <w:tcW w:type="dxa" w:w="2805"/>
          </w:tcPr>
          <w:p>
            <w:r/>
            <w:r>
              <w:rPr>
                <w:sz w:val="17"/>
              </w:rPr>
              <w:t>17</w:t>
            </w:r>
          </w:p>
        </w:tc>
        <w:tc>
          <w:tcPr>
            <w:tcW w:type="dxa" w:w="2805"/>
          </w:tcPr>
          <w:p>
            <w:r/>
            <w:r>
              <w:rPr>
                <w:sz w:val="17"/>
              </w:rPr>
              <w:t>Start-of-day sequence</w:t>
            </w:r>
          </w:p>
        </w:tc>
        <w:tc>
          <w:tcPr>
            <w:tcW w:type="dxa" w:w="2805"/>
          </w:tcPr>
          <w:p>
            <w:r/>
            <w:r>
              <w:rPr>
                <w:sz w:val="17"/>
              </w:rPr>
              <w:t>SOD topics, SOD prices and quote init complete before open</w:t>
            </w:r>
          </w:p>
        </w:tc>
        <w:tc>
          <w:tcPr>
            <w:tcW w:type="dxa" w:w="2805"/>
          </w:tcPr>
          <w:p>
            <w:r/>
            <w:r>
              <w:rPr>
                <w:b/>
                <w:sz w:val="17"/>
              </w:rPr>
              <w:t>Partially covered</w:t>
            </w:r>
          </w:p>
        </w:tc>
        <w:tc>
          <w:tcPr>
            <w:tcW w:type="dxa" w:w="2805"/>
          </w:tcPr>
          <w:p>
            <w:r/>
            <w:r>
              <w:rPr>
                <w:sz w:val="17"/>
              </w:rPr>
              <w:t>D01-008/029 run quote init; SOD topics not checked</w:t>
            </w:r>
          </w:p>
        </w:tc>
      </w:tr>
      <w:tr>
        <w:tc>
          <w:tcPr>
            <w:tcW w:type="dxa" w:w="2805"/>
          </w:tcPr>
          <w:p>
            <w:r/>
            <w:r>
              <w:rPr>
                <w:sz w:val="17"/>
              </w:rPr>
              <w:t>18</w:t>
            </w:r>
          </w:p>
        </w:tc>
        <w:tc>
          <w:tcPr>
            <w:tcW w:type="dxa" w:w="2805"/>
          </w:tcPr>
          <w:p>
            <w:r/>
            <w:r>
              <w:rPr>
                <w:sz w:val="17"/>
              </w:rPr>
              <w:t>Quote → valuation chain</w:t>
            </w:r>
          </w:p>
        </w:tc>
        <w:tc>
          <w:tcPr>
            <w:tcW w:type="dxa" w:w="2805"/>
          </w:tcPr>
          <w:p>
            <w:r/>
            <w:r>
              <w:rPr>
                <w:sz w:val="17"/>
              </w:rPr>
              <w:t>Quote, NTQuote enrichment, valuation, footnotes and option values flow to streaming</w:t>
            </w:r>
          </w:p>
        </w:tc>
        <w:tc>
          <w:tcPr>
            <w:tcW w:type="dxa" w:w="2805"/>
          </w:tcPr>
          <w:p>
            <w:r/>
            <w:r>
              <w:rPr>
                <w:b/>
                <w:sz w:val="17"/>
              </w:rPr>
              <w:t>Partially covered</w:t>
            </w:r>
          </w:p>
        </w:tc>
        <w:tc>
          <w:tcPr>
            <w:tcW w:type="dxa" w:w="2805"/>
          </w:tcPr>
          <w:p>
            <w:r/>
            <w:r>
              <w:rPr>
                <w:sz w:val="17"/>
              </w:rPr>
              <w:t>D01-005 at report level; TOB reject window manual</w:t>
            </w:r>
          </w:p>
        </w:tc>
      </w:tr>
      <w:tr>
        <w:tc>
          <w:tcPr>
            <w:tcW w:type="dxa" w:w="2805"/>
          </w:tcPr>
          <w:p>
            <w:r/>
            <w:r>
              <w:rPr>
                <w:sz w:val="17"/>
              </w:rPr>
              <w:t>19</w:t>
            </w:r>
          </w:p>
        </w:tc>
        <w:tc>
          <w:tcPr>
            <w:tcW w:type="dxa" w:w="2805"/>
          </w:tcPr>
          <w:p>
            <w:r/>
            <w:r>
              <w:rPr>
                <w:sz w:val="17"/>
              </w:rPr>
              <w:t>Cross-day valuation</w:t>
            </w:r>
          </w:p>
        </w:tc>
        <w:tc>
          <w:tcPr>
            <w:tcW w:type="dxa" w:w="2805"/>
          </w:tcPr>
          <w:p>
            <w:r/>
            <w:r>
              <w:rPr>
                <w:sz w:val="17"/>
              </w:rPr>
              <w:t>Cancel reversal, strike after code change, valPriceMethodFlag across days</w:t>
            </w:r>
          </w:p>
        </w:tc>
        <w:tc>
          <w:tcPr>
            <w:tcW w:type="dxa" w:w="2805"/>
          </w:tcPr>
          <w:p>
            <w:r/>
            <w:r>
              <w:rPr>
                <w:b/>
                <w:sz w:val="17"/>
              </w:rPr>
              <w:t>Partially covered</w:t>
            </w:r>
          </w:p>
        </w:tc>
        <w:tc>
          <w:tcPr>
            <w:tcW w:type="dxa" w:w="2805"/>
          </w:tcPr>
          <w:p>
            <w:r/>
            <w:r>
              <w:rPr>
                <w:sz w:val="17"/>
              </w:rPr>
              <w:t>HUBES-3277/3278 only</w:t>
            </w:r>
          </w:p>
        </w:tc>
      </w:tr>
      <w:tr>
        <w:tc>
          <w:tcPr>
            <w:tcW w:type="dxa" w:w="2805"/>
          </w:tcPr>
          <w:p>
            <w:r/>
            <w:r>
              <w:rPr>
                <w:sz w:val="17"/>
              </w:rPr>
              <w:t>20</w:t>
            </w:r>
          </w:p>
        </w:tc>
        <w:tc>
          <w:tcPr>
            <w:tcW w:type="dxa" w:w="2805"/>
          </w:tcPr>
          <w:p>
            <w:r/>
            <w:r>
              <w:rPr>
                <w:sz w:val="17"/>
              </w:rPr>
              <w:t>Trade enrichment → TAS</w:t>
            </w:r>
          </w:p>
        </w:tc>
        <w:tc>
          <w:tcPr>
            <w:tcW w:type="dxa" w:w="2805"/>
          </w:tcPr>
          <w:p>
            <w:r/>
            <w:r>
              <w:rPr>
                <w:sz w:val="17"/>
              </w:rPr>
              <w:t>Enriched trades drive every TAS criterion including MN and MV</w:t>
            </w:r>
          </w:p>
        </w:tc>
        <w:tc>
          <w:tcPr>
            <w:tcW w:type="dxa" w:w="2805"/>
          </w:tcPr>
          <w:p>
            <w:r/>
            <w:r>
              <w:rPr>
                <w:b/>
                <w:sz w:val="17"/>
              </w:rPr>
              <w:t>Partially covered</w:t>
            </w:r>
          </w:p>
        </w:tc>
        <w:tc>
          <w:tcPr>
            <w:tcW w:type="dxa" w:w="2805"/>
          </w:tcPr>
          <w:p>
            <w:r/>
            <w:r>
              <w:rPr>
                <w:sz w:val="17"/>
              </w:rPr>
              <w:t>D06 report level; MN/MV none</w:t>
            </w:r>
          </w:p>
        </w:tc>
      </w:tr>
      <w:tr>
        <w:tc>
          <w:tcPr>
            <w:tcW w:type="dxa" w:w="2805"/>
          </w:tcPr>
          <w:p>
            <w:r/>
            <w:r>
              <w:rPr>
                <w:sz w:val="17"/>
              </w:rPr>
              <w:t>21</w:t>
            </w:r>
          </w:p>
        </w:tc>
        <w:tc>
          <w:tcPr>
            <w:tcW w:type="dxa" w:w="2805"/>
          </w:tcPr>
          <w:p>
            <w:r/>
            <w:r>
              <w:rPr>
                <w:sz w:val="17"/>
              </w:rPr>
              <w:t>Service → own Aurora table</w:t>
            </w:r>
          </w:p>
        </w:tc>
        <w:tc>
          <w:tcPr>
            <w:tcW w:type="dxa" w:w="2805"/>
          </w:tcPr>
          <w:p>
            <w:r/>
            <w:r>
              <w:rPr>
                <w:sz w:val="17"/>
              </w:rPr>
              <w:t>Each service writes correct rows to its own table (see section 9)</w:t>
            </w:r>
          </w:p>
        </w:tc>
        <w:tc>
          <w:tcPr>
            <w:tcW w:type="dxa" w:w="2805"/>
          </w:tcPr>
          <w:p>
            <w:r/>
            <w:r>
              <w:rPr>
                <w:b/>
                <w:sz w:val="17"/>
              </w:rPr>
              <w:t>Not covered</w:t>
            </w:r>
          </w:p>
        </w:tc>
        <w:tc>
          <w:tcPr>
            <w:tcW w:type="dxa" w:w="2805"/>
          </w:tcPr>
          <w:p>
            <w:r/>
            <w:r>
              <w:rPr>
                <w:sz w:val="17"/>
              </w:rPr>
              <w:t>No Aurora assertions</w:t>
            </w:r>
          </w:p>
        </w:tc>
      </w:tr>
      <w:tr>
        <w:tc>
          <w:tcPr>
            <w:tcW w:type="dxa" w:w="2805"/>
          </w:tcPr>
          <w:p>
            <w:r/>
            <w:r>
              <w:rPr>
                <w:sz w:val="17"/>
              </w:rPr>
              <w:t>22</w:t>
            </w:r>
          </w:p>
        </w:tc>
        <w:tc>
          <w:tcPr>
            <w:tcW w:type="dxa" w:w="2805"/>
          </w:tcPr>
          <w:p>
            <w:r/>
            <w:r>
              <w:rPr>
                <w:sz w:val="17"/>
              </w:rPr>
              <w:t>Equity → EquityPriceSumSnapshot</w:t>
            </w:r>
          </w:p>
        </w:tc>
        <w:tc>
          <w:tcPr>
            <w:tcW w:type="dxa" w:w="2805"/>
          </w:tcPr>
          <w:p>
            <w:r/>
            <w:r>
              <w:rPr>
                <w:sz w:val="17"/>
              </w:rPr>
              <w:t>Equity flow persisted correctly</w:t>
            </w:r>
          </w:p>
        </w:tc>
        <w:tc>
          <w:tcPr>
            <w:tcW w:type="dxa" w:w="2805"/>
          </w:tcPr>
          <w:p>
            <w:r/>
            <w:r>
              <w:rPr>
                <w:b/>
                <w:sz w:val="17"/>
              </w:rPr>
              <w:t>Not covered</w:t>
            </w:r>
          </w:p>
        </w:tc>
        <w:tc>
          <w:tcPr>
            <w:tcW w:type="dxa" w:w="2805"/>
          </w:tcPr>
          <w:p>
            <w:r/>
            <w:r>
              <w:rPr>
                <w:sz w:val="17"/>
              </w:rPr>
              <w:t>None</w:t>
            </w:r>
          </w:p>
        </w:tc>
      </w:tr>
      <w:tr>
        <w:tc>
          <w:tcPr>
            <w:tcW w:type="dxa" w:w="2805"/>
          </w:tcPr>
          <w:p>
            <w:r/>
            <w:r>
              <w:rPr>
                <w:sz w:val="17"/>
              </w:rPr>
              <w:t>23</w:t>
            </w:r>
          </w:p>
        </w:tc>
        <w:tc>
          <w:tcPr>
            <w:tcW w:type="dxa" w:w="2805"/>
          </w:tcPr>
          <w:p>
            <w:r/>
            <w:r>
              <w:rPr>
                <w:sz w:val="17"/>
              </w:rPr>
              <w:t>Fixed interest → FixedInterestPriceSumSnapshot</w:t>
            </w:r>
          </w:p>
        </w:tc>
        <w:tc>
          <w:tcPr>
            <w:tcW w:type="dxa" w:w="2805"/>
          </w:tcPr>
          <w:p>
            <w:r/>
            <w:r>
              <w:rPr>
                <w:sz w:val="17"/>
              </w:rPr>
              <w:t>FI flow persisted correctly</w:t>
            </w:r>
          </w:p>
        </w:tc>
        <w:tc>
          <w:tcPr>
            <w:tcW w:type="dxa" w:w="2805"/>
          </w:tcPr>
          <w:p>
            <w:r/>
            <w:r>
              <w:rPr>
                <w:b/>
                <w:sz w:val="17"/>
              </w:rPr>
              <w:t>Not covered</w:t>
            </w:r>
          </w:p>
        </w:tc>
        <w:tc>
          <w:tcPr>
            <w:tcW w:type="dxa" w:w="2805"/>
          </w:tcPr>
          <w:p>
            <w:r/>
            <w:r>
              <w:rPr>
                <w:sz w:val="17"/>
              </w:rPr>
              <w:t>D01-012 report only</w:t>
            </w:r>
          </w:p>
        </w:tc>
      </w:tr>
      <w:tr>
        <w:tc>
          <w:tcPr>
            <w:tcW w:type="dxa" w:w="2805"/>
          </w:tcPr>
          <w:p>
            <w:r/>
            <w:r>
              <w:rPr>
                <w:sz w:val="17"/>
              </w:rPr>
              <w:t>24</w:t>
            </w:r>
          </w:p>
        </w:tc>
        <w:tc>
          <w:tcPr>
            <w:tcW w:type="dxa" w:w="2805"/>
          </w:tcPr>
          <w:p>
            <w:r/>
            <w:r>
              <w:rPr>
                <w:sz w:val="17"/>
              </w:rPr>
              <w:t>Derivatives → FutureContractSumSnapshot / DerivatixPriceSumSnapshot</w:t>
            </w:r>
          </w:p>
        </w:tc>
        <w:tc>
          <w:tcPr>
            <w:tcW w:type="dxa" w:w="2805"/>
          </w:tcPr>
          <w:p>
            <w:r/>
            <w:r>
              <w:rPr>
                <w:sz w:val="17"/>
              </w:rPr>
              <w:t>QX/QZ flows persisted correctly</w:t>
            </w:r>
          </w:p>
        </w:tc>
        <w:tc>
          <w:tcPr>
            <w:tcW w:type="dxa" w:w="2805"/>
          </w:tcPr>
          <w:p>
            <w:r/>
            <w:r>
              <w:rPr>
                <w:b/>
                <w:sz w:val="17"/>
              </w:rPr>
              <w:t>Not covered</w:t>
            </w:r>
          </w:p>
        </w:tc>
        <w:tc>
          <w:tcPr>
            <w:tcW w:type="dxa" w:w="2805"/>
          </w:tcPr>
          <w:p>
            <w:r/>
            <w:r>
              <w:rPr>
                <w:sz w:val="17"/>
              </w:rPr>
              <w:t>None</w:t>
            </w:r>
          </w:p>
        </w:tc>
      </w:tr>
      <w:tr>
        <w:tc>
          <w:tcPr>
            <w:tcW w:type="dxa" w:w="2805"/>
          </w:tcPr>
          <w:p>
            <w:r/>
            <w:r>
              <w:rPr>
                <w:sz w:val="17"/>
              </w:rPr>
              <w:t>25</w:t>
            </w:r>
          </w:p>
        </w:tc>
        <w:tc>
          <w:tcPr>
            <w:tcW w:type="dxa" w:w="2805"/>
          </w:tcPr>
          <w:p>
            <w:r/>
            <w:r>
              <w:rPr>
                <w:sz w:val="17"/>
              </w:rPr>
              <w:t>Index → IndexPriceSumCapture / IndexPriceSumSnapshot</w:t>
            </w:r>
          </w:p>
        </w:tc>
        <w:tc>
          <w:tcPr>
            <w:tcW w:type="dxa" w:w="2805"/>
          </w:tcPr>
          <w:p>
            <w:r/>
            <w:r>
              <w:rPr>
                <w:sz w:val="17"/>
              </w:rPr>
              <w:t>IB/MI flows persisted correctly</w:t>
            </w:r>
          </w:p>
        </w:tc>
        <w:tc>
          <w:tcPr>
            <w:tcW w:type="dxa" w:w="2805"/>
          </w:tcPr>
          <w:p>
            <w:r/>
            <w:r>
              <w:rPr>
                <w:b/>
                <w:sz w:val="17"/>
              </w:rPr>
              <w:t>Not covered</w:t>
            </w:r>
          </w:p>
        </w:tc>
        <w:tc>
          <w:tcPr>
            <w:tcW w:type="dxa" w:w="2805"/>
          </w:tcPr>
          <w:p>
            <w:r/>
            <w:r>
              <w:rPr>
                <w:sz w:val="17"/>
              </w:rPr>
              <w:t>D01-011 report only</w:t>
            </w:r>
          </w:p>
        </w:tc>
      </w:tr>
      <w:tr>
        <w:tc>
          <w:tcPr>
            <w:tcW w:type="dxa" w:w="2805"/>
          </w:tcPr>
          <w:p>
            <w:r/>
            <w:r>
              <w:rPr>
                <w:sz w:val="17"/>
              </w:rPr>
              <w:t>26</w:t>
            </w:r>
          </w:p>
        </w:tc>
        <w:tc>
          <w:tcPr>
            <w:tcW w:type="dxa" w:w="2805"/>
          </w:tcPr>
          <w:p>
            <w:r/>
            <w:r>
              <w:rPr>
                <w:sz w:val="17"/>
              </w:rPr>
              <w:t>TAS → TradeAggregation*Snapshot → MarketTradeSummarySnapshot → Signal B</w:t>
            </w:r>
          </w:p>
        </w:tc>
        <w:tc>
          <w:tcPr>
            <w:tcW w:type="dxa" w:w="2805"/>
          </w:tcPr>
          <w:p>
            <w:r/>
            <w:r>
              <w:rPr>
                <w:sz w:val="17"/>
              </w:rPr>
              <w:t>Aggregates and trade summary persisted and published</w:t>
            </w:r>
          </w:p>
        </w:tc>
        <w:tc>
          <w:tcPr>
            <w:tcW w:type="dxa" w:w="2805"/>
          </w:tcPr>
          <w:p>
            <w:r/>
            <w:r>
              <w:rPr>
                <w:b/>
                <w:sz w:val="17"/>
              </w:rPr>
              <w:t>Not covered</w:t>
            </w:r>
          </w:p>
        </w:tc>
        <w:tc>
          <w:tcPr>
            <w:tcW w:type="dxa" w:w="2805"/>
          </w:tcPr>
          <w:p>
            <w:r/>
            <w:r>
              <w:rPr>
                <w:sz w:val="17"/>
              </w:rPr>
              <w:t>None</w:t>
            </w:r>
          </w:p>
        </w:tc>
      </w:tr>
      <w:tr>
        <w:tc>
          <w:tcPr>
            <w:tcW w:type="dxa" w:w="2805"/>
          </w:tcPr>
          <w:p>
            <w:r/>
            <w:r>
              <w:rPr>
                <w:sz w:val="17"/>
              </w:rPr>
              <w:t>27</w:t>
            </w:r>
          </w:p>
        </w:tc>
        <w:tc>
          <w:tcPr>
            <w:tcW w:type="dxa" w:w="2805"/>
          </w:tcPr>
          <w:p>
            <w:r/>
            <w:r>
              <w:rPr>
                <w:sz w:val="17"/>
              </w:rPr>
              <w:t>ODS reference and aggregate tables</w:t>
            </w:r>
          </w:p>
        </w:tc>
        <w:tc>
          <w:tcPr>
            <w:tcW w:type="dxa" w:w="2805"/>
          </w:tcPr>
          <w:p>
            <w:r/>
            <w:r>
              <w:rPr>
                <w:sz w:val="17"/>
              </w:rPr>
              <w:t>CalendarDay, CorporateAction, CumAggrTrade*, asx_trade_extract, AsxMissingTrade consistent with the service snapshots</w:t>
            </w:r>
          </w:p>
        </w:tc>
        <w:tc>
          <w:tcPr>
            <w:tcW w:type="dxa" w:w="2805"/>
          </w:tcPr>
          <w:p>
            <w:r/>
            <w:r>
              <w:rPr>
                <w:b/>
                <w:sz w:val="17"/>
              </w:rPr>
              <w:t>Not covered</w:t>
            </w:r>
          </w:p>
        </w:tc>
        <w:tc>
          <w:tcPr>
            <w:tcW w:type="dxa" w:w="2805"/>
          </w:tcPr>
          <w:p>
            <w:r/>
            <w:r>
              <w:rPr>
                <w:sz w:val="17"/>
              </w:rPr>
              <w:t>None</w:t>
            </w:r>
          </w:p>
        </w:tc>
      </w:tr>
      <w:tr>
        <w:tc>
          <w:tcPr>
            <w:tcW w:type="dxa" w:w="2805"/>
          </w:tcPr>
          <w:p>
            <w:r/>
            <w:r>
              <w:rPr>
                <w:sz w:val="17"/>
              </w:rPr>
              <w:t>28</w:t>
            </w:r>
          </w:p>
        </w:tc>
        <w:tc>
          <w:tcPr>
            <w:tcW w:type="dxa" w:w="2805"/>
          </w:tcPr>
          <w:p>
            <w:r/>
            <w:r>
              <w:rPr>
                <w:sz w:val="17"/>
              </w:rPr>
              <w:t>Flush consistency</w:t>
            </w:r>
          </w:p>
        </w:tc>
        <w:tc>
          <w:tcPr>
            <w:tcW w:type="dxa" w:w="2805"/>
          </w:tcPr>
          <w:p>
            <w:r/>
            <w:r>
              <w:rPr>
                <w:sz w:val="17"/>
              </w:rPr>
              <w:t>Snapshot tables match stream state within the flush window; no partial rows</w:t>
            </w:r>
          </w:p>
        </w:tc>
        <w:tc>
          <w:tcPr>
            <w:tcW w:type="dxa" w:w="2805"/>
          </w:tcPr>
          <w:p>
            <w:r/>
            <w:r>
              <w:rPr>
                <w:b/>
                <w:sz w:val="17"/>
              </w:rPr>
              <w:t>Not covered</w:t>
            </w:r>
          </w:p>
        </w:tc>
        <w:tc>
          <w:tcPr>
            <w:tcW w:type="dxa" w:w="2805"/>
          </w:tcPr>
          <w:p>
            <w:r/>
            <w:r>
              <w:rPr>
                <w:sz w:val="17"/>
              </w:rPr>
              <w:t>None</w:t>
            </w:r>
          </w:p>
        </w:tc>
      </w:tr>
      <w:tr>
        <w:tc>
          <w:tcPr>
            <w:tcW w:type="dxa" w:w="2805"/>
          </w:tcPr>
          <w:p>
            <w:r/>
            <w:r>
              <w:rPr>
                <w:sz w:val="17"/>
              </w:rPr>
              <w:t>29</w:t>
            </w:r>
          </w:p>
        </w:tc>
        <w:tc>
          <w:tcPr>
            <w:tcW w:type="dxa" w:w="2805"/>
          </w:tcPr>
          <w:p>
            <w:r/>
            <w:r>
              <w:rPr>
                <w:sz w:val="17"/>
              </w:rPr>
              <w:t>Offset persistence and restart</w:t>
            </w:r>
          </w:p>
        </w:tc>
        <w:tc>
          <w:tcPr>
            <w:tcW w:type="dxa" w:w="2805"/>
          </w:tcPr>
          <w:p>
            <w:r/>
            <w:r>
              <w:rPr>
                <w:sz w:val="17"/>
              </w:rPr>
              <w:t>PartitionOffset / PriceSumFlushOffset advance; a restarted pod resumes exactly with no gap or duplicate</w:t>
            </w:r>
          </w:p>
        </w:tc>
        <w:tc>
          <w:tcPr>
            <w:tcW w:type="dxa" w:w="2805"/>
          </w:tcPr>
          <w:p>
            <w:r/>
            <w:r>
              <w:rPr>
                <w:b/>
                <w:sz w:val="17"/>
              </w:rPr>
              <w:t>Not covered</w:t>
            </w:r>
          </w:p>
        </w:tc>
        <w:tc>
          <w:tcPr>
            <w:tcW w:type="dxa" w:w="2805"/>
          </w:tcPr>
          <w:p>
            <w:r/>
            <w:r>
              <w:rPr>
                <w:sz w:val="17"/>
              </w:rPr>
              <w:t>None</w:t>
            </w:r>
          </w:p>
        </w:tc>
      </w:tr>
      <w:tr>
        <w:tc>
          <w:tcPr>
            <w:tcW w:type="dxa" w:w="2805"/>
          </w:tcPr>
          <w:p>
            <w:r/>
            <w:r>
              <w:rPr>
                <w:sz w:val="17"/>
              </w:rPr>
              <w:t>30</w:t>
            </w:r>
          </w:p>
        </w:tc>
        <w:tc>
          <w:tcPr>
            <w:tcW w:type="dxa" w:w="2805"/>
          </w:tcPr>
          <w:p>
            <w:r/>
            <w:r>
              <w:rPr>
                <w:sz w:val="17"/>
              </w:rPr>
              <w:t>Date roll across services</w:t>
            </w:r>
          </w:p>
        </w:tc>
        <w:tc>
          <w:tcPr>
            <w:tcW w:type="dxa" w:w="2805"/>
          </w:tcPr>
          <w:p>
            <w:r/>
            <w:r>
              <w:rPr>
                <w:sz w:val="17"/>
              </w:rPr>
              <w:t>Day N → N+1 refreshes every service (BusinessDay, caches) with no carry-over</w:t>
            </w:r>
          </w:p>
        </w:tc>
        <w:tc>
          <w:tcPr>
            <w:tcW w:type="dxa" w:w="2805"/>
          </w:tcPr>
          <w:p>
            <w:r/>
            <w:r>
              <w:rPr>
                <w:b/>
                <w:sz w:val="17"/>
              </w:rPr>
              <w:t>Partially covered</w:t>
            </w:r>
          </w:p>
        </w:tc>
        <w:tc>
          <w:tcPr>
            <w:tcW w:type="dxa" w:w="2805"/>
          </w:tcPr>
          <w:p>
            <w:r/>
            <w:r>
              <w:rPr>
                <w:sz w:val="17"/>
              </w:rPr>
              <w:t>QSE restart; D01-028 prototype</w:t>
            </w:r>
          </w:p>
        </w:tc>
      </w:tr>
      <w:tr>
        <w:tc>
          <w:tcPr>
            <w:tcW w:type="dxa" w:w="2805"/>
          </w:tcPr>
          <w:p>
            <w:r/>
            <w:r>
              <w:rPr>
                <w:sz w:val="17"/>
              </w:rPr>
              <w:t>31</w:t>
            </w:r>
          </w:p>
        </w:tc>
        <w:tc>
          <w:tcPr>
            <w:tcW w:type="dxa" w:w="2805"/>
          </w:tcPr>
          <w:p>
            <w:r/>
            <w:r>
              <w:rPr>
                <w:sz w:val="17"/>
              </w:rPr>
              <w:t>Scheduler DB-driven behaviour</w:t>
            </w:r>
          </w:p>
        </w:tc>
        <w:tc>
          <w:tcPr>
            <w:tcW w:type="dxa" w:w="2805"/>
          </w:tcPr>
          <w:p>
            <w:r/>
            <w:r>
              <w:rPr>
                <w:sz w:val="17"/>
              </w:rPr>
              <w:t>ReportSchedule / ScheduleOverride / CalendarDay changes drive report timing</w:t>
            </w:r>
          </w:p>
        </w:tc>
        <w:tc>
          <w:tcPr>
            <w:tcW w:type="dxa" w:w="2805"/>
          </w:tcPr>
          <w:p>
            <w:r/>
            <w:r>
              <w:rPr>
                <w:b/>
                <w:sz w:val="17"/>
              </w:rPr>
              <w:t>Not covered</w:t>
            </w:r>
          </w:p>
        </w:tc>
        <w:tc>
          <w:tcPr>
            <w:tcW w:type="dxa" w:w="2805"/>
          </w:tcPr>
          <w:p>
            <w:r/>
            <w:r>
              <w:rPr>
                <w:sz w:val="17"/>
              </w:rPr>
              <w:t>Tests use wall-clock waits</w:t>
            </w:r>
          </w:p>
        </w:tc>
      </w:tr>
      <w:tr>
        <w:tc>
          <w:tcPr>
            <w:tcW w:type="dxa" w:w="2805"/>
          </w:tcPr>
          <w:p>
            <w:r/>
            <w:r>
              <w:rPr>
                <w:sz w:val="17"/>
              </w:rPr>
              <w:t>32</w:t>
            </w:r>
          </w:p>
        </w:tc>
        <w:tc>
          <w:tcPr>
            <w:tcW w:type="dxa" w:w="2805"/>
          </w:tcPr>
          <w:p>
            <w:r/>
            <w:r>
              <w:rPr>
                <w:sz w:val="17"/>
              </w:rPr>
              <w:t>Pod restart and node drain</w:t>
            </w:r>
          </w:p>
        </w:tc>
        <w:tc>
          <w:tcPr>
            <w:tcW w:type="dxa" w:w="2805"/>
          </w:tcPr>
          <w:p>
            <w:r/>
            <w:r>
              <w:rPr>
                <w:sz w:val="17"/>
              </w:rPr>
              <w:t>Pods killed or evicted (node drain) reschedule onto hub-apps nodes and resume with no loss</w:t>
            </w:r>
          </w:p>
        </w:tc>
        <w:tc>
          <w:tcPr>
            <w:tcW w:type="dxa" w:w="2805"/>
          </w:tcPr>
          <w:p>
            <w:r/>
            <w:r>
              <w:rPr>
                <w:b/>
                <w:sz w:val="17"/>
              </w:rPr>
              <w:t>Not covered</w:t>
            </w:r>
          </w:p>
        </w:tc>
        <w:tc>
          <w:tcPr>
            <w:tcW w:type="dxa" w:w="2805"/>
          </w:tcPr>
          <w:p>
            <w:r/>
            <w:r>
              <w:rPr>
                <w:sz w:val="17"/>
              </w:rPr>
              <w:t>KubeUtil only clears cache</w:t>
            </w:r>
          </w:p>
        </w:tc>
      </w:tr>
      <w:tr>
        <w:tc>
          <w:tcPr>
            <w:tcW w:type="dxa" w:w="2805"/>
          </w:tcPr>
          <w:p>
            <w:r/>
            <w:r>
              <w:rPr>
                <w:sz w:val="17"/>
              </w:rPr>
              <w:t>33</w:t>
            </w:r>
          </w:p>
        </w:tc>
        <w:tc>
          <w:tcPr>
            <w:tcW w:type="dxa" w:w="2805"/>
          </w:tcPr>
          <w:p>
            <w:r/>
            <w:r>
              <w:rPr>
                <w:sz w:val="17"/>
              </w:rPr>
              <w:t>Rolling deployment</w:t>
            </w:r>
          </w:p>
        </w:tc>
        <w:tc>
          <w:tcPr>
            <w:tcW w:type="dxa" w:w="2805"/>
          </w:tcPr>
          <w:p>
            <w:r/>
            <w:r>
              <w:rPr>
                <w:sz w:val="17"/>
              </w:rPr>
              <w:t>A rolling update under live flow loses nothing; old and new versions both work on the same schema; Liquibase lock respected</w:t>
            </w:r>
          </w:p>
        </w:tc>
        <w:tc>
          <w:tcPr>
            <w:tcW w:type="dxa" w:w="2805"/>
          </w:tcPr>
          <w:p>
            <w:r/>
            <w:r>
              <w:rPr>
                <w:b/>
                <w:sz w:val="17"/>
              </w:rPr>
              <w:t>Not covered</w:t>
            </w:r>
          </w:p>
        </w:tc>
        <w:tc>
          <w:tcPr>
            <w:tcW w:type="dxa" w:w="2805"/>
          </w:tcPr>
          <w:p>
            <w:r/>
            <w:r>
              <w:rPr>
                <w:sz w:val="17"/>
              </w:rPr>
              <w:t>None</w:t>
            </w:r>
          </w:p>
        </w:tc>
      </w:tr>
      <w:tr>
        <w:tc>
          <w:tcPr>
            <w:tcW w:type="dxa" w:w="2805"/>
          </w:tcPr>
          <w:p>
            <w:r/>
            <w:r>
              <w:rPr>
                <w:sz w:val="17"/>
              </w:rPr>
              <w:t>34</w:t>
            </w:r>
          </w:p>
        </w:tc>
        <w:tc>
          <w:tcPr>
            <w:tcW w:type="dxa" w:w="2805"/>
          </w:tcPr>
          <w:p>
            <w:r/>
            <w:r>
              <w:rPr>
                <w:sz w:val="17"/>
              </w:rPr>
              <w:t>Aurora writer failover (functional)</w:t>
            </w:r>
          </w:p>
        </w:tc>
        <w:tc>
          <w:tcPr>
            <w:tcW w:type="dxa" w:w="2805"/>
          </w:tcPr>
          <w:p>
            <w:r/>
            <w:r>
              <w:rPr>
                <w:sz w:val="17"/>
              </w:rPr>
              <w:t>Services reconnect through the cluster endpoint; no lost or duplicate rows</w:t>
            </w:r>
          </w:p>
        </w:tc>
        <w:tc>
          <w:tcPr>
            <w:tcW w:type="dxa" w:w="2805"/>
          </w:tcPr>
          <w:p>
            <w:r/>
            <w:r>
              <w:rPr>
                <w:b/>
                <w:sz w:val="17"/>
              </w:rPr>
              <w:t>Not covered</w:t>
            </w:r>
          </w:p>
        </w:tc>
        <w:tc>
          <w:tcPr>
            <w:tcW w:type="dxa" w:w="2805"/>
          </w:tcPr>
          <w:p>
            <w:r/>
            <w:r>
              <w:rPr>
                <w:sz w:val="17"/>
              </w:rPr>
              <w:t>None; failover timing stays with OAT</w:t>
            </w:r>
          </w:p>
        </w:tc>
      </w:tr>
      <w:tr>
        <w:tc>
          <w:tcPr>
            <w:tcW w:type="dxa" w:w="2805"/>
          </w:tcPr>
          <w:p>
            <w:r/>
            <w:r>
              <w:rPr>
                <w:sz w:val="17"/>
              </w:rPr>
              <w:t>35</w:t>
            </w:r>
          </w:p>
        </w:tc>
        <w:tc>
          <w:tcPr>
            <w:tcW w:type="dxa" w:w="2805"/>
          </w:tcPr>
          <w:p>
            <w:r/>
            <w:r>
              <w:rPr>
                <w:sz w:val="17"/>
              </w:rPr>
              <w:t>Aurora unavailable / pool exhausted</w:t>
            </w:r>
          </w:p>
        </w:tc>
        <w:tc>
          <w:tcPr>
            <w:tcW w:type="dxa" w:w="2805"/>
          </w:tcPr>
          <w:p>
            <w:r/>
            <w:r>
              <w:rPr>
                <w:sz w:val="17"/>
              </w:rPr>
              <w:t>Services pause consumption, don't lose messages, and recover when the DB returns</w:t>
            </w:r>
          </w:p>
        </w:tc>
        <w:tc>
          <w:tcPr>
            <w:tcW w:type="dxa" w:w="2805"/>
          </w:tcPr>
          <w:p>
            <w:r/>
            <w:r>
              <w:rPr>
                <w:b/>
                <w:sz w:val="17"/>
              </w:rPr>
              <w:t>Not covered</w:t>
            </w:r>
          </w:p>
        </w:tc>
        <w:tc>
          <w:tcPr>
            <w:tcW w:type="dxa" w:w="2805"/>
          </w:tcPr>
          <w:p>
            <w:r/>
            <w:r>
              <w:rPr>
                <w:sz w:val="17"/>
              </w:rPr>
              <w:t>None</w:t>
            </w:r>
          </w:p>
        </w:tc>
      </w:tr>
      <w:tr>
        <w:tc>
          <w:tcPr>
            <w:tcW w:type="dxa" w:w="2805"/>
          </w:tcPr>
          <w:p>
            <w:r/>
            <w:r>
              <w:rPr>
                <w:sz w:val="17"/>
              </w:rPr>
              <w:t>36</w:t>
            </w:r>
          </w:p>
        </w:tc>
        <w:tc>
          <w:tcPr>
            <w:tcW w:type="dxa" w:w="2805"/>
          </w:tcPr>
          <w:p>
            <w:r/>
            <w:r>
              <w:rPr>
                <w:sz w:val="17"/>
              </w:rPr>
              <w:t>Kafka / schema-registry interruption</w:t>
            </w:r>
          </w:p>
        </w:tc>
        <w:tc>
          <w:tcPr>
            <w:tcW w:type="dxa" w:w="2805"/>
          </w:tcPr>
          <w:p>
            <w:r/>
            <w:r>
              <w:rPr>
                <w:sz w:val="17"/>
              </w:rPr>
              <w:t>Enterprise Kafka broker or schema registry restart is recovered functionally</w:t>
            </w:r>
          </w:p>
        </w:tc>
        <w:tc>
          <w:tcPr>
            <w:tcW w:type="dxa" w:w="2805"/>
          </w:tcPr>
          <w:p>
            <w:r/>
            <w:r>
              <w:rPr>
                <w:b/>
                <w:sz w:val="17"/>
              </w:rPr>
              <w:t>Not covered</w:t>
            </w:r>
          </w:p>
        </w:tc>
        <w:tc>
          <w:tcPr>
            <w:tcW w:type="dxa" w:w="2805"/>
          </w:tcPr>
          <w:p>
            <w:r/>
            <w:r>
              <w:rPr>
                <w:sz w:val="17"/>
              </w:rPr>
              <w:t>None</w:t>
            </w:r>
          </w:p>
        </w:tc>
      </w:tr>
      <w:tr>
        <w:tc>
          <w:tcPr>
            <w:tcW w:type="dxa" w:w="2805"/>
          </w:tcPr>
          <w:p>
            <w:r/>
            <w:r>
              <w:rPr>
                <w:sz w:val="17"/>
              </w:rPr>
              <w:t>37</w:t>
            </w:r>
          </w:p>
        </w:tc>
        <w:tc>
          <w:tcPr>
            <w:tcW w:type="dxa" w:w="2805"/>
          </w:tcPr>
          <w:p>
            <w:r/>
            <w:r>
              <w:rPr>
                <w:sz w:val="17"/>
              </w:rPr>
              <w:t>Platform health during integrated run</w:t>
            </w:r>
          </w:p>
        </w:tc>
        <w:tc>
          <w:tcPr>
            <w:tcW w:type="dxa" w:w="2805"/>
          </w:tcPr>
          <w:p>
            <w:r/>
            <w:r>
              <w:rPr>
                <w:sz w:val="17"/>
              </w:rPr>
              <w:t>Across a full SIT day: no OOMKilled, no crash loops, no unexpected restarts, no Warning events, usage within limits</w:t>
            </w:r>
          </w:p>
        </w:tc>
        <w:tc>
          <w:tcPr>
            <w:tcW w:type="dxa" w:w="2805"/>
          </w:tcPr>
          <w:p>
            <w:r/>
            <w:r>
              <w:rPr>
                <w:b/>
                <w:sz w:val="17"/>
              </w:rPr>
              <w:t>Not covered</w:t>
            </w:r>
          </w:p>
        </w:tc>
        <w:tc>
          <w:tcPr>
            <w:tcW w:type="dxa" w:w="2805"/>
          </w:tcPr>
          <w:p>
            <w:r/>
            <w:r>
              <w:rPr>
                <w:sz w:val="17"/>
              </w:rPr>
              <w:t>None</w:t>
            </w:r>
          </w:p>
        </w:tc>
      </w:tr>
      <w:tr>
        <w:tc>
          <w:tcPr>
            <w:tcW w:type="dxa" w:w="2805"/>
          </w:tcPr>
          <w:p>
            <w:r/>
            <w:r>
              <w:rPr>
                <w:sz w:val="17"/>
              </w:rPr>
              <w:t>38</w:t>
            </w:r>
          </w:p>
        </w:tc>
        <w:tc>
          <w:tcPr>
            <w:tcW w:type="dxa" w:w="2805"/>
          </w:tcPr>
          <w:p>
            <w:r/>
            <w:r>
              <w:rPr>
                <w:sz w:val="17"/>
              </w:rPr>
              <w:t>End-to-end correlation</w:t>
            </w:r>
          </w:p>
        </w:tc>
        <w:tc>
          <w:tcPr>
            <w:tcW w:type="dxa" w:w="2805"/>
          </w:tcPr>
          <w:p>
            <w:r/>
            <w:r>
              <w:rPr>
                <w:sz w:val="17"/>
              </w:rPr>
              <w:t>One traceId from TIBCO BW through every service to ES</w:t>
            </w:r>
          </w:p>
        </w:tc>
        <w:tc>
          <w:tcPr>
            <w:tcW w:type="dxa" w:w="2805"/>
          </w:tcPr>
          <w:p>
            <w:r/>
            <w:r>
              <w:rPr>
                <w:b/>
                <w:sz w:val="17"/>
              </w:rPr>
              <w:t>Partially covered</w:t>
            </w:r>
          </w:p>
        </w:tc>
        <w:tc>
          <w:tcPr>
            <w:tcW w:type="dxa" w:w="2805"/>
          </w:tcPr>
          <w:p>
            <w:r/>
            <w:r>
              <w:rPr>
                <w:sz w:val="17"/>
              </w:rPr>
              <w:t>D01 path only</w:t>
            </w:r>
          </w:p>
        </w:tc>
      </w:tr>
    </w:tbl>
    <w:p/>
    <w:p>
      <w:pPr>
        <w:pStyle w:val="Heading2"/>
      </w:pPr>
      <w:r>
        <w:t>7.3 L3 End-to-end business cycle</w:t>
      </w:r>
    </w:p>
    <w:tbl>
      <w:tblPr>
        <w:tblStyle w:val="TableGrid"/>
        <w:tblW w:type="auto" w:w="0"/>
        <w:tblLook w:firstColumn="1" w:firstRow="1" w:lastColumn="0" w:lastRow="0" w:noHBand="0" w:noVBand="1" w:val="04A0"/>
      </w:tblPr>
      <w:tblGrid>
        <w:gridCol w:w="2805"/>
        <w:gridCol w:w="2805"/>
        <w:gridCol w:w="2805"/>
        <w:gridCol w:w="2805"/>
        <w:gridCol w:w="2805"/>
      </w:tblGrid>
      <w:tr>
        <w:tc>
          <w:tcPr>
            <w:tcW w:type="dxa" w:w="2805"/>
            <w:shd w:val="clear" w:color="auto" w:fill="F4F5F7"/>
          </w:tcPr>
          <w:p>
            <w:r/>
            <w:r>
              <w:rPr>
                <w:b/>
                <w:sz w:val="17"/>
              </w:rPr>
              <w:t>#</w:t>
            </w:r>
          </w:p>
        </w:tc>
        <w:tc>
          <w:tcPr>
            <w:tcW w:type="dxa" w:w="2805"/>
            <w:shd w:val="clear" w:color="auto" w:fill="F4F5F7"/>
          </w:tcPr>
          <w:p>
            <w:r/>
            <w:r>
              <w:rPr>
                <w:b/>
                <w:sz w:val="17"/>
              </w:rPr>
              <w:t>SIT feature</w:t>
            </w:r>
          </w:p>
        </w:tc>
        <w:tc>
          <w:tcPr>
            <w:tcW w:type="dxa" w:w="2805"/>
            <w:shd w:val="clear" w:color="auto" w:fill="F4F5F7"/>
          </w:tcPr>
          <w:p>
            <w:r/>
            <w:r>
              <w:rPr>
                <w:b/>
                <w:sz w:val="17"/>
              </w:rPr>
              <w:t>What it must prove</w:t>
            </w:r>
          </w:p>
        </w:tc>
        <w:tc>
          <w:tcPr>
            <w:tcW w:type="dxa" w:w="2805"/>
            <w:shd w:val="clear" w:color="auto" w:fill="F4F5F7"/>
          </w:tcPr>
          <w:p>
            <w:r/>
            <w:r>
              <w:rPr>
                <w:b/>
                <w:sz w:val="17"/>
              </w:rPr>
              <w:t>Coverage</w:t>
            </w:r>
          </w:p>
        </w:tc>
        <w:tc>
          <w:tcPr>
            <w:tcW w:type="dxa" w:w="2805"/>
            <w:shd w:val="clear" w:color="auto" w:fill="F4F5F7"/>
          </w:tcPr>
          <w:p>
            <w:r/>
            <w:r>
              <w:rPr>
                <w:b/>
                <w:sz w:val="17"/>
              </w:rPr>
              <w:t>Today / what's missing</w:t>
            </w:r>
          </w:p>
        </w:tc>
      </w:tr>
      <w:tr>
        <w:tc>
          <w:tcPr>
            <w:tcW w:type="dxa" w:w="2805"/>
          </w:tcPr>
          <w:p>
            <w:r/>
            <w:r>
              <w:rPr>
                <w:sz w:val="17"/>
              </w:rPr>
              <w:t>39</w:t>
            </w:r>
          </w:p>
        </w:tc>
        <w:tc>
          <w:tcPr>
            <w:tcW w:type="dxa" w:w="2805"/>
          </w:tcPr>
          <w:p>
            <w:r/>
            <w:r>
              <w:rPr>
                <w:sz w:val="17"/>
              </w:rPr>
              <w:t>Product smoke pack</w:t>
            </w:r>
          </w:p>
        </w:tc>
        <w:tc>
          <w:tcPr>
            <w:tcW w:type="dxa" w:w="2805"/>
          </w:tcPr>
          <w:p>
            <w:r/>
            <w:r>
              <w:rPr>
                <w:sz w:val="17"/>
              </w:rPr>
              <w:t>Every product produced for one instrument per asset class</w:t>
            </w:r>
          </w:p>
        </w:tc>
        <w:tc>
          <w:tcPr>
            <w:tcW w:type="dxa" w:w="2805"/>
          </w:tcPr>
          <w:p>
            <w:r/>
            <w:r>
              <w:rPr>
                <w:b/>
                <w:sz w:val="17"/>
              </w:rPr>
              <w:t>Partially covered</w:t>
            </w:r>
          </w:p>
        </w:tc>
        <w:tc>
          <w:tcPr>
            <w:tcW w:type="dxa" w:w="2805"/>
          </w:tcPr>
          <w:p>
            <w:r/>
            <w:r>
              <w:rPr>
                <w:sz w:val="17"/>
              </w:rPr>
              <w:t>D33-001, D33-007 only</w:t>
            </w:r>
          </w:p>
        </w:tc>
      </w:tr>
      <w:tr>
        <w:tc>
          <w:tcPr>
            <w:tcW w:type="dxa" w:w="2805"/>
          </w:tcPr>
          <w:p>
            <w:r/>
            <w:r>
              <w:rPr>
                <w:sz w:val="17"/>
              </w:rPr>
              <w:t>40</w:t>
            </w:r>
          </w:p>
        </w:tc>
        <w:tc>
          <w:tcPr>
            <w:tcW w:type="dxa" w:w="2805"/>
          </w:tcPr>
          <w:p>
            <w:r/>
            <w:r>
              <w:rPr>
                <w:sz w:val="17"/>
              </w:rPr>
              <w:t>D01 Daily Official List</w:t>
            </w:r>
          </w:p>
        </w:tc>
        <w:tc>
          <w:tcPr>
            <w:tcW w:type="dxa" w:w="2805"/>
          </w:tcPr>
          <w:p>
            <w:r/>
            <w:r>
              <w:rPr>
                <w:sz w:val="17"/>
              </w:rPr>
              <w:t>QK/QY/IB content, sorting, CSV–XML parity, recon</w:t>
            </w:r>
          </w:p>
        </w:tc>
        <w:tc>
          <w:tcPr>
            <w:tcW w:type="dxa" w:w="2805"/>
          </w:tcPr>
          <w:p>
            <w:r/>
            <w:r>
              <w:rPr>
                <w:b/>
                <w:sz w:val="17"/>
              </w:rPr>
              <w:t>Covered</w:t>
            </w:r>
          </w:p>
        </w:tc>
        <w:tc>
          <w:tcPr>
            <w:tcW w:type="dxa" w:w="2805"/>
          </w:tcPr>
          <w:p>
            <w:r/>
            <w:r>
              <w:rPr>
                <w:sz w:val="17"/>
              </w:rPr>
              <w:t>CSV–XML parity and HUBES-720 recon to add</w:t>
            </w:r>
          </w:p>
        </w:tc>
      </w:tr>
      <w:tr>
        <w:tc>
          <w:tcPr>
            <w:tcW w:type="dxa" w:w="2805"/>
          </w:tcPr>
          <w:p>
            <w:r/>
            <w:r>
              <w:rPr>
                <w:sz w:val="17"/>
              </w:rPr>
              <w:t>41</w:t>
            </w:r>
          </w:p>
        </w:tc>
        <w:tc>
          <w:tcPr>
            <w:tcW w:type="dxa" w:w="2805"/>
          </w:tcPr>
          <w:p>
            <w:r/>
            <w:r>
              <w:rPr>
                <w:sz w:val="17"/>
              </w:rPr>
              <w:t>D04 Derivatives</w:t>
            </w:r>
          </w:p>
        </w:tc>
        <w:tc>
          <w:tcPr>
            <w:tcW w:type="dxa" w:w="2805"/>
          </w:tcPr>
          <w:p>
            <w:r/>
            <w:r>
              <w:rPr>
                <w:sz w:val="17"/>
              </w:rPr>
              <w:t>QX and QZ intraday/EOD, recon</w:t>
            </w:r>
          </w:p>
        </w:tc>
        <w:tc>
          <w:tcPr>
            <w:tcW w:type="dxa" w:w="2805"/>
          </w:tcPr>
          <w:p>
            <w:r/>
            <w:r>
              <w:rPr>
                <w:b/>
                <w:sz w:val="17"/>
              </w:rPr>
              <w:t>Partially covered</w:t>
            </w:r>
          </w:p>
        </w:tc>
        <w:tc>
          <w:tcPr>
            <w:tcW w:type="dxa" w:w="2805"/>
          </w:tcPr>
          <w:p>
            <w:r/>
            <w:r>
              <w:rPr>
                <w:sz w:val="17"/>
              </w:rPr>
              <w:t>QX content not checked; recon and reject window manual</w:t>
            </w:r>
          </w:p>
        </w:tc>
      </w:tr>
      <w:tr>
        <w:tc>
          <w:tcPr>
            <w:tcW w:type="dxa" w:w="2805"/>
          </w:tcPr>
          <w:p>
            <w:r/>
            <w:r>
              <w:rPr>
                <w:sz w:val="17"/>
              </w:rPr>
              <w:t>42</w:t>
            </w:r>
          </w:p>
        </w:tc>
        <w:tc>
          <w:tcPr>
            <w:tcW w:type="dxa" w:w="2805"/>
          </w:tcPr>
          <w:p>
            <w:r/>
            <w:r>
              <w:rPr>
                <w:sz w:val="17"/>
              </w:rPr>
              <w:t>D06 Summary &amp; Turnover</w:t>
            </w:r>
          </w:p>
        </w:tc>
        <w:tc>
          <w:tcPr>
            <w:tcW w:type="dxa" w:w="2805"/>
          </w:tcPr>
          <w:p>
            <w:r/>
            <w:r>
              <w:rPr>
                <w:sz w:val="17"/>
              </w:rPr>
              <w:t>Turnover, sector, market movers, index summary, recon</w:t>
            </w:r>
          </w:p>
        </w:tc>
        <w:tc>
          <w:tcPr>
            <w:tcW w:type="dxa" w:w="2805"/>
          </w:tcPr>
          <w:p>
            <w:r/>
            <w:r>
              <w:rPr>
                <w:b/>
                <w:sz w:val="17"/>
              </w:rPr>
              <w:t>Partially covered</w:t>
            </w:r>
          </w:p>
        </w:tc>
        <w:tc>
          <w:tcPr>
            <w:tcW w:type="dxa" w:w="2805"/>
          </w:tcPr>
          <w:p>
            <w:r/>
            <w:r>
              <w:rPr>
                <w:sz w:val="17"/>
              </w:rPr>
              <w:t>Recon manual; traceability missing</w:t>
            </w:r>
          </w:p>
        </w:tc>
      </w:tr>
      <w:tr>
        <w:tc>
          <w:tcPr>
            <w:tcW w:type="dxa" w:w="2805"/>
          </w:tcPr>
          <w:p>
            <w:r/>
            <w:r>
              <w:rPr>
                <w:sz w:val="17"/>
              </w:rPr>
              <w:t>43</w:t>
            </w:r>
          </w:p>
        </w:tc>
        <w:tc>
          <w:tcPr>
            <w:tcW w:type="dxa" w:w="2805"/>
          </w:tcPr>
          <w:p>
            <w:r/>
            <w:r>
              <w:rPr>
                <w:sz w:val="17"/>
              </w:rPr>
              <w:t>D33 Closing Index Prices</w:t>
            </w:r>
          </w:p>
        </w:tc>
        <w:tc>
          <w:tcPr>
            <w:tcW w:type="dxa" w:w="2805"/>
          </w:tcPr>
          <w:p>
            <w:r/>
            <w:r>
              <w:rPr>
                <w:sz w:val="17"/>
              </w:rPr>
              <w:t>IC XML/CSV, sorting, S&amp;P, recon text report</w:t>
            </w:r>
          </w:p>
        </w:tc>
        <w:tc>
          <w:tcPr>
            <w:tcW w:type="dxa" w:w="2805"/>
          </w:tcPr>
          <w:p>
            <w:r/>
            <w:r>
              <w:rPr>
                <w:b/>
                <w:sz w:val="17"/>
              </w:rPr>
              <w:t>Covered</w:t>
            </w:r>
          </w:p>
        </w:tc>
        <w:tc>
          <w:tcPr>
            <w:tcW w:type="dxa" w:w="2805"/>
          </w:tcPr>
          <w:p>
            <w:r/>
            <w:r>
              <w:rPr>
                <w:sz w:val="17"/>
              </w:rPr>
              <w:t>Recon text report missing; D33-003 manual</w:t>
            </w:r>
          </w:p>
        </w:tc>
      </w:tr>
      <w:tr>
        <w:tc>
          <w:tcPr>
            <w:tcW w:type="dxa" w:w="2805"/>
          </w:tcPr>
          <w:p>
            <w:r/>
            <w:r>
              <w:rPr>
                <w:sz w:val="17"/>
              </w:rPr>
              <w:t>44</w:t>
            </w:r>
          </w:p>
        </w:tc>
        <w:tc>
          <w:tcPr>
            <w:tcW w:type="dxa" w:w="2805"/>
          </w:tcPr>
          <w:p>
            <w:r/>
            <w:r>
              <w:rPr>
                <w:sz w:val="17"/>
              </w:rPr>
              <w:t>E03 EOD Snapshot</w:t>
            </w:r>
          </w:p>
        </w:tc>
        <w:tc>
          <w:tcPr>
            <w:tcW w:type="dxa" w:w="2805"/>
          </w:tcPr>
          <w:p>
            <w:r/>
            <w:r>
              <w:rPr>
                <w:sz w:val="17"/>
              </w:rPr>
              <w:t>All six datasets, traceability, recon</w:t>
            </w:r>
          </w:p>
        </w:tc>
        <w:tc>
          <w:tcPr>
            <w:tcW w:type="dxa" w:w="2805"/>
          </w:tcPr>
          <w:p>
            <w:r/>
            <w:r>
              <w:rPr>
                <w:b/>
                <w:sz w:val="17"/>
              </w:rPr>
              <w:t>Partially covered</w:t>
            </w:r>
          </w:p>
        </w:tc>
        <w:tc>
          <w:tcPr>
            <w:tcW w:type="dxa" w:w="2805"/>
          </w:tcPr>
          <w:p>
            <w:r/>
            <w:r>
              <w:rPr>
                <w:sz w:val="17"/>
              </w:rPr>
              <w:t>QP/QQ not checked; recon manual</w:t>
            </w:r>
          </w:p>
        </w:tc>
      </w:tr>
      <w:tr>
        <w:tc>
          <w:tcPr>
            <w:tcW w:type="dxa" w:w="2805"/>
          </w:tcPr>
          <w:p>
            <w:r/>
            <w:r>
              <w:rPr>
                <w:sz w:val="17"/>
              </w:rPr>
              <w:t>45</w:t>
            </w:r>
          </w:p>
        </w:tc>
        <w:tc>
          <w:tcPr>
            <w:tcW w:type="dxa" w:w="2805"/>
          </w:tcPr>
          <w:p>
            <w:r/>
            <w:r>
              <w:rPr>
                <w:sz w:val="17"/>
              </w:rPr>
              <w:t>Course of Sales / Broker Trade</w:t>
            </w:r>
          </w:p>
        </w:tc>
        <w:tc>
          <w:tcPr>
            <w:tcW w:type="dxa" w:w="2805"/>
          </w:tcPr>
          <w:p>
            <w:r/>
            <w:r>
              <w:rPr>
                <w:sz w:val="17"/>
              </w:rPr>
              <w:t>Groups, trade conditions TA–TI, T+3 window</w:t>
            </w:r>
          </w:p>
        </w:tc>
        <w:tc>
          <w:tcPr>
            <w:tcW w:type="dxa" w:w="2805"/>
          </w:tcPr>
          <w:p>
            <w:r/>
            <w:r>
              <w:rPr>
                <w:b/>
                <w:sz w:val="17"/>
              </w:rPr>
              <w:t>Partially covered</w:t>
            </w:r>
          </w:p>
        </w:tc>
        <w:tc>
          <w:tcPr>
            <w:tcW w:type="dxa" w:w="2805"/>
          </w:tcPr>
          <w:p>
            <w:r/>
            <w:r>
              <w:rPr>
                <w:sz w:val="17"/>
              </w:rPr>
              <w:t>Conditions and T+3 not checked</w:t>
            </w:r>
          </w:p>
        </w:tc>
      </w:tr>
      <w:tr>
        <w:tc>
          <w:tcPr>
            <w:tcW w:type="dxa" w:w="2805"/>
          </w:tcPr>
          <w:p>
            <w:r/>
            <w:r>
              <w:rPr>
                <w:sz w:val="17"/>
              </w:rPr>
              <w:t>46</w:t>
            </w:r>
          </w:p>
        </w:tc>
        <w:tc>
          <w:tcPr>
            <w:tcW w:type="dxa" w:w="2805"/>
          </w:tcPr>
          <w:p>
            <w:r/>
            <w:r>
              <w:rPr>
                <w:sz w:val="17"/>
              </w:rPr>
              <w:t>Report scheduling</w:t>
            </w:r>
          </w:p>
        </w:tc>
        <w:tc>
          <w:tcPr>
            <w:tcW w:type="dxa" w:w="2805"/>
          </w:tcPr>
          <w:p>
            <w:r/>
            <w:r>
              <w:rPr>
                <w:sz w:val="17"/>
              </w:rPr>
              <w:t>Normal, half-day and holiday schedules; re-trigger</w:t>
            </w:r>
          </w:p>
        </w:tc>
        <w:tc>
          <w:tcPr>
            <w:tcW w:type="dxa" w:w="2805"/>
          </w:tcPr>
          <w:p>
            <w:r/>
            <w:r>
              <w:rPr>
                <w:b/>
                <w:sz w:val="17"/>
              </w:rPr>
              <w:t>Partially covered</w:t>
            </w:r>
          </w:p>
        </w:tc>
        <w:tc>
          <w:tcPr>
            <w:tcW w:type="dxa" w:w="2805"/>
          </w:tcPr>
          <w:p>
            <w:r/>
            <w:r>
              <w:rPr>
                <w:sz w:val="17"/>
              </w:rPr>
              <w:t>D01-009 normal day only</w:t>
            </w:r>
          </w:p>
        </w:tc>
      </w:tr>
      <w:tr>
        <w:tc>
          <w:tcPr>
            <w:tcW w:type="dxa" w:w="2805"/>
          </w:tcPr>
          <w:p>
            <w:r/>
            <w:r>
              <w:rPr>
                <w:sz w:val="17"/>
              </w:rPr>
              <w:t>47</w:t>
            </w:r>
          </w:p>
        </w:tc>
        <w:tc>
          <w:tcPr>
            <w:tcW w:type="dxa" w:w="2805"/>
          </w:tcPr>
          <w:p>
            <w:r/>
            <w:r>
              <w:rPr>
                <w:sz w:val="17"/>
              </w:rPr>
              <w:t>Delivery failure and replay</w:t>
            </w:r>
          </w:p>
        </w:tc>
        <w:tc>
          <w:tcPr>
            <w:tcW w:type="dxa" w:w="2805"/>
          </w:tcPr>
          <w:p>
            <w:r/>
            <w:r>
              <w:rPr>
                <w:sz w:val="17"/>
              </w:rPr>
              <w:t>S3/SFTP outage → poison topic → replay with no duplicate file</w:t>
            </w:r>
          </w:p>
        </w:tc>
        <w:tc>
          <w:tcPr>
            <w:tcW w:type="dxa" w:w="2805"/>
          </w:tcPr>
          <w:p>
            <w:r/>
            <w:r>
              <w:rPr>
                <w:b/>
                <w:sz w:val="17"/>
              </w:rPr>
              <w:t>Not covered</w:t>
            </w:r>
          </w:p>
        </w:tc>
        <w:tc>
          <w:tcPr>
            <w:tcW w:type="dxa" w:w="2805"/>
          </w:tcPr>
          <w:p>
            <w:r/>
            <w:r>
              <w:rPr>
                <w:sz w:val="17"/>
              </w:rPr>
              <w:t>None</w:t>
            </w:r>
          </w:p>
        </w:tc>
      </w:tr>
      <w:tr>
        <w:tc>
          <w:tcPr>
            <w:tcW w:type="dxa" w:w="2805"/>
          </w:tcPr>
          <w:p>
            <w:r/>
            <w:r>
              <w:rPr>
                <w:sz w:val="17"/>
              </w:rPr>
              <w:t>48</w:t>
            </w:r>
          </w:p>
        </w:tc>
        <w:tc>
          <w:tcPr>
            <w:tcW w:type="dxa" w:w="2805"/>
          </w:tcPr>
          <w:p>
            <w:r/>
            <w:r>
              <w:rPr>
                <w:sz w:val="17"/>
              </w:rPr>
              <w:t>EDW lag and EOD notification</w:t>
            </w:r>
          </w:p>
        </w:tc>
        <w:tc>
          <w:tcPr>
            <w:tcW w:type="dxa" w:w="2805"/>
          </w:tcPr>
          <w:p>
            <w:r/>
            <w:r>
              <w:rPr>
                <w:sz w:val="17"/>
              </w:rPr>
              <w:t>ETL extract completion and lag alerts</w:t>
            </w:r>
          </w:p>
        </w:tc>
        <w:tc>
          <w:tcPr>
            <w:tcW w:type="dxa" w:w="2805"/>
          </w:tcPr>
          <w:p>
            <w:r/>
            <w:r>
              <w:rPr>
                <w:b/>
                <w:sz w:val="17"/>
              </w:rPr>
              <w:t>Not covered</w:t>
            </w:r>
          </w:p>
        </w:tc>
        <w:tc>
          <w:tcPr>
            <w:tcW w:type="dxa" w:w="2805"/>
          </w:tcPr>
          <w:p>
            <w:r/>
            <w:r>
              <w:rPr>
                <w:sz w:val="17"/>
              </w:rPr>
              <w:t>None</w:t>
            </w:r>
          </w:p>
        </w:tc>
      </w:tr>
      <w:tr>
        <w:tc>
          <w:tcPr>
            <w:tcW w:type="dxa" w:w="2805"/>
          </w:tcPr>
          <w:p>
            <w:r/>
            <w:r>
              <w:rPr>
                <w:sz w:val="17"/>
              </w:rPr>
              <w:t>49</w:t>
            </w:r>
          </w:p>
        </w:tc>
        <w:tc>
          <w:tcPr>
            <w:tcW w:type="dxa" w:w="2805"/>
          </w:tcPr>
          <w:p>
            <w:r/>
            <w:r>
              <w:rPr>
                <w:sz w:val="17"/>
              </w:rPr>
              <w:t>Corporate action: code change</w:t>
            </w:r>
          </w:p>
        </w:tc>
        <w:tc>
          <w:tcPr>
            <w:tcW w:type="dxa" w:w="2805"/>
          </w:tcPr>
          <w:p>
            <w:r/>
            <w:r>
              <w:rPr>
                <w:sz w:val="17"/>
              </w:rPr>
              <w:t>Day 1–3, with and without reservation</w:t>
            </w:r>
          </w:p>
        </w:tc>
        <w:tc>
          <w:tcPr>
            <w:tcW w:type="dxa" w:w="2805"/>
          </w:tcPr>
          <w:p>
            <w:r/>
            <w:r>
              <w:rPr>
                <w:b/>
                <w:sz w:val="17"/>
              </w:rPr>
              <w:t>Covered</w:t>
            </w:r>
          </w:p>
        </w:tc>
        <w:tc>
          <w:tcPr>
            <w:tcW w:type="dxa" w:w="2805"/>
          </w:tcPr>
          <w:p>
            <w:r/>
            <w:r>
              <w:rPr>
                <w:sz w:val="17"/>
              </w:rPr>
              <w:t>6 features automated</w:t>
            </w:r>
          </w:p>
        </w:tc>
      </w:tr>
      <w:tr>
        <w:tc>
          <w:tcPr>
            <w:tcW w:type="dxa" w:w="2805"/>
          </w:tcPr>
          <w:p>
            <w:r/>
            <w:r>
              <w:rPr>
                <w:sz w:val="17"/>
              </w:rPr>
              <w:t>50</w:t>
            </w:r>
          </w:p>
        </w:tc>
        <w:tc>
          <w:tcPr>
            <w:tcW w:type="dxa" w:w="2805"/>
          </w:tcPr>
          <w:p>
            <w:r/>
            <w:r>
              <w:rPr>
                <w:sz w:val="17"/>
              </w:rPr>
              <w:t>Corporate action: reconstruction</w:t>
            </w:r>
          </w:p>
        </w:tc>
        <w:tc>
          <w:tcPr>
            <w:tcW w:type="dxa" w:w="2805"/>
          </w:tcPr>
          <w:p>
            <w:r/>
            <w:r>
              <w:rPr>
                <w:sz w:val="17"/>
              </w:rPr>
              <w:t>Day 1–7 across EQY, COP, CNV, FIN, IBD</w:t>
            </w:r>
          </w:p>
        </w:tc>
        <w:tc>
          <w:tcPr>
            <w:tcW w:type="dxa" w:w="2805"/>
          </w:tcPr>
          <w:p>
            <w:r/>
            <w:r>
              <w:rPr>
                <w:b/>
                <w:sz w:val="17"/>
              </w:rPr>
              <w:t>Covered</w:t>
            </w:r>
          </w:p>
        </w:tc>
        <w:tc>
          <w:tcPr>
            <w:tcW w:type="dxa" w:w="2805"/>
          </w:tcPr>
          <w:p>
            <w:r/>
            <w:r>
              <w:rPr>
                <w:sz w:val="17"/>
              </w:rPr>
              <w:t>Asset-class matrix to confirm</w:t>
            </w:r>
          </w:p>
        </w:tc>
      </w:tr>
      <w:tr>
        <w:tc>
          <w:tcPr>
            <w:tcW w:type="dxa" w:w="2805"/>
          </w:tcPr>
          <w:p>
            <w:r/>
            <w:r>
              <w:rPr>
                <w:sz w:val="17"/>
              </w:rPr>
              <w:t>51</w:t>
            </w:r>
          </w:p>
        </w:tc>
        <w:tc>
          <w:tcPr>
            <w:tcW w:type="dxa" w:w="2805"/>
          </w:tcPr>
          <w:p>
            <w:r/>
            <w:r>
              <w:rPr>
                <w:sz w:val="17"/>
              </w:rPr>
              <w:t>Corporate action: rollover</w:t>
            </w:r>
          </w:p>
        </w:tc>
        <w:tc>
          <w:tcPr>
            <w:tcW w:type="dxa" w:w="2805"/>
          </w:tcPr>
          <w:p>
            <w:r/>
            <w:r>
              <w:rPr>
                <w:sz w:val="17"/>
              </w:rPr>
              <w:t>Day 1–5, reflected in D04/E03</w:t>
            </w:r>
          </w:p>
        </w:tc>
        <w:tc>
          <w:tcPr>
            <w:tcW w:type="dxa" w:w="2805"/>
          </w:tcPr>
          <w:p>
            <w:r/>
            <w:r>
              <w:rPr>
                <w:b/>
                <w:sz w:val="17"/>
              </w:rPr>
              <w:t>Partially covered</w:t>
            </w:r>
          </w:p>
        </w:tc>
        <w:tc>
          <w:tcPr>
            <w:tcW w:type="dxa" w:w="2805"/>
          </w:tcPr>
          <w:p>
            <w:r/>
            <w:r>
              <w:rPr>
                <w:sz w:val="17"/>
              </w:rPr>
              <w:t>Not tag-linked; D04/E03 impact not checked</w:t>
            </w:r>
          </w:p>
        </w:tc>
      </w:tr>
      <w:tr>
        <w:tc>
          <w:tcPr>
            <w:tcW w:type="dxa" w:w="2805"/>
          </w:tcPr>
          <w:p>
            <w:r/>
            <w:r>
              <w:rPr>
                <w:sz w:val="17"/>
              </w:rPr>
              <w:t>52</w:t>
            </w:r>
          </w:p>
        </w:tc>
        <w:tc>
          <w:tcPr>
            <w:tcW w:type="dxa" w:w="2805"/>
          </w:tcPr>
          <w:p>
            <w:r/>
            <w:r>
              <w:rPr>
                <w:sz w:val="17"/>
              </w:rPr>
              <w:t>Forward-dated effective dates</w:t>
            </w:r>
          </w:p>
        </w:tc>
        <w:tc>
          <w:tcPr>
            <w:tcW w:type="dxa" w:w="2805"/>
          </w:tcPr>
          <w:p>
            <w:r/>
            <w:r>
              <w:rPr>
                <w:sz w:val="17"/>
              </w:rPr>
              <w:t>Changes appear only from their effective date</w:t>
            </w:r>
          </w:p>
        </w:tc>
        <w:tc>
          <w:tcPr>
            <w:tcW w:type="dxa" w:w="2805"/>
          </w:tcPr>
          <w:p>
            <w:r/>
            <w:r>
              <w:rPr>
                <w:b/>
                <w:sz w:val="17"/>
              </w:rPr>
              <w:t>Not covered</w:t>
            </w:r>
          </w:p>
        </w:tc>
        <w:tc>
          <w:tcPr>
            <w:tcW w:type="dxa" w:w="2805"/>
          </w:tcPr>
          <w:p>
            <w:r/>
            <w:r>
              <w:rPr>
                <w:sz w:val="17"/>
              </w:rPr>
              <w:t>None</w:t>
            </w:r>
          </w:p>
        </w:tc>
      </w:tr>
      <w:tr>
        <w:tc>
          <w:tcPr>
            <w:tcW w:type="dxa" w:w="2805"/>
          </w:tcPr>
          <w:p>
            <w:r/>
            <w:r>
              <w:rPr>
                <w:sz w:val="17"/>
              </w:rPr>
              <w:t>53</w:t>
            </w:r>
          </w:p>
        </w:tc>
        <w:tc>
          <w:tcPr>
            <w:tcW w:type="dxa" w:w="2805"/>
          </w:tcPr>
          <w:p>
            <w:r/>
            <w:r>
              <w:rPr>
                <w:sz w:val="17"/>
              </w:rPr>
              <w:t>Multi-day valuation in products</w:t>
            </w:r>
          </w:p>
        </w:tc>
        <w:tc>
          <w:tcPr>
            <w:tcW w:type="dxa" w:w="2805"/>
          </w:tcPr>
          <w:p>
            <w:r/>
            <w:r>
              <w:rPr>
                <w:sz w:val="17"/>
              </w:rPr>
              <w:t>Valuation changes visible across D01, D04, E03</w:t>
            </w:r>
          </w:p>
        </w:tc>
        <w:tc>
          <w:tcPr>
            <w:tcW w:type="dxa" w:w="2805"/>
          </w:tcPr>
          <w:p>
            <w:r/>
            <w:r>
              <w:rPr>
                <w:b/>
                <w:sz w:val="17"/>
              </w:rPr>
              <w:t>Partially covered</w:t>
            </w:r>
          </w:p>
        </w:tc>
        <w:tc>
          <w:tcPr>
            <w:tcW w:type="dxa" w:w="2805"/>
          </w:tcPr>
          <w:p>
            <w:r/>
            <w:r>
              <w:rPr>
                <w:sz w:val="17"/>
              </w:rPr>
              <w:t>D04/D01/E03 multi-day test is manual</w:t>
            </w:r>
          </w:p>
        </w:tc>
      </w:tr>
      <w:tr>
        <w:tc>
          <w:tcPr>
            <w:tcW w:type="dxa" w:w="2805"/>
          </w:tcPr>
          <w:p>
            <w:r/>
            <w:r>
              <w:rPr>
                <w:sz w:val="17"/>
              </w:rPr>
              <w:t>54</w:t>
            </w:r>
          </w:p>
        </w:tc>
        <w:tc>
          <w:tcPr>
            <w:tcW w:type="dxa" w:w="2805"/>
          </w:tcPr>
          <w:p>
            <w:r/>
            <w:r>
              <w:rPr>
                <w:sz w:val="17"/>
              </w:rPr>
              <w:t>Product = database</w:t>
            </w:r>
          </w:p>
        </w:tc>
        <w:tc>
          <w:tcPr>
            <w:tcW w:type="dxa" w:w="2805"/>
          </w:tcPr>
          <w:p>
            <w:r/>
            <w:r>
              <w:rPr>
                <w:sz w:val="17"/>
              </w:rPr>
              <w:t>D01/D04/D06/E03 values equal the Aurora snapshot rows they were built from</w:t>
            </w:r>
          </w:p>
        </w:tc>
        <w:tc>
          <w:tcPr>
            <w:tcW w:type="dxa" w:w="2805"/>
          </w:tcPr>
          <w:p>
            <w:r/>
            <w:r>
              <w:rPr>
                <w:b/>
                <w:sz w:val="17"/>
              </w:rPr>
              <w:t>Not covered</w:t>
            </w:r>
          </w:p>
        </w:tc>
        <w:tc>
          <w:tcPr>
            <w:tcW w:type="dxa" w:w="2805"/>
          </w:tcPr>
          <w:p>
            <w:r/>
            <w:r>
              <w:rPr>
                <w:sz w:val="17"/>
              </w:rPr>
              <w:t>None</w:t>
            </w:r>
          </w:p>
        </w:tc>
      </w:tr>
      <w:tr>
        <w:tc>
          <w:tcPr>
            <w:tcW w:type="dxa" w:w="2805"/>
          </w:tcPr>
          <w:p>
            <w:r/>
            <w:r>
              <w:rPr>
                <w:sz w:val="17"/>
              </w:rPr>
              <w:t>55</w:t>
            </w:r>
          </w:p>
        </w:tc>
        <w:tc>
          <w:tcPr>
            <w:tcW w:type="dxa" w:w="2805"/>
          </w:tcPr>
          <w:p>
            <w:r/>
            <w:r>
              <w:rPr>
                <w:sz w:val="17"/>
              </w:rPr>
              <w:t>Reconciliation using recon user / reader</w:t>
            </w:r>
          </w:p>
        </w:tc>
        <w:tc>
          <w:tcPr>
            <w:tcW w:type="dxa" w:w="2805"/>
          </w:tcPr>
          <w:p>
            <w:r/>
            <w:r>
              <w:rPr>
                <w:sz w:val="17"/>
              </w:rPr>
              <w:t>Recon runs as recon user (on the reader endpoint where designed) and matches the writer</w:t>
            </w:r>
          </w:p>
        </w:tc>
        <w:tc>
          <w:tcPr>
            <w:tcW w:type="dxa" w:w="2805"/>
          </w:tcPr>
          <w:p>
            <w:r/>
            <w:r>
              <w:rPr>
                <w:b/>
                <w:sz w:val="17"/>
              </w:rPr>
              <w:t>Not covered</w:t>
            </w:r>
          </w:p>
        </w:tc>
        <w:tc>
          <w:tcPr>
            <w:tcW w:type="dxa" w:w="2805"/>
          </w:tcPr>
          <w:p>
            <w:r/>
            <w:r>
              <w:rPr>
                <w:sz w:val="17"/>
              </w:rPr>
              <w:t>None</w:t>
            </w:r>
          </w:p>
        </w:tc>
      </w:tr>
      <w:tr>
        <w:tc>
          <w:tcPr>
            <w:tcW w:type="dxa" w:w="2805"/>
          </w:tcPr>
          <w:p>
            <w:r/>
            <w:r>
              <w:rPr>
                <w:sz w:val="17"/>
              </w:rPr>
              <w:t>56</w:t>
            </w:r>
          </w:p>
        </w:tc>
        <w:tc>
          <w:tcPr>
            <w:tcW w:type="dxa" w:w="2805"/>
          </w:tcPr>
          <w:p>
            <w:r/>
            <w:r>
              <w:rPr>
                <w:sz w:val="17"/>
              </w:rPr>
              <w:t>SignalB delivery via devdmz</w:t>
            </w:r>
          </w:p>
        </w:tc>
        <w:tc>
          <w:tcPr>
            <w:tcW w:type="dxa" w:w="2805"/>
          </w:tcPr>
          <w:p>
            <w:r/>
            <w:r>
              <w:rPr>
                <w:sz w:val="17"/>
              </w:rPr>
              <w:t>SignalB receives streaming and summary data via the NLB (4500) / F5 endpoint with ForgeRock auth; the devdmz → Aurora path works</w:t>
            </w:r>
          </w:p>
        </w:tc>
        <w:tc>
          <w:tcPr>
            <w:tcW w:type="dxa" w:w="2805"/>
          </w:tcPr>
          <w:p>
            <w:r/>
            <w:r>
              <w:rPr>
                <w:b/>
                <w:sz w:val="17"/>
              </w:rPr>
              <w:t>Not covered</w:t>
            </w:r>
          </w:p>
        </w:tc>
        <w:tc>
          <w:tcPr>
            <w:tcW w:type="dxa" w:w="2805"/>
          </w:tcPr>
          <w:p>
            <w:r/>
            <w:r>
              <w:rPr>
                <w:sz w:val="17"/>
              </w:rPr>
              <w:t>None</w:t>
            </w:r>
          </w:p>
        </w:tc>
      </w:tr>
      <w:tr>
        <w:tc>
          <w:tcPr>
            <w:tcW w:type="dxa" w:w="2805"/>
          </w:tcPr>
          <w:p>
            <w:r/>
            <w:r>
              <w:rPr>
                <w:sz w:val="17"/>
              </w:rPr>
              <w:t>57</w:t>
            </w:r>
          </w:p>
        </w:tc>
        <w:tc>
          <w:tcPr>
            <w:tcW w:type="dxa" w:w="2805"/>
          </w:tcPr>
          <w:p>
            <w:r/>
            <w:r>
              <w:rPr>
                <w:sz w:val="17"/>
              </w:rPr>
              <w:t>Blue/green cluster cutover</w:t>
            </w:r>
          </w:p>
        </w:tc>
        <w:tc>
          <w:tcPr>
            <w:tcW w:type="dxa" w:w="2805"/>
          </w:tcPr>
          <w:p>
            <w:r/>
            <w:r>
              <w:rPr>
                <w:sz w:val="17"/>
              </w:rPr>
              <w:t>Switching hubble-*-blue → green mid-cycle: only one cluster consumes and writes; no double processing; offsets continue; products unchanged</w:t>
            </w:r>
          </w:p>
        </w:tc>
        <w:tc>
          <w:tcPr>
            <w:tcW w:type="dxa" w:w="2805"/>
          </w:tcPr>
          <w:p>
            <w:r/>
            <w:r>
              <w:rPr>
                <w:b/>
                <w:sz w:val="17"/>
              </w:rPr>
              <w:t>Not covered</w:t>
            </w:r>
          </w:p>
        </w:tc>
        <w:tc>
          <w:tcPr>
            <w:tcW w:type="dxa" w:w="2805"/>
          </w:tcPr>
          <w:p>
            <w:r/>
            <w:r>
              <w:rPr>
                <w:sz w:val="17"/>
              </w:rPr>
              <w:t>None</w:t>
            </w:r>
          </w:p>
        </w:tc>
      </w:tr>
      <w:tr>
        <w:tc>
          <w:tcPr>
            <w:tcW w:type="dxa" w:w="2805"/>
          </w:tcPr>
          <w:p>
            <w:r/>
            <w:r>
              <w:rPr>
                <w:sz w:val="17"/>
              </w:rPr>
              <w:t>58</w:t>
            </w:r>
          </w:p>
        </w:tc>
        <w:tc>
          <w:tcPr>
            <w:tcW w:type="dxa" w:w="2805"/>
          </w:tcPr>
          <w:p>
            <w:r/>
            <w:r>
              <w:rPr>
                <w:sz w:val="17"/>
              </w:rPr>
              <w:t>Migration parity: AWS vs on-prem</w:t>
            </w:r>
          </w:p>
        </w:tc>
        <w:tc>
          <w:tcPr>
            <w:tcW w:type="dxa" w:w="2805"/>
          </w:tcPr>
          <w:p>
            <w:r/>
            <w:r>
              <w:rPr>
                <w:sz w:val="17"/>
              </w:rPr>
              <w:t>For the same inputs and day, AWS Hubble products equal on-prem Hubble products (QHUBDB221 / legacy outputs)</w:t>
            </w:r>
          </w:p>
        </w:tc>
        <w:tc>
          <w:tcPr>
            <w:tcW w:type="dxa" w:w="2805"/>
          </w:tcPr>
          <w:p>
            <w:r/>
            <w:r>
              <w:rPr>
                <w:b/>
                <w:sz w:val="17"/>
              </w:rPr>
              <w:t>Not covered</w:t>
            </w:r>
          </w:p>
        </w:tc>
        <w:tc>
          <w:tcPr>
            <w:tcW w:type="dxa" w:w="2805"/>
          </w:tcPr>
          <w:p>
            <w:r/>
            <w:r>
              <w:rPr>
                <w:sz w:val="17"/>
              </w:rPr>
              <w:t>None</w:t>
            </w:r>
          </w:p>
        </w:tc>
      </w:tr>
      <w:tr>
        <w:tc>
          <w:tcPr>
            <w:tcW w:type="dxa" w:w="2805"/>
          </w:tcPr>
          <w:p>
            <w:r/>
            <w:r>
              <w:rPr>
                <w:sz w:val="17"/>
              </w:rPr>
              <w:t>59</w:t>
            </w:r>
          </w:p>
        </w:tc>
        <w:tc>
          <w:tcPr>
            <w:tcW w:type="dxa" w:w="2805"/>
          </w:tcPr>
          <w:p>
            <w:r/>
            <w:r>
              <w:rPr>
                <w:sz w:val="17"/>
              </w:rPr>
              <w:t>Migrated data integrity</w:t>
            </w:r>
          </w:p>
        </w:tc>
        <w:tc>
          <w:tcPr>
            <w:tcW w:type="dxa" w:w="2805"/>
          </w:tcPr>
          <w:p>
            <w:r/>
            <w:r>
              <w:rPr>
                <w:sz w:val="17"/>
              </w:rPr>
              <w:t>Reference and historical data migrated from SQL Server to Aurora match the source (counts, checksums, key samples), including the 27M historical trades used by CS/BT</w:t>
            </w:r>
          </w:p>
        </w:tc>
        <w:tc>
          <w:tcPr>
            <w:tcW w:type="dxa" w:w="2805"/>
          </w:tcPr>
          <w:p>
            <w:r/>
            <w:r>
              <w:rPr>
                <w:b/>
                <w:sz w:val="17"/>
              </w:rPr>
              <w:t>Not covered</w:t>
            </w:r>
          </w:p>
        </w:tc>
        <w:tc>
          <w:tcPr>
            <w:tcW w:type="dxa" w:w="2805"/>
          </w:tcPr>
          <w:p>
            <w:r/>
            <w:r>
              <w:rPr>
                <w:sz w:val="17"/>
              </w:rPr>
              <w:t>None</w:t>
            </w:r>
          </w:p>
        </w:tc>
      </w:tr>
      <w:tr>
        <w:tc>
          <w:tcPr>
            <w:tcW w:type="dxa" w:w="2805"/>
          </w:tcPr>
          <w:p>
            <w:r/>
            <w:r>
              <w:rPr>
                <w:sz w:val="17"/>
              </w:rPr>
              <w:t>60</w:t>
            </w:r>
          </w:p>
        </w:tc>
        <w:tc>
          <w:tcPr>
            <w:tcW w:type="dxa" w:w="2805"/>
          </w:tcPr>
          <w:p>
            <w:r/>
            <w:r>
              <w:rPr>
                <w:sz w:val="17"/>
              </w:rPr>
              <w:t>Daytona integration</w:t>
            </w:r>
          </w:p>
        </w:tc>
        <w:tc>
          <w:tcPr>
            <w:tcW w:type="dxa" w:w="2805"/>
          </w:tcPr>
          <w:p>
            <w:r/>
            <w:r>
              <w:rPr>
                <w:sz w:val="17"/>
              </w:rPr>
              <w:t>Hubble ↔ Daytona messages flow on the documented ports in the QA and customer-test environments</w:t>
            </w:r>
          </w:p>
        </w:tc>
        <w:tc>
          <w:tcPr>
            <w:tcW w:type="dxa" w:w="2805"/>
          </w:tcPr>
          <w:p>
            <w:r/>
            <w:r>
              <w:rPr>
                <w:b/>
                <w:sz w:val="17"/>
              </w:rPr>
              <w:t>Not covered</w:t>
            </w:r>
          </w:p>
        </w:tc>
        <w:tc>
          <w:tcPr>
            <w:tcW w:type="dxa" w:w="2805"/>
          </w:tcPr>
          <w:p>
            <w:r/>
            <w:r>
              <w:rPr>
                <w:sz w:val="17"/>
              </w:rPr>
              <w:t>None</w:t>
            </w:r>
          </w:p>
        </w:tc>
      </w:tr>
    </w:tbl>
    <w:p/>
    <w:p>
      <w:pPr>
        <w:pStyle w:val="Heading2"/>
      </w:pPr>
      <w:r>
        <w:t>7.4 Signal B and HUBDAM</w:t>
      </w:r>
    </w:p>
    <w:tbl>
      <w:tblPr>
        <w:tblStyle w:val="TableGrid"/>
        <w:tblW w:type="auto" w:w="0"/>
        <w:tblLook w:firstColumn="1" w:firstRow="1" w:lastColumn="0" w:lastRow="0" w:noHBand="0" w:noVBand="1" w:val="04A0"/>
      </w:tblPr>
      <w:tblGrid>
        <w:gridCol w:w="2338"/>
        <w:gridCol w:w="2338"/>
        <w:gridCol w:w="2338"/>
        <w:gridCol w:w="2338"/>
        <w:gridCol w:w="2338"/>
        <w:gridCol w:w="2338"/>
      </w:tblGrid>
      <w:tr>
        <w:tc>
          <w:tcPr>
            <w:tcW w:type="dxa" w:w="2338"/>
            <w:shd w:val="clear" w:color="auto" w:fill="F4F5F7"/>
          </w:tcPr>
          <w:p>
            <w:r/>
            <w:r>
              <w:rPr>
                <w:b/>
                <w:sz w:val="17"/>
              </w:rPr>
              <w:t>#</w:t>
            </w:r>
          </w:p>
        </w:tc>
        <w:tc>
          <w:tcPr>
            <w:tcW w:type="dxa" w:w="2338"/>
            <w:shd w:val="clear" w:color="auto" w:fill="F4F5F7"/>
          </w:tcPr>
          <w:p>
            <w:r/>
            <w:r>
              <w:rPr>
                <w:b/>
                <w:sz w:val="17"/>
              </w:rPr>
              <w:t>Level</w:t>
            </w:r>
          </w:p>
        </w:tc>
        <w:tc>
          <w:tcPr>
            <w:tcW w:type="dxa" w:w="2338"/>
            <w:shd w:val="clear" w:color="auto" w:fill="F4F5F7"/>
          </w:tcPr>
          <w:p>
            <w:r/>
            <w:r>
              <w:rPr>
                <w:b/>
                <w:sz w:val="17"/>
              </w:rPr>
              <w:t>SIT feature</w:t>
            </w:r>
          </w:p>
        </w:tc>
        <w:tc>
          <w:tcPr>
            <w:tcW w:type="dxa" w:w="2338"/>
            <w:shd w:val="clear" w:color="auto" w:fill="F4F5F7"/>
          </w:tcPr>
          <w:p>
            <w:r/>
            <w:r>
              <w:rPr>
                <w:b/>
                <w:sz w:val="17"/>
              </w:rPr>
              <w:t>What it must prove</w:t>
            </w:r>
          </w:p>
        </w:tc>
        <w:tc>
          <w:tcPr>
            <w:tcW w:type="dxa" w:w="2338"/>
            <w:shd w:val="clear" w:color="auto" w:fill="F4F5F7"/>
          </w:tcPr>
          <w:p>
            <w:r/>
            <w:r>
              <w:rPr>
                <w:b/>
                <w:sz w:val="17"/>
              </w:rPr>
              <w:t>Coverage</w:t>
            </w:r>
          </w:p>
        </w:tc>
        <w:tc>
          <w:tcPr>
            <w:tcW w:type="dxa" w:w="2338"/>
            <w:shd w:val="clear" w:color="auto" w:fill="F4F5F7"/>
          </w:tcPr>
          <w:p>
            <w:r/>
            <w:r>
              <w:rPr>
                <w:b/>
                <w:sz w:val="17"/>
              </w:rPr>
              <w:t>Today / what's missing</w:t>
            </w:r>
          </w:p>
        </w:tc>
      </w:tr>
      <w:tr>
        <w:tc>
          <w:tcPr>
            <w:tcW w:type="dxa" w:w="2338"/>
          </w:tcPr>
          <w:p>
            <w:r/>
            <w:r>
              <w:rPr>
                <w:sz w:val="17"/>
              </w:rPr>
              <w:t>61</w:t>
            </w:r>
          </w:p>
        </w:tc>
        <w:tc>
          <w:tcPr>
            <w:tcW w:type="dxa" w:w="2338"/>
          </w:tcPr>
          <w:p>
            <w:r/>
            <w:r>
              <w:rPr>
                <w:sz w:val="17"/>
              </w:rPr>
              <w:t>L1</w:t>
            </w:r>
          </w:p>
        </w:tc>
        <w:tc>
          <w:tcPr>
            <w:tcW w:type="dxa" w:w="2338"/>
          </w:tcPr>
          <w:p>
            <w:r/>
            <w:r>
              <w:rPr>
                <w:sz w:val="17"/>
              </w:rPr>
              <w:t>Signal B network and TLS path</w:t>
            </w:r>
          </w:p>
        </w:tc>
        <w:tc>
          <w:tcPr>
            <w:tcW w:type="dxa" w:w="2338"/>
          </w:tcPr>
          <w:p>
            <w:r/>
            <w:r>
              <w:rPr>
                <w:sz w:val="17"/>
              </w:rPr>
              <w:t>A FIX client reaches the adapter through F5 / NLB :4500 into devdmz with a valid certificate; devdmz reaches Enterprise Kafka and Aurora</w:t>
            </w:r>
          </w:p>
        </w:tc>
        <w:tc>
          <w:tcPr>
            <w:tcW w:type="dxa" w:w="2338"/>
          </w:tcPr>
          <w:p>
            <w:r/>
            <w:r>
              <w:rPr>
                <w:b/>
                <w:sz w:val="17"/>
              </w:rPr>
              <w:t>Not covered</w:t>
            </w:r>
          </w:p>
        </w:tc>
        <w:tc>
          <w:tcPr>
            <w:tcW w:type="dxa" w:w="2338"/>
          </w:tcPr>
          <w:p>
            <w:r/>
            <w:r>
              <w:rPr>
                <w:sz w:val="17"/>
              </w:rPr>
              <w:t>None; blocked by the SAN typo (finding 2)</w:t>
            </w:r>
          </w:p>
        </w:tc>
      </w:tr>
      <w:tr>
        <w:tc>
          <w:tcPr>
            <w:tcW w:type="dxa" w:w="2338"/>
          </w:tcPr>
          <w:p>
            <w:r/>
            <w:r>
              <w:rPr>
                <w:sz w:val="17"/>
              </w:rPr>
              <w:t>62</w:t>
            </w:r>
          </w:p>
        </w:tc>
        <w:tc>
          <w:tcPr>
            <w:tcW w:type="dxa" w:w="2338"/>
          </w:tcPr>
          <w:p>
            <w:r/>
            <w:r>
              <w:rPr>
                <w:sz w:val="17"/>
              </w:rPr>
              <w:t>L2</w:t>
            </w:r>
          </w:p>
        </w:tc>
        <w:tc>
          <w:tcPr>
            <w:tcW w:type="dxa" w:w="2338"/>
          </w:tcPr>
          <w:p>
            <w:r/>
            <w:r>
              <w:rPr>
                <w:sz w:val="17"/>
              </w:rPr>
              <w:t>Hubble MTS → Signal B Processor hand-off</w:t>
            </w:r>
          </w:p>
        </w:tc>
        <w:tc>
          <w:tcPr>
            <w:tcW w:type="dxa" w:w="2338"/>
          </w:tcPr>
          <w:p>
            <w:r/>
            <w:r>
              <w:rPr>
                <w:sz w:val="17"/>
              </w:rPr>
              <w:t>Real MarketTradeSummary from Hubble TAS (not seeded) is consumed with a compatible schema; invalid MTS goes to the business poison topic</w:t>
            </w:r>
          </w:p>
        </w:tc>
        <w:tc>
          <w:tcPr>
            <w:tcW w:type="dxa" w:w="2338"/>
          </w:tcPr>
          <w:p>
            <w:r/>
            <w:r>
              <w:rPr>
                <w:b/>
                <w:sz w:val="17"/>
              </w:rPr>
              <w:t>Partially covered</w:t>
            </w:r>
          </w:p>
        </w:tc>
        <w:tc>
          <w:tcPr>
            <w:tcW w:type="dxa" w:w="2338"/>
          </w:tcPr>
          <w:p>
            <w:r/>
            <w:r>
              <w:rPr>
                <w:sz w:val="17"/>
              </w:rPr>
              <w:t>Processor reject suite exists, but its poison-topic assertion is commented out (schema mismatch)</w:t>
            </w:r>
          </w:p>
        </w:tc>
      </w:tr>
      <w:tr>
        <w:tc>
          <w:tcPr>
            <w:tcW w:type="dxa" w:w="2338"/>
          </w:tcPr>
          <w:p>
            <w:r/>
            <w:r>
              <w:rPr>
                <w:sz w:val="17"/>
              </w:rPr>
              <w:t>63</w:t>
            </w:r>
          </w:p>
        </w:tc>
        <w:tc>
          <w:tcPr>
            <w:tcW w:type="dxa" w:w="2338"/>
          </w:tcPr>
          <w:p>
            <w:r/>
            <w:r>
              <w:rPr>
                <w:sz w:val="17"/>
              </w:rPr>
              <w:t>L2</w:t>
            </w:r>
          </w:p>
        </w:tc>
        <w:tc>
          <w:tcPr>
            <w:tcW w:type="dxa" w:w="2338"/>
          </w:tcPr>
          <w:p>
            <w:r/>
            <w:r>
              <w:rPr>
                <w:sz w:val="17"/>
              </w:rPr>
              <w:t>Signal B trading-day lifecycle</w:t>
            </w:r>
          </w:p>
        </w:tc>
        <w:tc>
          <w:tcPr>
            <w:tcW w:type="dxa" w:w="2338"/>
          </w:tcPr>
          <w:p>
            <w:r/>
            <w:r>
              <w:rPr>
                <w:sz w:val="17"/>
              </w:rPr>
              <w:t>The DB scheduler opens and closes the day; logon outside hours rejected; sequence numbers reset at SOD; Signal B follows the Hubble date roll</w:t>
            </w:r>
          </w:p>
        </w:tc>
        <w:tc>
          <w:tcPr>
            <w:tcW w:type="dxa" w:w="2338"/>
          </w:tcPr>
          <w:p>
            <w:r/>
            <w:r>
              <w:rPr>
                <w:b/>
                <w:sz w:val="17"/>
              </w:rPr>
              <w:t>Partially covered</w:t>
            </w:r>
          </w:p>
        </w:tc>
        <w:tc>
          <w:tcPr>
            <w:tcW w:type="dxa" w:w="2338"/>
          </w:tcPr>
          <w:p>
            <w:r/>
            <w:r>
              <w:rPr>
                <w:sz w:val="17"/>
              </w:rPr>
              <w:t>ForgeRock suite covers outside-hours logon only</w:t>
            </w:r>
          </w:p>
        </w:tc>
      </w:tr>
      <w:tr>
        <w:tc>
          <w:tcPr>
            <w:tcW w:type="dxa" w:w="2338"/>
          </w:tcPr>
          <w:p>
            <w:r/>
            <w:r>
              <w:rPr>
                <w:sz w:val="17"/>
              </w:rPr>
              <w:t>64</w:t>
            </w:r>
          </w:p>
        </w:tc>
        <w:tc>
          <w:tcPr>
            <w:tcW w:type="dxa" w:w="2338"/>
          </w:tcPr>
          <w:p>
            <w:r/>
            <w:r>
              <w:rPr>
                <w:sz w:val="17"/>
              </w:rPr>
              <w:t>L2</w:t>
            </w:r>
          </w:p>
        </w:tc>
        <w:tc>
          <w:tcPr>
            <w:tcW w:type="dxa" w:w="2338"/>
          </w:tcPr>
          <w:p>
            <w:r/>
            <w:r>
              <w:rPr>
                <w:sz w:val="17"/>
              </w:rPr>
              <w:t>Signal B recovery</w:t>
            </w:r>
          </w:p>
        </w:tc>
        <w:tc>
          <w:tcPr>
            <w:tcW w:type="dxa" w:w="2338"/>
          </w:tcPr>
          <w:p>
            <w:r/>
            <w:r>
              <w:rPr>
                <w:sz w:val="17"/>
              </w:rPr>
              <w:t>Processor or adapter pod restart and devdmz blue/green switch during a session: participants reconnect, sequence numbers are preserved, and no 35=AE is missed or duplicated</w:t>
            </w:r>
          </w:p>
        </w:tc>
        <w:tc>
          <w:tcPr>
            <w:tcW w:type="dxa" w:w="2338"/>
          </w:tcPr>
          <w:p>
            <w:r/>
            <w:r>
              <w:rPr>
                <w:b/>
                <w:sz w:val="17"/>
              </w:rPr>
              <w:t>Not covered</w:t>
            </w:r>
          </w:p>
        </w:tc>
        <w:tc>
          <w:tcPr>
            <w:tcW w:type="dxa" w:w="2338"/>
          </w:tcPr>
          <w:p>
            <w:r/>
            <w:r>
              <w:rPr>
                <w:sz w:val="17"/>
              </w:rPr>
              <w:t>None</w:t>
            </w:r>
          </w:p>
        </w:tc>
      </w:tr>
      <w:tr>
        <w:tc>
          <w:tcPr>
            <w:tcW w:type="dxa" w:w="2338"/>
          </w:tcPr>
          <w:p>
            <w:r/>
            <w:r>
              <w:rPr>
                <w:sz w:val="17"/>
              </w:rPr>
              <w:t>65</w:t>
            </w:r>
          </w:p>
        </w:tc>
        <w:tc>
          <w:tcPr>
            <w:tcW w:type="dxa" w:w="2338"/>
          </w:tcPr>
          <w:p>
            <w:r/>
            <w:r>
              <w:rPr>
                <w:sz w:val="17"/>
              </w:rPr>
              <w:t>L3</w:t>
            </w:r>
          </w:p>
        </w:tc>
        <w:tc>
          <w:tcPr>
            <w:tcW w:type="dxa" w:w="2338"/>
          </w:tcPr>
          <w:p>
            <w:r/>
            <w:r>
              <w:rPr>
                <w:sz w:val="17"/>
              </w:rPr>
              <w:t>Multi-participant TCR delivery</w:t>
            </w:r>
          </w:p>
        </w:tc>
        <w:tc>
          <w:tcPr>
            <w:tcW w:type="dxa" w:w="2338"/>
          </w:tcPr>
          <w:p>
            <w:r/>
            <w:r>
              <w:rPr>
                <w:sz w:val="17"/>
              </w:rPr>
              <w:t>Each participant gets only its own filtered 35=AE set (buyer/seller routing, one-side masking, field mapping)</w:t>
            </w:r>
          </w:p>
        </w:tc>
        <w:tc>
          <w:tcPr>
            <w:tcW w:type="dxa" w:w="2338"/>
          </w:tcPr>
          <w:p>
            <w:r/>
            <w:r>
              <w:rPr>
                <w:b/>
                <w:sz w:val="17"/>
              </w:rPr>
              <w:t>Covered</w:t>
            </w:r>
          </w:p>
        </w:tc>
        <w:tc>
          <w:tcPr>
            <w:tcW w:type="dxa" w:w="2338"/>
          </w:tcPr>
          <w:p>
            <w:r/>
            <w:r>
              <w:rPr>
                <w:sz w:val="17"/>
              </w:rPr>
              <w:t>Multi Participant Trade Confirmation Reports feature, including @masking</w:t>
            </w:r>
          </w:p>
        </w:tc>
      </w:tr>
      <w:tr>
        <w:tc>
          <w:tcPr>
            <w:tcW w:type="dxa" w:w="2338"/>
          </w:tcPr>
          <w:p>
            <w:r/>
            <w:r>
              <w:rPr>
                <w:sz w:val="17"/>
              </w:rPr>
              <w:t>66</w:t>
            </w:r>
          </w:p>
        </w:tc>
        <w:tc>
          <w:tcPr>
            <w:tcW w:type="dxa" w:w="2338"/>
          </w:tcPr>
          <w:p>
            <w:r/>
            <w:r>
              <w:rPr>
                <w:sz w:val="17"/>
              </w:rPr>
              <w:t>L3</w:t>
            </w:r>
          </w:p>
        </w:tc>
        <w:tc>
          <w:tcPr>
            <w:tcW w:type="dxa" w:w="2338"/>
          </w:tcPr>
          <w:p>
            <w:r/>
            <w:r>
              <w:rPr>
                <w:sz w:val="17"/>
              </w:rPr>
              <w:t>FIX session management and retransmission</w:t>
            </w:r>
          </w:p>
        </w:tc>
        <w:tc>
          <w:tcPr>
            <w:tcW w:type="dxa" w:w="2338"/>
          </w:tcPr>
          <w:p>
            <w:r/>
            <w:r>
              <w:rPr>
                <w:sz w:val="17"/>
              </w:rPr>
              <w:t>Resend request, gap-fill vs no gap-fill, PossDupFlag=Y, reconnection and state restoration</w:t>
            </w:r>
          </w:p>
        </w:tc>
        <w:tc>
          <w:tcPr>
            <w:tcW w:type="dxa" w:w="2338"/>
          </w:tcPr>
          <w:p>
            <w:r/>
            <w:r>
              <w:rPr>
                <w:b/>
                <w:sz w:val="17"/>
              </w:rPr>
              <w:t>Covered</w:t>
            </w:r>
          </w:p>
        </w:tc>
        <w:tc>
          <w:tcPr>
            <w:tcW w:type="dxa" w:w="2338"/>
          </w:tcPr>
          <w:p>
            <w:r/>
            <w:r>
              <w:rPr>
                <w:sz w:val="17"/>
              </w:rPr>
              <w:t>Adapter Retransmission feature</w:t>
            </w:r>
          </w:p>
        </w:tc>
      </w:tr>
      <w:tr>
        <w:tc>
          <w:tcPr>
            <w:tcW w:type="dxa" w:w="2338"/>
          </w:tcPr>
          <w:p>
            <w:r/>
            <w:r>
              <w:rPr>
                <w:sz w:val="17"/>
              </w:rPr>
              <w:t>67</w:t>
            </w:r>
          </w:p>
        </w:tc>
        <w:tc>
          <w:tcPr>
            <w:tcW w:type="dxa" w:w="2338"/>
          </w:tcPr>
          <w:p>
            <w:r/>
            <w:r>
              <w:rPr>
                <w:sz w:val="17"/>
              </w:rPr>
              <w:t>L3</w:t>
            </w:r>
          </w:p>
        </w:tc>
        <w:tc>
          <w:tcPr>
            <w:tcW w:type="dxa" w:w="2338"/>
          </w:tcPr>
          <w:p>
            <w:r/>
            <w:r>
              <w:rPr>
                <w:sz w:val="17"/>
              </w:rPr>
              <w:t>ForgeRock FIX authentication</w:t>
            </w:r>
          </w:p>
        </w:tc>
        <w:tc>
          <w:tcPr>
            <w:tcW w:type="dxa" w:w="2338"/>
          </w:tcPr>
          <w:p>
            <w:r/>
            <w:r>
              <w:rPr>
                <w:sz w:val="17"/>
              </w:rPr>
              <w:t>Logon, heartbeat and logout; unregistered participant, invalid password and out-of-hours logon rejected</w:t>
            </w:r>
          </w:p>
        </w:tc>
        <w:tc>
          <w:tcPr>
            <w:tcW w:type="dxa" w:w="2338"/>
          </w:tcPr>
          <w:p>
            <w:r/>
            <w:r>
              <w:rPr>
                <w:b/>
                <w:sz w:val="17"/>
              </w:rPr>
              <w:t>Covered</w:t>
            </w:r>
          </w:p>
        </w:tc>
        <w:tc>
          <w:tcPr>
            <w:tcW w:type="dxa" w:w="2338"/>
          </w:tcPr>
          <w:p>
            <w:r/>
            <w:r>
              <w:rPr>
                <w:sz w:val="17"/>
              </w:rPr>
              <w:t>ForgeRock feature</w:t>
            </w:r>
          </w:p>
        </w:tc>
      </w:tr>
      <w:tr>
        <w:tc>
          <w:tcPr>
            <w:tcW w:type="dxa" w:w="2338"/>
          </w:tcPr>
          <w:p>
            <w:r/>
            <w:r>
              <w:rPr>
                <w:sz w:val="17"/>
              </w:rPr>
              <w:t>68</w:t>
            </w:r>
          </w:p>
        </w:tc>
        <w:tc>
          <w:tcPr>
            <w:tcW w:type="dxa" w:w="2338"/>
          </w:tcPr>
          <w:p>
            <w:r/>
            <w:r>
              <w:rPr>
                <w:sz w:val="17"/>
              </w:rPr>
              <w:t>L3</w:t>
            </w:r>
          </w:p>
        </w:tc>
        <w:tc>
          <w:tcPr>
            <w:tcW w:type="dxa" w:w="2338"/>
          </w:tcPr>
          <w:p>
            <w:r/>
            <w:r>
              <w:rPr>
                <w:sz w:val="17"/>
              </w:rPr>
              <w:t>Adapter session and business rejects</w:t>
            </w:r>
          </w:p>
        </w:tc>
        <w:tc>
          <w:tcPr>
            <w:tcW w:type="dxa" w:w="2338"/>
          </w:tcPr>
          <w:p>
            <w:r/>
            <w:r>
              <w:rPr>
                <w:sz w:val="17"/>
              </w:rPr>
              <w:t>35=3 for malformed messages, 35=j for anything other than AD, and second logon with 141=Y rejected</w:t>
            </w:r>
          </w:p>
        </w:tc>
        <w:tc>
          <w:tcPr>
            <w:tcW w:type="dxa" w:w="2338"/>
          </w:tcPr>
          <w:p>
            <w:r/>
            <w:r>
              <w:rPr>
                <w:b/>
                <w:sz w:val="17"/>
              </w:rPr>
              <w:t>Covered</w:t>
            </w:r>
          </w:p>
        </w:tc>
        <w:tc>
          <w:tcPr>
            <w:tcW w:type="dxa" w:w="2338"/>
          </w:tcPr>
          <w:p>
            <w:r/>
            <w:r>
              <w:rPr>
                <w:sz w:val="17"/>
              </w:rPr>
              <w:t>Adapter Service Reject Messages feature</w:t>
            </w:r>
          </w:p>
        </w:tc>
      </w:tr>
      <w:tr>
        <w:tc>
          <w:tcPr>
            <w:tcW w:type="dxa" w:w="2338"/>
          </w:tcPr>
          <w:p>
            <w:r/>
            <w:r>
              <w:rPr>
                <w:sz w:val="17"/>
              </w:rPr>
              <w:t>69</w:t>
            </w:r>
          </w:p>
        </w:tc>
        <w:tc>
          <w:tcPr>
            <w:tcW w:type="dxa" w:w="2338"/>
          </w:tcPr>
          <w:p>
            <w:r/>
            <w:r>
              <w:rPr>
                <w:sz w:val="17"/>
              </w:rPr>
              <w:t>L3</w:t>
            </w:r>
          </w:p>
        </w:tc>
        <w:tc>
          <w:tcPr>
            <w:tcW w:type="dxa" w:w="2338"/>
          </w:tcPr>
          <w:p>
            <w:r/>
            <w:r>
              <w:rPr>
                <w:sz w:val="17"/>
              </w:rPr>
              <w:t>Signal B full E2E in CI</w:t>
            </w:r>
          </w:p>
        </w:tc>
        <w:tc>
          <w:tcPr>
            <w:tcW w:type="dxa" w:w="2338"/>
          </w:tcPr>
          <w:p>
            <w:r/>
            <w:r>
              <w:rPr>
                <w:sz w:val="17"/>
              </w:rPr>
              <w:t>nCore via EMS + ASX Trade OrderBookEvent/TradeEvent via Kafka → Hubble → Signal B → participant receives the correct 35=AE</w:t>
            </w:r>
          </w:p>
        </w:tc>
        <w:tc>
          <w:tcPr>
            <w:tcW w:type="dxa" w:w="2338"/>
          </w:tcPr>
          <w:p>
            <w:r/>
            <w:r>
              <w:rPr>
                <w:b/>
                <w:sz w:val="17"/>
              </w:rPr>
              <w:t>Partially covered</w:t>
            </w:r>
          </w:p>
        </w:tc>
        <w:tc>
          <w:tcPr>
            <w:tcW w:type="dxa" w:w="2338"/>
          </w:tcPr>
          <w:p>
            <w:r/>
            <w:r>
              <w:rPr>
                <w:sz w:val="17"/>
              </w:rPr>
              <w:t>E2E feature exists but is not in the normal CI run</w:t>
            </w:r>
          </w:p>
        </w:tc>
      </w:tr>
      <w:tr>
        <w:tc>
          <w:tcPr>
            <w:tcW w:type="dxa" w:w="2338"/>
          </w:tcPr>
          <w:p>
            <w:r/>
            <w:r>
              <w:rPr>
                <w:sz w:val="17"/>
              </w:rPr>
              <w:t>70</w:t>
            </w:r>
          </w:p>
        </w:tc>
        <w:tc>
          <w:tcPr>
            <w:tcW w:type="dxa" w:w="2338"/>
          </w:tcPr>
          <w:p>
            <w:r/>
            <w:r>
              <w:rPr>
                <w:sz w:val="17"/>
              </w:rPr>
              <w:t>L3</w:t>
            </w:r>
          </w:p>
        </w:tc>
        <w:tc>
          <w:tcPr>
            <w:tcW w:type="dxa" w:w="2338"/>
          </w:tcPr>
          <w:p>
            <w:r/>
            <w:r>
              <w:rPr>
                <w:sz w:val="17"/>
              </w:rPr>
              <w:t>Trade corrections to participants</w:t>
            </w:r>
          </w:p>
        </w:tc>
        <w:tc>
          <w:tcPr>
            <w:tcW w:type="dxa" w:w="2338"/>
          </w:tcPr>
          <w:p>
            <w:r/>
            <w:r>
              <w:rPr>
                <w:sz w:val="17"/>
              </w:rPr>
              <w:t>An ASX Trade cancel or amend after a report was sent produces the correct corrected or cancelled 35=AE for both sides</w:t>
            </w:r>
          </w:p>
        </w:tc>
        <w:tc>
          <w:tcPr>
            <w:tcW w:type="dxa" w:w="2338"/>
          </w:tcPr>
          <w:p>
            <w:r/>
            <w:r>
              <w:rPr>
                <w:b/>
                <w:sz w:val="17"/>
              </w:rPr>
              <w:t>Not covered</w:t>
            </w:r>
          </w:p>
        </w:tc>
        <w:tc>
          <w:tcPr>
            <w:tcW w:type="dxa" w:w="2338"/>
          </w:tcPr>
          <w:p>
            <w:r/>
            <w:r>
              <w:rPr>
                <w:sz w:val="17"/>
              </w:rPr>
              <w:t>None</w:t>
            </w:r>
          </w:p>
        </w:tc>
      </w:tr>
      <w:tr>
        <w:tc>
          <w:tcPr>
            <w:tcW w:type="dxa" w:w="2338"/>
          </w:tcPr>
          <w:p>
            <w:r/>
            <w:r>
              <w:rPr>
                <w:sz w:val="17"/>
              </w:rPr>
              <w:t>71</w:t>
            </w:r>
          </w:p>
        </w:tc>
        <w:tc>
          <w:tcPr>
            <w:tcW w:type="dxa" w:w="2338"/>
          </w:tcPr>
          <w:p>
            <w:r/>
            <w:r>
              <w:rPr>
                <w:sz w:val="17"/>
              </w:rPr>
              <w:t>L3</w:t>
            </w:r>
          </w:p>
        </w:tc>
        <w:tc>
          <w:tcPr>
            <w:tcW w:type="dxa" w:w="2338"/>
          </w:tcPr>
          <w:p>
            <w:r/>
            <w:r>
              <w:rPr>
                <w:sz w:val="17"/>
              </w:rPr>
              <w:t>Signal B traceability</w:t>
            </w:r>
          </w:p>
        </w:tc>
        <w:tc>
          <w:tcPr>
            <w:tcW w:type="dxa" w:w="2338"/>
          </w:tcPr>
          <w:p>
            <w:r/>
            <w:r>
              <w:rPr>
                <w:sz w:val="17"/>
              </w:rPr>
              <w:t>One traceId from ASX TradeEvent → MTS → Processor → Adapter → 35=AE, visible in ES</w:t>
            </w:r>
          </w:p>
        </w:tc>
        <w:tc>
          <w:tcPr>
            <w:tcW w:type="dxa" w:w="2338"/>
          </w:tcPr>
          <w:p>
            <w:r/>
            <w:r>
              <w:rPr>
                <w:b/>
                <w:sz w:val="17"/>
              </w:rPr>
              <w:t>Not covered</w:t>
            </w:r>
          </w:p>
        </w:tc>
        <w:tc>
          <w:tcPr>
            <w:tcW w:type="dxa" w:w="2338"/>
          </w:tcPr>
          <w:p>
            <w:r/>
            <w:r>
              <w:rPr>
                <w:sz w:val="17"/>
              </w:rPr>
              <w:t>None</w:t>
            </w:r>
          </w:p>
        </w:tc>
      </w:tr>
      <w:tr>
        <w:tc>
          <w:tcPr>
            <w:tcW w:type="dxa" w:w="2338"/>
          </w:tcPr>
          <w:p>
            <w:r/>
            <w:r>
              <w:rPr>
                <w:sz w:val="17"/>
              </w:rPr>
              <w:t>72</w:t>
            </w:r>
          </w:p>
        </w:tc>
        <w:tc>
          <w:tcPr>
            <w:tcW w:type="dxa" w:w="2338"/>
          </w:tcPr>
          <w:p>
            <w:r/>
            <w:r>
              <w:rPr>
                <w:sz w:val="17"/>
              </w:rPr>
              <w:t>L2</w:t>
            </w:r>
          </w:p>
        </w:tc>
        <w:tc>
          <w:tcPr>
            <w:tcW w:type="dxa" w:w="2338"/>
          </w:tcPr>
          <w:p>
            <w:r/>
            <w:r>
              <w:rPr>
                <w:sz w:val="17"/>
              </w:rPr>
              <w:t>HUBDAM data archive (functional)</w:t>
            </w:r>
          </w:p>
        </w:tc>
        <w:tc>
          <w:tcPr>
            <w:tcW w:type="dxa" w:w="2338"/>
          </w:tcPr>
          <w:p>
            <w:r/>
            <w:r>
              <w:rPr>
                <w:sz w:val="17"/>
              </w:rPr>
              <w:t>Every archived message type is stored correctly in DAS; functional purging removes only eligible data</w:t>
            </w:r>
          </w:p>
        </w:tc>
        <w:tc>
          <w:tcPr>
            <w:tcW w:type="dxa" w:w="2338"/>
          </w:tcPr>
          <w:p>
            <w:r/>
            <w:r>
              <w:rPr>
                <w:b/>
                <w:sz w:val="17"/>
              </w:rPr>
              <w:t>Partially covered</w:t>
            </w:r>
          </w:p>
        </w:tc>
        <w:tc>
          <w:tcPr>
            <w:tcW w:type="dxa" w:w="2338"/>
          </w:tcPr>
          <w:p>
            <w:r/>
            <w:r>
              <w:rPr>
                <w:sz w:val="17"/>
              </w:rPr>
              <w:t xml:space="preserve">22 features exist, but the default filter excludes </w:t>
            </w:r>
            <w:r>
              <w:rPr>
                <w:rFonts w:ascii="Consolas" w:hAnsi="Consolas"/>
                <w:sz w:val="17"/>
              </w:rPr>
              <w:t>@hubdam-data-archive</w:t>
            </w:r>
            <w:r>
              <w:rPr>
                <w:sz w:val="17"/>
              </w:rPr>
              <w:t>, so they don't run in CI</w:t>
            </w:r>
          </w:p>
        </w:tc>
      </w:tr>
    </w:tbl>
    <w:p/>
    <w:p>
      <w:pPr>
        <w:pStyle w:val="Heading2"/>
      </w:pPr>
      <w:r>
        <w:t>7.5 Coverage totals</w:t>
      </w:r>
    </w:p>
    <w:tbl>
      <w:tblPr>
        <w:tblStyle w:val="TableGrid"/>
        <w:tblW w:type="auto" w:w="0"/>
        <w:tblLook w:firstColumn="1" w:firstRow="1" w:lastColumn="0" w:lastRow="0" w:noHBand="0" w:noVBand="1" w:val="04A0"/>
      </w:tblPr>
      <w:tblGrid>
        <w:gridCol w:w="2805"/>
        <w:gridCol w:w="2805"/>
        <w:gridCol w:w="2805"/>
        <w:gridCol w:w="2805"/>
        <w:gridCol w:w="2805"/>
      </w:tblGrid>
      <w:tr>
        <w:tc>
          <w:tcPr>
            <w:tcW w:type="dxa" w:w="2805"/>
            <w:shd w:val="clear" w:color="auto" w:fill="F4F5F7"/>
          </w:tcPr>
          <w:p>
            <w:r/>
            <w:r>
              <w:rPr>
                <w:b/>
                <w:sz w:val="17"/>
              </w:rPr>
              <w:t>Level</w:t>
            </w:r>
          </w:p>
        </w:tc>
        <w:tc>
          <w:tcPr>
            <w:tcW w:type="dxa" w:w="2805"/>
            <w:shd w:val="clear" w:color="auto" w:fill="F4F5F7"/>
          </w:tcPr>
          <w:p>
            <w:r/>
            <w:r>
              <w:rPr>
                <w:b/>
                <w:sz w:val="17"/>
              </w:rPr>
              <w:t>Covered</w:t>
            </w:r>
          </w:p>
        </w:tc>
        <w:tc>
          <w:tcPr>
            <w:tcW w:type="dxa" w:w="2805"/>
            <w:shd w:val="clear" w:color="auto" w:fill="F4F5F7"/>
          </w:tcPr>
          <w:p>
            <w:r/>
            <w:r>
              <w:rPr>
                <w:b/>
                <w:sz w:val="17"/>
              </w:rPr>
              <w:t>Partially covered</w:t>
            </w:r>
          </w:p>
        </w:tc>
        <w:tc>
          <w:tcPr>
            <w:tcW w:type="dxa" w:w="2805"/>
            <w:shd w:val="clear" w:color="auto" w:fill="F4F5F7"/>
          </w:tcPr>
          <w:p>
            <w:r/>
            <w:r>
              <w:rPr>
                <w:b/>
                <w:sz w:val="17"/>
              </w:rPr>
              <w:t>Not covered</w:t>
            </w:r>
          </w:p>
        </w:tc>
        <w:tc>
          <w:tcPr>
            <w:tcW w:type="dxa" w:w="2805"/>
            <w:shd w:val="clear" w:color="auto" w:fill="F4F5F7"/>
          </w:tcPr>
          <w:p>
            <w:r/>
            <w:r>
              <w:rPr>
                <w:b/>
                <w:sz w:val="17"/>
              </w:rPr>
              <w:t>Total</w:t>
            </w:r>
          </w:p>
        </w:tc>
      </w:tr>
      <w:tr>
        <w:tc>
          <w:tcPr>
            <w:tcW w:type="dxa" w:w="2805"/>
          </w:tcPr>
          <w:p>
            <w:r/>
            <w:r>
              <w:rPr>
                <w:sz w:val="17"/>
              </w:rPr>
              <w:t>L1 Interface</w:t>
            </w:r>
          </w:p>
        </w:tc>
        <w:tc>
          <w:tcPr>
            <w:tcW w:type="dxa" w:w="2805"/>
          </w:tcPr>
          <w:p>
            <w:r/>
            <w:r>
              <w:rPr>
                <w:sz w:val="17"/>
              </w:rPr>
              <w:t>0</w:t>
            </w:r>
          </w:p>
        </w:tc>
        <w:tc>
          <w:tcPr>
            <w:tcW w:type="dxa" w:w="2805"/>
          </w:tcPr>
          <w:p>
            <w:r/>
            <w:r>
              <w:rPr>
                <w:sz w:val="17"/>
              </w:rPr>
              <w:t>3</w:t>
            </w:r>
          </w:p>
        </w:tc>
        <w:tc>
          <w:tcPr>
            <w:tcW w:type="dxa" w:w="2805"/>
          </w:tcPr>
          <w:p>
            <w:r/>
            <w:r>
              <w:rPr>
                <w:sz w:val="17"/>
              </w:rPr>
              <w:t>9</w:t>
            </w:r>
          </w:p>
        </w:tc>
        <w:tc>
          <w:tcPr>
            <w:tcW w:type="dxa" w:w="2805"/>
          </w:tcPr>
          <w:p>
            <w:r/>
            <w:r>
              <w:rPr>
                <w:sz w:val="17"/>
              </w:rPr>
              <w:t>12</w:t>
            </w:r>
          </w:p>
        </w:tc>
      </w:tr>
      <w:tr>
        <w:tc>
          <w:tcPr>
            <w:tcW w:type="dxa" w:w="2805"/>
          </w:tcPr>
          <w:p>
            <w:r/>
            <w:r>
              <w:rPr>
                <w:sz w:val="17"/>
              </w:rPr>
              <w:t>L2 Flow integration</w:t>
            </w:r>
          </w:p>
        </w:tc>
        <w:tc>
          <w:tcPr>
            <w:tcW w:type="dxa" w:w="2805"/>
          </w:tcPr>
          <w:p>
            <w:r/>
            <w:r>
              <w:rPr>
                <w:sz w:val="17"/>
              </w:rPr>
              <w:t>0</w:t>
            </w:r>
          </w:p>
        </w:tc>
        <w:tc>
          <w:tcPr>
            <w:tcW w:type="dxa" w:w="2805"/>
          </w:tcPr>
          <w:p>
            <w:r/>
            <w:r>
              <w:rPr>
                <w:sz w:val="17"/>
              </w:rPr>
              <w:t>12</w:t>
            </w:r>
          </w:p>
        </w:tc>
        <w:tc>
          <w:tcPr>
            <w:tcW w:type="dxa" w:w="2805"/>
          </w:tcPr>
          <w:p>
            <w:r/>
            <w:r>
              <w:rPr>
                <w:sz w:val="17"/>
              </w:rPr>
              <w:t>19</w:t>
            </w:r>
          </w:p>
        </w:tc>
        <w:tc>
          <w:tcPr>
            <w:tcW w:type="dxa" w:w="2805"/>
          </w:tcPr>
          <w:p>
            <w:r/>
            <w:r>
              <w:rPr>
                <w:sz w:val="17"/>
              </w:rPr>
              <w:t>31</w:t>
            </w:r>
          </w:p>
        </w:tc>
      </w:tr>
      <w:tr>
        <w:tc>
          <w:tcPr>
            <w:tcW w:type="dxa" w:w="2805"/>
          </w:tcPr>
          <w:p>
            <w:r/>
            <w:r>
              <w:rPr>
                <w:sz w:val="17"/>
              </w:rPr>
              <w:t>L3 End-to-end</w:t>
            </w:r>
          </w:p>
        </w:tc>
        <w:tc>
          <w:tcPr>
            <w:tcW w:type="dxa" w:w="2805"/>
          </w:tcPr>
          <w:p>
            <w:r/>
            <w:r>
              <w:rPr>
                <w:sz w:val="17"/>
              </w:rPr>
              <w:t>8</w:t>
            </w:r>
          </w:p>
        </w:tc>
        <w:tc>
          <w:tcPr>
            <w:tcW w:type="dxa" w:w="2805"/>
          </w:tcPr>
          <w:p>
            <w:r/>
            <w:r>
              <w:rPr>
                <w:sz w:val="17"/>
              </w:rPr>
              <w:t>9</w:t>
            </w:r>
          </w:p>
        </w:tc>
        <w:tc>
          <w:tcPr>
            <w:tcW w:type="dxa" w:w="2805"/>
          </w:tcPr>
          <w:p>
            <w:r/>
            <w:r>
              <w:rPr>
                <w:sz w:val="17"/>
              </w:rPr>
              <w:t>12</w:t>
            </w:r>
          </w:p>
        </w:tc>
        <w:tc>
          <w:tcPr>
            <w:tcW w:type="dxa" w:w="2805"/>
          </w:tcPr>
          <w:p>
            <w:r/>
            <w:r>
              <w:rPr>
                <w:sz w:val="17"/>
              </w:rPr>
              <w:t>29</w:t>
            </w:r>
          </w:p>
        </w:tc>
      </w:tr>
      <w:tr>
        <w:tc>
          <w:tcPr>
            <w:tcW w:type="dxa" w:w="2805"/>
          </w:tcPr>
          <w:p>
            <w:r/>
            <w:r>
              <w:rPr>
                <w:b/>
                <w:sz w:val="17"/>
              </w:rPr>
              <w:t>Total</w:t>
            </w:r>
          </w:p>
        </w:tc>
        <w:tc>
          <w:tcPr>
            <w:tcW w:type="dxa" w:w="2805"/>
          </w:tcPr>
          <w:p>
            <w:r/>
            <w:r>
              <w:rPr>
                <w:b/>
                <w:sz w:val="17"/>
              </w:rPr>
              <w:t>8 (11%)</w:t>
            </w:r>
          </w:p>
        </w:tc>
        <w:tc>
          <w:tcPr>
            <w:tcW w:type="dxa" w:w="2805"/>
          </w:tcPr>
          <w:p>
            <w:r/>
            <w:r>
              <w:rPr>
                <w:b/>
                <w:sz w:val="17"/>
              </w:rPr>
              <w:t>24 (33%)</w:t>
            </w:r>
          </w:p>
        </w:tc>
        <w:tc>
          <w:tcPr>
            <w:tcW w:type="dxa" w:w="2805"/>
          </w:tcPr>
          <w:p>
            <w:r/>
            <w:r>
              <w:rPr>
                <w:b/>
                <w:sz w:val="17"/>
              </w:rPr>
              <w:t>40 (56%)</w:t>
            </w:r>
          </w:p>
        </w:tc>
        <w:tc>
          <w:tcPr>
            <w:tcW w:type="dxa" w:w="2805"/>
          </w:tcPr>
          <w:p>
            <w:r/>
            <w:r>
              <w:rPr>
                <w:b/>
                <w:sz w:val="17"/>
              </w:rPr>
              <w:t>72</w:t>
            </w:r>
          </w:p>
        </w:tc>
      </w:tr>
    </w:tbl>
    <w:p/>
    <w:p>
      <w:r>
        <w:t>The existing suite is strong at L3 for Hubble reports and for Signal B's FIX behaviour. There is no coverage yet of the AWS platform, Aurora persistence, recovery (Hubble or Signal B), blue/green, migration parity, or the real Hubble → Signal B hand-off in CI.</w:t>
      </w:r>
    </w:p>
    <w:p>
      <w:pPr>
        <w:pStyle w:val="Heading1"/>
      </w:pPr>
      <w:r>
        <w:t>8. EKS platform validation (feature #5, #6, #37)</w:t>
      </w:r>
    </w:p>
    <w:p>
      <w:pPr>
        <w:pStyle w:val="Heading2"/>
      </w:pPr>
      <w:r>
        <w:t>8.1 Reusing proven automation: summary for management</w:t>
      </w:r>
    </w:p>
    <w:p>
      <w:pPr>
        <w:ind w:left="340"/>
      </w:pPr>
      <w:r>
        <w:rPr>
          <w:b/>
          <w:color w:val="0052CC"/>
        </w:rPr>
        <w:t>We are not building EKS validation from scratch.</w:t>
      </w:r>
      <w:r>
        <w:rPr>
          <w:color w:val="0052CC"/>
        </w:rPr>
        <w:t xml:space="preserve"> The Enterprise Kafka AWS project already runs an automated EKS cluster validation, and it is in use today. Its latest run against </w:t>
      </w:r>
      <w:r>
        <w:rPr>
          <w:b/>
          <w:color w:val="0052CC"/>
        </w:rPr>
        <w:t>ent-kafka-nft-green</w:t>
      </w:r>
      <w:r>
        <w:rPr>
          <w:color w:val="0052CC"/>
        </w:rPr>
        <w:t xml:space="preserve"> (7 Aug 2026) passed </w:t>
      </w:r>
      <w:r>
        <w:rPr>
          <w:b/>
          <w:color w:val="0052CC"/>
        </w:rPr>
        <w:t>73 of 73 checks</w:t>
      </w:r>
      <w:r>
        <w:rPr>
          <w:color w:val="0052CC"/>
        </w:rPr>
        <w:t xml:space="preserve">. Hubble runs on the same ASX EKS platform standards, so about </w:t>
      </w:r>
      <w:r>
        <w:rPr>
          <w:b/>
          <w:color w:val="0052CC"/>
        </w:rPr>
        <w:t>70% of the check types carry over as-is or through configuration alone</w:t>
      </w:r>
      <w:r>
        <w:rPr>
          <w:color w:val="0052CC"/>
        </w:rPr>
        <w:t>. The remaining ~30% are Hubble-specific additions.</w:t>
      </w:r>
    </w:p>
    <w:p>
      <w:r>
        <w:rPr>
          <w:b/>
        </w:rPr>
        <w:t>Why this lowers risk</w:t>
      </w:r>
    </w:p>
    <w:tbl>
      <w:tblPr>
        <w:tblStyle w:val="TableGrid"/>
        <w:tblW w:type="auto" w:w="0"/>
        <w:tblLook w:firstColumn="1" w:firstRow="1" w:lastColumn="0" w:lastRow="0" w:noHBand="0" w:noVBand="1" w:val="04A0"/>
      </w:tblPr>
      <w:tblGrid>
        <w:gridCol w:w="7013"/>
        <w:gridCol w:w="7013"/>
      </w:tblGrid>
      <w:tr>
        <w:tc>
          <w:tcPr>
            <w:tcW w:type="dxa" w:w="7013"/>
            <w:shd w:val="clear" w:color="auto" w:fill="F4F5F7"/>
          </w:tcPr>
          <w:p>
            <w:r/>
            <w:r>
              <w:rPr>
                <w:b/>
                <w:sz w:val="17"/>
              </w:rPr>
              <w:t>Confidence factor</w:t>
            </w:r>
          </w:p>
        </w:tc>
        <w:tc>
          <w:tcPr>
            <w:tcW w:type="dxa" w:w="7013"/>
            <w:shd w:val="clear" w:color="auto" w:fill="F4F5F7"/>
          </w:tcPr>
          <w:p>
            <w:r/>
            <w:r>
              <w:rPr>
                <w:b/>
                <w:sz w:val="17"/>
              </w:rPr>
              <w:t>Evidence</w:t>
            </w:r>
          </w:p>
        </w:tc>
      </w:tr>
      <w:tr>
        <w:tc>
          <w:tcPr>
            <w:tcW w:type="dxa" w:w="7013"/>
          </w:tcPr>
          <w:p>
            <w:r/>
            <w:r>
              <w:rPr>
                <w:sz w:val="17"/>
              </w:rPr>
              <w:t>Already in use</w:t>
            </w:r>
          </w:p>
        </w:tc>
        <w:tc>
          <w:tcPr>
            <w:tcW w:type="dxa" w:w="7013"/>
          </w:tcPr>
          <w:p>
            <w:r/>
            <w:r>
              <w:rPr>
                <w:sz w:val="17"/>
              </w:rPr>
              <w:t>Runs today for the Enterprise Kafka AWS project; latest report 73/73 passed</w:t>
            </w:r>
          </w:p>
        </w:tc>
      </w:tr>
      <w:tr>
        <w:tc>
          <w:tcPr>
            <w:tcW w:type="dxa" w:w="7013"/>
          </w:tcPr>
          <w:p>
            <w:r/>
            <w:r>
              <w:rPr>
                <w:sz w:val="17"/>
              </w:rPr>
              <w:t>Same platform</w:t>
            </w:r>
          </w:p>
        </w:tc>
        <w:tc>
          <w:tcPr>
            <w:tcW w:type="dxa" w:w="7013"/>
          </w:tcPr>
          <w:p>
            <w:r/>
            <w:r>
              <w:rPr>
                <w:sz w:val="17"/>
              </w:rPr>
              <w:t xml:space="preserve">Same ASX EKS conventions as Hubble: EKS 1.35, Bottlerocket nodes, per-AZ node groups, </w:t>
            </w:r>
            <w:r>
              <w:rPr>
                <w:rFonts w:ascii="Consolas" w:hAnsi="Consolas"/>
                <w:sz w:val="17"/>
              </w:rPr>
              <w:t>node-group</w:t>
            </w:r>
            <w:r>
              <w:rPr>
                <w:sz w:val="17"/>
              </w:rPr>
              <w:t xml:space="preserve"> NoSchedule taints, </w:t>
            </w:r>
            <w:r>
              <w:rPr>
                <w:rFonts w:ascii="Consolas" w:hAnsi="Consolas"/>
                <w:sz w:val="17"/>
              </w:rPr>
              <w:t>nodegroup_name</w:t>
            </w:r>
            <w:r>
              <w:rPr>
                <w:sz w:val="17"/>
              </w:rPr>
              <w:t xml:space="preserve"> / </w:t>
            </w:r>
            <w:r>
              <w:rPr>
                <w:rFonts w:ascii="Consolas" w:hAnsi="Consolas"/>
                <w:sz w:val="17"/>
              </w:rPr>
              <w:t>node-az</w:t>
            </w:r>
            <w:r>
              <w:rPr>
                <w:sz w:val="17"/>
              </w:rPr>
              <w:t xml:space="preserve"> labels, system node group per zone, ap-southeast-2a/b/c</w:t>
            </w:r>
          </w:p>
        </w:tc>
      </w:tr>
      <w:tr>
        <w:tc>
          <w:tcPr>
            <w:tcW w:type="dxa" w:w="7013"/>
          </w:tcPr>
          <w:p>
            <w:r/>
            <w:r>
              <w:rPr>
                <w:sz w:val="17"/>
              </w:rPr>
              <w:t>No new tooling</w:t>
            </w:r>
          </w:p>
        </w:tc>
        <w:tc>
          <w:tcPr>
            <w:tcW w:type="dxa" w:w="7013"/>
          </w:tcPr>
          <w:p>
            <w:r/>
            <w:r>
              <w:rPr>
                <w:sz w:val="17"/>
              </w:rPr>
              <w:t>Plain kubectl and shell; no licences or new infrastructure; needs only read-only kubectl access to the SIT cluster</w:t>
            </w:r>
          </w:p>
        </w:tc>
      </w:tr>
      <w:tr>
        <w:tc>
          <w:tcPr>
            <w:tcW w:type="dxa" w:w="7013"/>
          </w:tcPr>
          <w:p>
            <w:r/>
            <w:r>
              <w:rPr>
                <w:sz w:val="17"/>
              </w:rPr>
              <w:t>Auditable evidence</w:t>
            </w:r>
          </w:p>
        </w:tc>
        <w:tc>
          <w:tcPr>
            <w:tcW w:type="dxa" w:w="7013"/>
          </w:tcPr>
          <w:p>
            <w:r/>
            <w:r>
              <w:rPr>
                <w:sz w:val="17"/>
              </w:rPr>
              <w:t>Produces a timestamped pass/fail report with the exact command and output for every check, which we attach to each SIT run</w:t>
            </w:r>
          </w:p>
        </w:tc>
      </w:tr>
      <w:tr>
        <w:tc>
          <w:tcPr>
            <w:tcW w:type="dxa" w:w="7013"/>
          </w:tcPr>
          <w:p>
            <w:r/>
            <w:r>
              <w:rPr>
                <w:sz w:val="17"/>
              </w:rPr>
              <w:t>Covers a direct dependency</w:t>
            </w:r>
          </w:p>
        </w:tc>
        <w:tc>
          <w:tcPr>
            <w:tcW w:type="dxa" w:w="7013"/>
          </w:tcPr>
          <w:p>
            <w:r/>
            <w:r>
              <w:rPr>
                <w:sz w:val="17"/>
              </w:rPr>
              <w:t>Hubble and Signal B consume Enterprise Kafka AWS. Running the same script against the Kafka cluster gives a ready-made dependency health check at G1</w:t>
            </w:r>
          </w:p>
        </w:tc>
      </w:tr>
    </w:tbl>
    <w:p/>
    <w:p>
      <w:r>
        <w:rPr>
          <w:b/>
        </w:rPr>
        <w:t>What we reuse, and to what extent</w:t>
      </w:r>
    </w:p>
    <w:tbl>
      <w:tblPr>
        <w:tblStyle w:val="TableGrid"/>
        <w:tblW w:type="auto" w:w="0"/>
        <w:tblLook w:firstColumn="1" w:firstRow="1" w:lastColumn="0" w:lastRow="0" w:noHBand="0" w:noVBand="1" w:val="04A0"/>
      </w:tblPr>
      <w:tblGrid>
        <w:gridCol w:w="4675"/>
        <w:gridCol w:w="4675"/>
        <w:gridCol w:w="4675"/>
      </w:tblGrid>
      <w:tr>
        <w:tc>
          <w:tcPr>
            <w:tcW w:type="dxa" w:w="4675"/>
            <w:shd w:val="clear" w:color="auto" w:fill="F4F5F7"/>
          </w:tcPr>
          <w:p>
            <w:r/>
            <w:r>
              <w:rPr>
                <w:b/>
                <w:sz w:val="17"/>
              </w:rPr>
              <w:t>Extent</w:t>
            </w:r>
          </w:p>
        </w:tc>
        <w:tc>
          <w:tcPr>
            <w:tcW w:type="dxa" w:w="4675"/>
            <w:shd w:val="clear" w:color="auto" w:fill="F4F5F7"/>
          </w:tcPr>
          <w:p>
            <w:r/>
            <w:r>
              <w:rPr>
                <w:b/>
                <w:sz w:val="17"/>
              </w:rPr>
              <w:t>Check types</w:t>
            </w:r>
          </w:p>
        </w:tc>
        <w:tc>
          <w:tcPr>
            <w:tcW w:type="dxa" w:w="4675"/>
            <w:shd w:val="clear" w:color="auto" w:fill="F4F5F7"/>
          </w:tcPr>
          <w:p>
            <w:r/>
            <w:r>
              <w:rPr>
                <w:b/>
                <w:sz w:val="17"/>
              </w:rPr>
              <w:t>Count</w:t>
            </w:r>
          </w:p>
        </w:tc>
      </w:tr>
      <w:tr>
        <w:tc>
          <w:tcPr>
            <w:tcW w:type="dxa" w:w="4675"/>
          </w:tcPr>
          <w:p>
            <w:r/>
            <w:r>
              <w:rPr>
                <w:b/>
                <w:sz w:val="17"/>
              </w:rPr>
              <w:t>Reuse as-is</w:t>
            </w:r>
            <w:r>
              <w:rPr>
                <w:sz w:val="17"/>
              </w:rPr>
              <w:t xml:space="preserve"> (no change)</w:t>
            </w:r>
          </w:p>
        </w:tc>
        <w:tc>
          <w:tcPr>
            <w:tcW w:type="dxa" w:w="4675"/>
          </w:tcPr>
          <w:p>
            <w:r/>
            <w:r>
              <w:rPr>
                <w:sz w:val="17"/>
              </w:rPr>
              <w:t>Nodes Ready; node status; system node group in every zone; storage classes available; diagnostics (pod, service and node details, labels, taints, describe pods/nodes, events listing, top nodes/pods); pass/fail report format</w:t>
            </w:r>
          </w:p>
        </w:tc>
        <w:tc>
          <w:tcPr>
            <w:tcW w:type="dxa" w:w="4675"/>
          </w:tcPr>
          <w:p>
            <w:r/>
            <w:r>
              <w:rPr>
                <w:sz w:val="17"/>
              </w:rPr>
              <w:t>11</w:t>
            </w:r>
          </w:p>
        </w:tc>
      </w:tr>
      <w:tr>
        <w:tc>
          <w:tcPr>
            <w:tcW w:type="dxa" w:w="4675"/>
          </w:tcPr>
          <w:p>
            <w:r/>
            <w:r>
              <w:rPr>
                <w:b/>
                <w:sz w:val="17"/>
              </w:rPr>
              <w:t>Reuse with configuration</w:t>
            </w:r>
            <w:r>
              <w:rPr>
                <w:sz w:val="17"/>
              </w:rPr>
              <w:t xml:space="preserve"> (expected-values file only)</w:t>
            </w:r>
          </w:p>
        </w:tc>
        <w:tc>
          <w:tcPr>
            <w:tcW w:type="dxa" w:w="4675"/>
          </w:tcPr>
          <w:p>
            <w:r/>
            <w:r>
              <w:rPr>
                <w:sz w:val="17"/>
              </w:rPr>
              <w:t>Cluster and namespace; node count; app + node-group labels; instance type (m7g.2xlarge); topology zone spread; node taints (hub-apps); node group / zone uniqueness; pod Running and Ready (Hubble pod list); service checks (Hubble service list); PVC bound (if Hubble uses PVCs); storage class exists and spec</w:t>
            </w:r>
          </w:p>
        </w:tc>
        <w:tc>
          <w:tcPr>
            <w:tcW w:type="dxa" w:w="4675"/>
          </w:tcPr>
          <w:p>
            <w:r/>
            <w:r>
              <w:rPr>
                <w:sz w:val="17"/>
              </w:rPr>
              <w:t>12</w:t>
            </w:r>
          </w:p>
        </w:tc>
      </w:tr>
      <w:tr>
        <w:tc>
          <w:tcPr>
            <w:tcW w:type="dxa" w:w="4675"/>
          </w:tcPr>
          <w:p>
            <w:r/>
            <w:r>
              <w:rPr>
                <w:b/>
                <w:sz w:val="17"/>
              </w:rPr>
              <w:t>Extend</w:t>
            </w:r>
            <w:r>
              <w:rPr>
                <w:sz w:val="17"/>
              </w:rPr>
              <w:t xml:space="preserve"> (small logic change)</w:t>
            </w:r>
          </w:p>
        </w:tc>
        <w:tc>
          <w:tcPr>
            <w:tcW w:type="dxa" w:w="4675"/>
          </w:tcPr>
          <w:p>
            <w:r/>
            <w:r>
              <w:rPr>
                <w:sz w:val="17"/>
              </w:rPr>
              <w:t>Fail on Warning events, which the Kafka version passes; check that every service has endpoints</w:t>
            </w:r>
          </w:p>
        </w:tc>
        <w:tc>
          <w:tcPr>
            <w:tcW w:type="dxa" w:w="4675"/>
          </w:tcPr>
          <w:p>
            <w:r/>
            <w:r>
              <w:rPr>
                <w:sz w:val="17"/>
              </w:rPr>
              <w:t>2</w:t>
            </w:r>
          </w:p>
        </w:tc>
      </w:tr>
      <w:tr>
        <w:tc>
          <w:tcPr>
            <w:tcW w:type="dxa" w:w="4675"/>
          </w:tcPr>
          <w:p>
            <w:r/>
            <w:r>
              <w:rPr>
                <w:b/>
                <w:sz w:val="17"/>
              </w:rPr>
              <w:t>New for Hubble</w:t>
            </w:r>
          </w:p>
        </w:tc>
        <w:tc>
          <w:tcPr>
            <w:tcW w:type="dxa" w:w="4675"/>
          </w:tcPr>
          <w:p>
            <w:r/>
            <w:r>
              <w:rPr>
                <w:sz w:val="17"/>
              </w:rPr>
              <w:t>Image tag and registry vs release manifest; arm64 architecture; pod placement, tolerations and AZ spread; restarts / OOMKilled / CrashLoopBackOff; requests and limits vs the Service Resource Limits page; config map and secret references; Pod Identity with no static AWS keys; only one blue/green cluster active</w:t>
            </w:r>
          </w:p>
        </w:tc>
        <w:tc>
          <w:tcPr>
            <w:tcW w:type="dxa" w:w="4675"/>
          </w:tcPr>
          <w:p>
            <w:r/>
            <w:r>
              <w:rPr>
                <w:sz w:val="17"/>
              </w:rPr>
              <w:t>8</w:t>
            </w:r>
          </w:p>
        </w:tc>
      </w:tr>
      <w:tr>
        <w:tc>
          <w:tcPr>
            <w:tcW w:type="dxa" w:w="4675"/>
          </w:tcPr>
          <w:p>
            <w:r/>
            <w:r>
              <w:rPr>
                <w:b/>
                <w:sz w:val="17"/>
              </w:rPr>
              <w:t>Total</w:t>
            </w:r>
          </w:p>
        </w:tc>
        <w:tc>
          <w:tcPr>
            <w:tcW w:type="dxa" w:w="4675"/>
          </w:tcPr>
          <w:p>
            <w:r/>
            <w:r>
              <w:rPr>
                <w:sz w:val="17"/>
              </w:rPr>
              <w:t>23 of 33 check types reused (as-is or configured), 2 extended, 8 new</w:t>
            </w:r>
          </w:p>
        </w:tc>
        <w:tc>
          <w:tcPr>
            <w:tcW w:type="dxa" w:w="4675"/>
          </w:tcPr>
          <w:p>
            <w:r/>
            <w:r>
              <w:rPr>
                <w:b/>
                <w:sz w:val="17"/>
              </w:rPr>
              <w:t>33</w:t>
            </w:r>
          </w:p>
        </w:tc>
      </w:tr>
    </w:tbl>
    <w:p/>
    <w:p>
      <w:r>
        <w:rPr>
          <w:b/>
        </w:rPr>
        <w:t>Where it is used in SIT</w:t>
      </w:r>
    </w:p>
    <w:tbl>
      <w:tblPr>
        <w:tblStyle w:val="TableGrid"/>
        <w:tblW w:type="auto" w:w="0"/>
        <w:tblLook w:firstColumn="1" w:firstRow="1" w:lastColumn="0" w:lastRow="0" w:noHBand="0" w:noVBand="1" w:val="04A0"/>
      </w:tblPr>
      <w:tblGrid>
        <w:gridCol w:w="7013"/>
        <w:gridCol w:w="7013"/>
      </w:tblGrid>
      <w:tr>
        <w:tc>
          <w:tcPr>
            <w:tcW w:type="dxa" w:w="7013"/>
            <w:shd w:val="clear" w:color="auto" w:fill="F4F5F7"/>
          </w:tcPr>
          <w:p>
            <w:r/>
            <w:r>
              <w:rPr>
                <w:b/>
                <w:sz w:val="17"/>
              </w:rPr>
              <w:t>Use</w:t>
            </w:r>
          </w:p>
        </w:tc>
        <w:tc>
          <w:tcPr>
            <w:tcW w:type="dxa" w:w="7013"/>
            <w:shd w:val="clear" w:color="auto" w:fill="F4F5F7"/>
          </w:tcPr>
          <w:p>
            <w:r/>
            <w:r>
              <w:rPr>
                <w:b/>
                <w:sz w:val="17"/>
              </w:rPr>
              <w:t>Gate / feature</w:t>
            </w:r>
          </w:p>
        </w:tc>
      </w:tr>
      <w:tr>
        <w:tc>
          <w:tcPr>
            <w:tcW w:type="dxa" w:w="7013"/>
          </w:tcPr>
          <w:p>
            <w:r/>
            <w:r>
              <w:rPr>
                <w:sz w:val="17"/>
              </w:rPr>
              <w:t>Platform gate before any functional test; build rejected on failure</w:t>
            </w:r>
          </w:p>
        </w:tc>
        <w:tc>
          <w:tcPr>
            <w:tcW w:type="dxa" w:w="7013"/>
          </w:tcPr>
          <w:p>
            <w:r/>
            <w:r>
              <w:rPr>
                <w:sz w:val="17"/>
              </w:rPr>
              <w:t>G1, feature #5</w:t>
            </w:r>
          </w:p>
        </w:tc>
      </w:tr>
      <w:tr>
        <w:tc>
          <w:tcPr>
            <w:tcW w:type="dxa" w:w="7013"/>
          </w:tcPr>
          <w:p>
            <w:r/>
            <w:r>
              <w:rPr>
                <w:sz w:val="17"/>
              </w:rPr>
              <w:t>Hubble workload baseline (with the new checks)</w:t>
            </w:r>
          </w:p>
        </w:tc>
        <w:tc>
          <w:tcPr>
            <w:tcW w:type="dxa" w:w="7013"/>
          </w:tcPr>
          <w:p>
            <w:r/>
            <w:r>
              <w:rPr>
                <w:sz w:val="17"/>
              </w:rPr>
              <w:t>G1, feature #6</w:t>
            </w:r>
          </w:p>
        </w:tc>
      </w:tr>
      <w:tr>
        <w:tc>
          <w:tcPr>
            <w:tcW w:type="dxa" w:w="7013"/>
          </w:tcPr>
          <w:p>
            <w:r/>
            <w:r>
              <w:rPr>
                <w:sz w:val="17"/>
              </w:rPr>
              <w:t>Before and after each @resilience test, to prove the cluster returned to baseline</w:t>
            </w:r>
          </w:p>
        </w:tc>
        <w:tc>
          <w:tcPr>
            <w:tcW w:type="dxa" w:w="7013"/>
          </w:tcPr>
          <w:p>
            <w:r/>
            <w:r>
              <w:rPr>
                <w:sz w:val="17"/>
              </w:rPr>
              <w:t>Features #32–#34, #57, #64</w:t>
            </w:r>
          </w:p>
        </w:tc>
      </w:tr>
      <w:tr>
        <w:tc>
          <w:tcPr>
            <w:tcW w:type="dxa" w:w="7013"/>
          </w:tcPr>
          <w:p>
            <w:r/>
            <w:r>
              <w:rPr>
                <w:sz w:val="17"/>
              </w:rPr>
              <w:t>Before and after the nightly run, to catch restarts, OOMs and warnings during a full SIT day</w:t>
            </w:r>
          </w:p>
        </w:tc>
        <w:tc>
          <w:tcPr>
            <w:tcW w:type="dxa" w:w="7013"/>
          </w:tcPr>
          <w:p>
            <w:r/>
            <w:r>
              <w:rPr>
                <w:sz w:val="17"/>
              </w:rPr>
              <w:t>G3, feature #37</w:t>
            </w:r>
          </w:p>
        </w:tc>
      </w:tr>
      <w:tr>
        <w:tc>
          <w:tcPr>
            <w:tcW w:type="dxa" w:w="7013"/>
          </w:tcPr>
          <w:p>
            <w:r/>
            <w:r>
              <w:rPr>
                <w:sz w:val="17"/>
              </w:rPr>
              <w:t>Against the Enterprise Kafka cluster, as a dependency check</w:t>
            </w:r>
          </w:p>
        </w:tc>
        <w:tc>
          <w:tcPr>
            <w:tcW w:type="dxa" w:w="7013"/>
          </w:tcPr>
          <w:p>
            <w:r/>
            <w:r>
              <w:rPr>
                <w:sz w:val="17"/>
              </w:rPr>
              <w:t>G1</w:t>
            </w:r>
          </w:p>
        </w:tc>
      </w:tr>
      <w:tr>
        <w:tc>
          <w:tcPr>
            <w:tcW w:type="dxa" w:w="7013"/>
          </w:tcPr>
          <w:p>
            <w:r/>
            <w:r>
              <w:rPr>
                <w:sz w:val="17"/>
              </w:rPr>
              <w:t>Against the devdmz cluster, for Signal B</w:t>
            </w:r>
          </w:p>
        </w:tc>
        <w:tc>
          <w:tcPr>
            <w:tcW w:type="dxa" w:w="7013"/>
          </w:tcPr>
          <w:p>
            <w:r/>
            <w:r>
              <w:rPr>
                <w:sz w:val="17"/>
              </w:rPr>
              <w:t>G1, features #61, #64</w:t>
            </w:r>
          </w:p>
        </w:tc>
      </w:tr>
    </w:tbl>
    <w:p/>
    <w:p>
      <w:r>
        <w:rPr>
          <w:b/>
        </w:rPr>
        <w:t>What it does not do</w:t>
      </w:r>
      <w:r>
        <w:t xml:space="preserve"> (covered elsewhere in this strategy)</w:t>
      </w:r>
    </w:p>
    <w:p>
      <w:pPr>
        <w:pStyle w:val="ListBullet"/>
      </w:pPr>
      <w:r>
        <w:t xml:space="preserve">It validates platform and deployment </w:t>
      </w:r>
      <w:r>
        <w:rPr>
          <w:b/>
        </w:rPr>
        <w:t>state</w:t>
      </w:r>
      <w:r>
        <w:t xml:space="preserve">. It doesn't test Hubble or Signal B </w:t>
      </w:r>
      <w:r>
        <w:rPr>
          <w:b/>
        </w:rPr>
        <w:t>behaviour</w:t>
      </w:r>
      <w:r>
        <w:t>; the L2/L3 features do that.</w:t>
      </w:r>
    </w:p>
    <w:p>
      <w:pPr>
        <w:pStyle w:val="ListBullet"/>
      </w:pPr>
      <w:r>
        <w:t>It doesn't inject faults. Pod delete, node drain, rollout and Aurora failover are done by the new KubeSteps and AWS SDK steps (section 12). The script only confirms the before and after state.</w:t>
      </w:r>
    </w:p>
    <w:p>
      <w:pPr>
        <w:pStyle w:val="ListBullet"/>
      </w:pPr>
      <w:r>
        <w:t>It doesn't replace the platform team's IaC validation or OAT's AZ/DR testing.</w:t>
      </w:r>
    </w:p>
    <w:p>
      <w:r>
        <w:rPr>
          <w:b/>
        </w:rPr>
        <w:t>Effort.</w:t>
      </w:r>
      <w:r>
        <w:t xml:space="preserve"> Phase 0 (sprint 1): create the Hubble expected-values files, add the 2 extensions, build the 8 new checks, and wire it into G1. The Kafka project owner should review the changes so both projects stay on one shared script rather than a fork.</w:t>
      </w:r>
    </w:p>
    <w:p>
      <w:pPr>
        <w:pStyle w:val="Heading2"/>
      </w:pPr>
      <w:r>
        <w:t>8.2 Approach</w:t>
      </w:r>
    </w:p>
    <w:p>
      <w:r>
        <w:t xml:space="preserve">Reuse the </w:t>
      </w:r>
      <w:r>
        <w:rPr>
          <w:b/>
        </w:rPr>
        <w:t>cluster validation script from the Enterprise Kafka AWS project</w:t>
      </w:r>
      <w:r>
        <w:t>, which already produces a pass/fail report of about 73 checks using kubectl. Parameterise it for Hubble: set the cluster, namespace and an expected-values file per environment. Run it:</w:t>
      </w:r>
    </w:p>
    <w:p>
      <w:pPr>
        <w:pStyle w:val="ListBullet"/>
      </w:pPr>
      <w:r>
        <w:t xml:space="preserve">at </w:t>
      </w:r>
      <w:r>
        <w:rPr>
          <w:b/>
        </w:rPr>
        <w:t>G1</w:t>
      </w:r>
      <w:r>
        <w:t>, before any functional test (the build is not accepted if it fails)</w:t>
      </w:r>
    </w:p>
    <w:p>
      <w:pPr>
        <w:pStyle w:val="ListBullet"/>
      </w:pPr>
      <w:r>
        <w:rPr>
          <w:b/>
        </w:rPr>
        <w:t>before and after</w:t>
      </w:r>
      <w:r>
        <w:t xml:space="preserve"> every @resilience scenario and the nightly run (feature #37)</w:t>
      </w:r>
    </w:p>
    <w:p>
      <w:pPr>
        <w:pStyle w:val="ListBullet"/>
      </w:pPr>
      <w:r>
        <w:t>attach the report to the ExtentReports output as SIT evidence</w:t>
      </w:r>
    </w:p>
    <w:p>
      <w:pPr>
        <w:pStyle w:val="Heading2"/>
      </w:pPr>
      <w:r>
        <w:t>8.3 Checks: reused and Hubble expected values</w:t>
      </w:r>
    </w:p>
    <w:tbl>
      <w:tblPr>
        <w:tblStyle w:val="TableGrid"/>
        <w:tblW w:type="auto" w:w="0"/>
        <w:tblLook w:firstColumn="1" w:firstRow="1" w:lastColumn="0" w:lastRow="0" w:noHBand="0" w:noVBand="1" w:val="04A0"/>
      </w:tblPr>
      <w:tblGrid>
        <w:gridCol w:w="4675"/>
        <w:gridCol w:w="4675"/>
        <w:gridCol w:w="4675"/>
      </w:tblGrid>
      <w:tr>
        <w:tc>
          <w:tcPr>
            <w:tcW w:type="dxa" w:w="4675"/>
            <w:shd w:val="clear" w:color="auto" w:fill="F4F5F7"/>
          </w:tcPr>
          <w:p>
            <w:r/>
            <w:r>
              <w:rPr>
                <w:b/>
                <w:sz w:val="17"/>
              </w:rPr>
              <w:t>Check (from existing script)</w:t>
            </w:r>
          </w:p>
        </w:tc>
        <w:tc>
          <w:tcPr>
            <w:tcW w:type="dxa" w:w="4675"/>
            <w:shd w:val="clear" w:color="auto" w:fill="F4F5F7"/>
          </w:tcPr>
          <w:p>
            <w:r/>
            <w:r>
              <w:rPr>
                <w:b/>
                <w:sz w:val="17"/>
              </w:rPr>
              <w:t>Hubble expected value</w:t>
            </w:r>
          </w:p>
        </w:tc>
        <w:tc>
          <w:tcPr>
            <w:tcW w:type="dxa" w:w="4675"/>
            <w:shd w:val="clear" w:color="auto" w:fill="F4F5F7"/>
          </w:tcPr>
          <w:p>
            <w:r/>
            <w:r>
              <w:rPr>
                <w:b/>
                <w:sz w:val="17"/>
              </w:rPr>
              <w:t>Change needed</w:t>
            </w:r>
          </w:p>
        </w:tc>
      </w:tr>
      <w:tr>
        <w:tc>
          <w:tcPr>
            <w:tcW w:type="dxa" w:w="4675"/>
          </w:tcPr>
          <w:p>
            <w:r/>
            <w:r>
              <w:rPr>
                <w:sz w:val="17"/>
              </w:rPr>
              <w:t>Cluster nodes Ready</w:t>
            </w:r>
          </w:p>
        </w:tc>
        <w:tc>
          <w:tcPr>
            <w:tcW w:type="dxa" w:w="4675"/>
          </w:tcPr>
          <w:p>
            <w:r/>
            <w:r>
              <w:rPr>
                <w:sz w:val="17"/>
              </w:rPr>
              <w:t>All hub-apps and system nodes Ready</w:t>
            </w:r>
          </w:p>
        </w:tc>
        <w:tc>
          <w:tcPr>
            <w:tcW w:type="dxa" w:w="4675"/>
          </w:tcPr>
          <w:p>
            <w:r/>
            <w:r>
              <w:rPr>
                <w:sz w:val="17"/>
              </w:rPr>
              <w:t>Parameterise</w:t>
            </w:r>
          </w:p>
        </w:tc>
      </w:tr>
      <w:tr>
        <w:tc>
          <w:tcPr>
            <w:tcW w:type="dxa" w:w="4675"/>
          </w:tcPr>
          <w:p>
            <w:r/>
            <w:r>
              <w:rPr>
                <w:sz w:val="17"/>
              </w:rPr>
              <w:t>Node count</w:t>
            </w:r>
          </w:p>
        </w:tc>
        <w:tc>
          <w:tcPr>
            <w:tcW w:type="dxa" w:w="4675"/>
          </w:tcPr>
          <w:p>
            <w:r/>
            <w:r>
              <w:rPr>
                <w:sz w:val="17"/>
              </w:rPr>
              <w:t>6 hub-apps nodes (2 per AZ) + system nodes</w:t>
            </w:r>
          </w:p>
        </w:tc>
        <w:tc>
          <w:tcPr>
            <w:tcW w:type="dxa" w:w="4675"/>
          </w:tcPr>
          <w:p>
            <w:r/>
            <w:r>
              <w:rPr>
                <w:sz w:val="17"/>
              </w:rPr>
              <w:t>Expected-values file</w:t>
            </w:r>
          </w:p>
        </w:tc>
      </w:tr>
      <w:tr>
        <w:tc>
          <w:tcPr>
            <w:tcW w:type="dxa" w:w="4675"/>
          </w:tcPr>
          <w:p>
            <w:r/>
            <w:r>
              <w:rPr>
                <w:sz w:val="17"/>
              </w:rPr>
              <w:t>App + node-group label</w:t>
            </w:r>
          </w:p>
        </w:tc>
        <w:tc>
          <w:tcPr>
            <w:tcW w:type="dxa" w:w="4675"/>
          </w:tcPr>
          <w:p>
            <w:r/>
            <w:r>
              <w:rPr>
                <w:sz w:val="17"/>
              </w:rPr>
              <w:t>app=hubble-applications, nodegroup / node-az = hub-apps-az1/2/3</w:t>
            </w:r>
          </w:p>
        </w:tc>
        <w:tc>
          <w:tcPr>
            <w:tcW w:type="dxa" w:w="4675"/>
          </w:tcPr>
          <w:p>
            <w:r/>
            <w:r>
              <w:rPr>
                <w:sz w:val="17"/>
              </w:rPr>
              <w:t>Expected-values file</w:t>
            </w:r>
          </w:p>
        </w:tc>
      </w:tr>
      <w:tr>
        <w:tc>
          <w:tcPr>
            <w:tcW w:type="dxa" w:w="4675"/>
          </w:tcPr>
          <w:p>
            <w:r/>
            <w:r>
              <w:rPr>
                <w:sz w:val="17"/>
              </w:rPr>
              <w:t>Instance type per node group</w:t>
            </w:r>
          </w:p>
        </w:tc>
        <w:tc>
          <w:tcPr>
            <w:tcW w:type="dxa" w:w="4675"/>
          </w:tcPr>
          <w:p>
            <w:r/>
            <w:r>
              <w:rPr>
                <w:sz w:val="17"/>
              </w:rPr>
              <w:t>m7g.2xlarge</w:t>
            </w:r>
          </w:p>
        </w:tc>
        <w:tc>
          <w:tcPr>
            <w:tcW w:type="dxa" w:w="4675"/>
          </w:tcPr>
          <w:p>
            <w:r/>
            <w:r>
              <w:rPr>
                <w:sz w:val="17"/>
              </w:rPr>
              <w:t>Expected-values file</w:t>
            </w:r>
          </w:p>
        </w:tc>
      </w:tr>
      <w:tr>
        <w:tc>
          <w:tcPr>
            <w:tcW w:type="dxa" w:w="4675"/>
          </w:tcPr>
          <w:p>
            <w:r/>
            <w:r>
              <w:rPr>
                <w:sz w:val="17"/>
              </w:rPr>
              <w:t>Topology zone</w:t>
            </w:r>
          </w:p>
        </w:tc>
        <w:tc>
          <w:tcPr>
            <w:tcW w:type="dxa" w:w="4675"/>
          </w:tcPr>
          <w:p>
            <w:r/>
            <w:r>
              <w:rPr>
                <w:sz w:val="17"/>
              </w:rPr>
              <w:t>2 hub-apps nodes in each of ap-southeast-2a/b/c</w:t>
            </w:r>
          </w:p>
        </w:tc>
        <w:tc>
          <w:tcPr>
            <w:tcW w:type="dxa" w:w="4675"/>
          </w:tcPr>
          <w:p>
            <w:r/>
            <w:r>
              <w:rPr>
                <w:sz w:val="17"/>
              </w:rPr>
              <w:t>Expected-values file</w:t>
            </w:r>
          </w:p>
        </w:tc>
      </w:tr>
      <w:tr>
        <w:tc>
          <w:tcPr>
            <w:tcW w:type="dxa" w:w="4675"/>
          </w:tcPr>
          <w:p>
            <w:r/>
            <w:r>
              <w:rPr>
                <w:sz w:val="17"/>
              </w:rPr>
              <w:t>Node taint</w:t>
            </w:r>
          </w:p>
        </w:tc>
        <w:tc>
          <w:tcPr>
            <w:tcW w:type="dxa" w:w="4675"/>
          </w:tcPr>
          <w:p>
            <w:r/>
            <w:r>
              <w:rPr>
                <w:sz w:val="17"/>
              </w:rPr>
              <w:t>node-group=hub-apps:NoSchedule on 6 nodes</w:t>
            </w:r>
          </w:p>
        </w:tc>
        <w:tc>
          <w:tcPr>
            <w:tcW w:type="dxa" w:w="4675"/>
          </w:tcPr>
          <w:p>
            <w:r/>
            <w:r>
              <w:rPr>
                <w:sz w:val="17"/>
              </w:rPr>
              <w:t>Expected-values file</w:t>
            </w:r>
          </w:p>
        </w:tc>
      </w:tr>
      <w:tr>
        <w:tc>
          <w:tcPr>
            <w:tcW w:type="dxa" w:w="4675"/>
          </w:tcPr>
          <w:p>
            <w:r/>
            <w:r>
              <w:rPr>
                <w:sz w:val="17"/>
              </w:rPr>
              <w:t>System node group per zone</w:t>
            </w:r>
          </w:p>
        </w:tc>
        <w:tc>
          <w:tcPr>
            <w:tcW w:type="dxa" w:w="4675"/>
          </w:tcPr>
          <w:p>
            <w:r/>
            <w:r>
              <w:rPr>
                <w:sz w:val="17"/>
              </w:rPr>
              <w:t>Present in every zone</w:t>
            </w:r>
          </w:p>
        </w:tc>
        <w:tc>
          <w:tcPr>
            <w:tcW w:type="dxa" w:w="4675"/>
          </w:tcPr>
          <w:p>
            <w:r/>
            <w:r>
              <w:rPr>
                <w:sz w:val="17"/>
              </w:rPr>
              <w:t>Reuse as is</w:t>
            </w:r>
          </w:p>
        </w:tc>
      </w:tr>
      <w:tr>
        <w:tc>
          <w:tcPr>
            <w:tcW w:type="dxa" w:w="4675"/>
          </w:tcPr>
          <w:p>
            <w:r/>
            <w:r>
              <w:rPr>
                <w:sz w:val="17"/>
              </w:rPr>
              <w:t>StorageClass exists / spec</w:t>
            </w:r>
          </w:p>
        </w:tc>
        <w:tc>
          <w:tcPr>
            <w:tcW w:type="dxa" w:w="4675"/>
          </w:tcPr>
          <w:p>
            <w:r/>
            <w:r>
              <w:rPr>
                <w:sz w:val="17"/>
              </w:rPr>
              <w:t>encrypted-gp3 (and any class Hubble PVCs use)</w:t>
            </w:r>
          </w:p>
        </w:tc>
        <w:tc>
          <w:tcPr>
            <w:tcW w:type="dxa" w:w="4675"/>
          </w:tcPr>
          <w:p>
            <w:r/>
            <w:r>
              <w:rPr>
                <w:sz w:val="17"/>
              </w:rPr>
              <w:t>Confirm whether Hubble uses PVCs</w:t>
            </w:r>
          </w:p>
        </w:tc>
      </w:tr>
      <w:tr>
        <w:tc>
          <w:tcPr>
            <w:tcW w:type="dxa" w:w="4675"/>
          </w:tcPr>
          <w:p>
            <w:r/>
            <w:r>
              <w:rPr>
                <w:sz w:val="17"/>
              </w:rPr>
              <w:t>PVC Bound</w:t>
            </w:r>
          </w:p>
        </w:tc>
        <w:tc>
          <w:tcPr>
            <w:tcW w:type="dxa" w:w="4675"/>
          </w:tcPr>
          <w:p>
            <w:r/>
            <w:r>
              <w:rPr>
                <w:sz w:val="17"/>
              </w:rPr>
              <w:t>Only if Hubble statefulsets use PVCs</w:t>
            </w:r>
          </w:p>
        </w:tc>
        <w:tc>
          <w:tcPr>
            <w:tcW w:type="dxa" w:w="4675"/>
          </w:tcPr>
          <w:p>
            <w:r/>
            <w:r>
              <w:rPr>
                <w:sz w:val="17"/>
              </w:rPr>
              <w:t>Confirm</w:t>
            </w:r>
          </w:p>
        </w:tc>
      </w:tr>
      <w:tr>
        <w:tc>
          <w:tcPr>
            <w:tcW w:type="dxa" w:w="4675"/>
          </w:tcPr>
          <w:p>
            <w:r/>
            <w:r>
              <w:rPr>
                <w:sz w:val="17"/>
              </w:rPr>
              <w:t>Pod checks (Running and Ready)</w:t>
            </w:r>
          </w:p>
        </w:tc>
        <w:tc>
          <w:tcPr>
            <w:tcW w:type="dxa" w:w="4675"/>
          </w:tcPr>
          <w:p>
            <w:r/>
            <w:r>
              <w:rPr>
                <w:sz w:val="17"/>
              </w:rPr>
              <w:t>Every Hubble deployment/statefulset from Hooks.setup (asx-trade-ingestion x8, index, instrument, calendar, corporate-action, issuer, quote-capture, valuation-price, trade-enrichment, trade-aggregation variants, scheduler, security-streaming, index-streaming, snapshots, outbound, QSE, NTQuote)</w:t>
            </w:r>
          </w:p>
        </w:tc>
        <w:tc>
          <w:tcPr>
            <w:tcW w:type="dxa" w:w="4675"/>
          </w:tcPr>
          <w:p>
            <w:r/>
            <w:r>
              <w:rPr>
                <w:sz w:val="17"/>
              </w:rPr>
              <w:t>Replace pod list</w:t>
            </w:r>
          </w:p>
        </w:tc>
      </w:tr>
      <w:tr>
        <w:tc>
          <w:tcPr>
            <w:tcW w:type="dxa" w:w="4675"/>
          </w:tcPr>
          <w:p>
            <w:r/>
            <w:r>
              <w:rPr>
                <w:sz w:val="17"/>
              </w:rPr>
              <w:t>Service checks</w:t>
            </w:r>
          </w:p>
        </w:tc>
        <w:tc>
          <w:tcPr>
            <w:tcW w:type="dxa" w:w="4675"/>
          </w:tcPr>
          <w:p>
            <w:r/>
            <w:r>
              <w:rPr>
                <w:sz w:val="17"/>
              </w:rPr>
              <w:t xml:space="preserve">Every Hubble service exists </w:t>
            </w:r>
            <w:r>
              <w:rPr>
                <w:b/>
                <w:sz w:val="17"/>
              </w:rPr>
              <w:t>and has endpoints</w:t>
            </w:r>
          </w:p>
        </w:tc>
        <w:tc>
          <w:tcPr>
            <w:tcW w:type="dxa" w:w="4675"/>
          </w:tcPr>
          <w:p>
            <w:r/>
            <w:r>
              <w:rPr>
                <w:sz w:val="17"/>
              </w:rPr>
              <w:t>Add endpoint check</w:t>
            </w:r>
          </w:p>
        </w:tc>
      </w:tr>
      <w:tr>
        <w:tc>
          <w:tcPr>
            <w:tcW w:type="dxa" w:w="4675"/>
          </w:tcPr>
          <w:p>
            <w:r/>
            <w:r>
              <w:rPr>
                <w:sz w:val="17"/>
              </w:rPr>
              <w:t>Events</w:t>
            </w:r>
          </w:p>
        </w:tc>
        <w:tc>
          <w:tcPr>
            <w:tcW w:type="dxa" w:w="4675"/>
          </w:tcPr>
          <w:p>
            <w:r/>
            <w:r>
              <w:rPr>
                <w:b/>
                <w:sz w:val="17"/>
              </w:rPr>
              <w:t>Fail on any Warning event</w:t>
            </w:r>
            <w:r>
              <w:rPr>
                <w:sz w:val="17"/>
              </w:rPr>
              <w:t xml:space="preserve"> in namespace hubble</w:t>
            </w:r>
          </w:p>
        </w:tc>
        <w:tc>
          <w:tcPr>
            <w:tcW w:type="dxa" w:w="4675"/>
          </w:tcPr>
          <w:p>
            <w:r/>
            <w:r>
              <w:rPr>
                <w:b/>
                <w:sz w:val="17"/>
              </w:rPr>
              <w:t>Fix:</w:t>
            </w:r>
            <w:r>
              <w:rPr>
                <w:sz w:val="17"/>
              </w:rPr>
              <w:t xml:space="preserve"> the Kafka report passed despite a </w:t>
            </w:r>
            <w:r>
              <w:rPr>
                <w:rFonts w:ascii="Consolas" w:hAnsi="Consolas"/>
                <w:sz w:val="17"/>
              </w:rPr>
              <w:t>FailedToRetrieveImagePullSecret</w:t>
            </w:r>
            <w:r>
              <w:rPr>
                <w:sz w:val="17"/>
              </w:rPr>
              <w:t xml:space="preserve"> warning</w:t>
            </w:r>
          </w:p>
        </w:tc>
      </w:tr>
      <w:tr>
        <w:tc>
          <w:tcPr>
            <w:tcW w:type="dxa" w:w="4675"/>
          </w:tcPr>
          <w:p>
            <w:r/>
            <w:r>
              <w:rPr>
                <w:sz w:val="17"/>
              </w:rPr>
              <w:t>Top nodes / top pods</w:t>
            </w:r>
          </w:p>
        </w:tc>
        <w:tc>
          <w:tcPr>
            <w:tcW w:type="dxa" w:w="4675"/>
          </w:tcPr>
          <w:p>
            <w:r/>
            <w:r>
              <w:rPr>
                <w:sz w:val="17"/>
              </w:rPr>
              <w:t>Usage within the Service Resource Limits page</w:t>
            </w:r>
          </w:p>
        </w:tc>
        <w:tc>
          <w:tcPr>
            <w:tcW w:type="dxa" w:w="4675"/>
          </w:tcPr>
          <w:p>
            <w:r/>
            <w:r>
              <w:rPr>
                <w:sz w:val="17"/>
              </w:rPr>
              <w:t>Report only</w:t>
            </w:r>
          </w:p>
        </w:tc>
      </w:tr>
    </w:tbl>
    <w:p/>
    <w:p>
      <w:pPr>
        <w:pStyle w:val="Heading2"/>
      </w:pPr>
      <w:r>
        <w:t>8.4 New Hubble-specific checks to add</w:t>
      </w:r>
    </w:p>
    <w:tbl>
      <w:tblPr>
        <w:tblStyle w:val="TableGrid"/>
        <w:tblW w:type="auto" w:w="0"/>
        <w:tblLook w:firstColumn="1" w:firstRow="1" w:lastColumn="0" w:lastRow="0" w:noHBand="0" w:noVBand="1" w:val="04A0"/>
      </w:tblPr>
      <w:tblGrid>
        <w:gridCol w:w="7013"/>
        <w:gridCol w:w="7013"/>
      </w:tblGrid>
      <w:tr>
        <w:tc>
          <w:tcPr>
            <w:tcW w:type="dxa" w:w="7013"/>
            <w:shd w:val="clear" w:color="auto" w:fill="F4F5F7"/>
          </w:tcPr>
          <w:p>
            <w:r/>
            <w:r>
              <w:rPr>
                <w:b/>
                <w:sz w:val="17"/>
              </w:rPr>
              <w:t>Check</w:t>
            </w:r>
          </w:p>
        </w:tc>
        <w:tc>
          <w:tcPr>
            <w:tcW w:type="dxa" w:w="7013"/>
            <w:shd w:val="clear" w:color="auto" w:fill="F4F5F7"/>
          </w:tcPr>
          <w:p>
            <w:r/>
            <w:r>
              <w:rPr>
                <w:b/>
                <w:sz w:val="17"/>
              </w:rPr>
              <w:t>Expected</w:t>
            </w:r>
          </w:p>
        </w:tc>
      </w:tr>
      <w:tr>
        <w:tc>
          <w:tcPr>
            <w:tcW w:type="dxa" w:w="7013"/>
          </w:tcPr>
          <w:p>
            <w:r/>
            <w:r>
              <w:rPr>
                <w:sz w:val="17"/>
              </w:rPr>
              <w:t>Image tag and registry</w:t>
            </w:r>
          </w:p>
        </w:tc>
        <w:tc>
          <w:tcPr>
            <w:tcW w:type="dxa" w:w="7013"/>
          </w:tcPr>
          <w:p>
            <w:r/>
            <w:r>
              <w:rPr>
                <w:sz w:val="17"/>
              </w:rPr>
              <w:t>Every container image matches the release manifest and comes from images-proxy-group.upm.asx.com.au</w:t>
            </w:r>
          </w:p>
        </w:tc>
      </w:tr>
      <w:tr>
        <w:tc>
          <w:tcPr>
            <w:tcW w:type="dxa" w:w="7013"/>
          </w:tcPr>
          <w:p>
            <w:r/>
            <w:r>
              <w:rPr>
                <w:sz w:val="17"/>
              </w:rPr>
              <w:t>Architecture</w:t>
            </w:r>
          </w:p>
        </w:tc>
        <w:tc>
          <w:tcPr>
            <w:tcW w:type="dxa" w:w="7013"/>
          </w:tcPr>
          <w:p>
            <w:r/>
            <w:r>
              <w:rPr>
                <w:sz w:val="17"/>
              </w:rPr>
              <w:t>Every image has an arm64 (or multi-arch) manifest, because the nodes are Graviton m7g</w:t>
            </w:r>
          </w:p>
        </w:tc>
      </w:tr>
      <w:tr>
        <w:tc>
          <w:tcPr>
            <w:tcW w:type="dxa" w:w="7013"/>
          </w:tcPr>
          <w:p>
            <w:r/>
            <w:r>
              <w:rPr>
                <w:sz w:val="17"/>
              </w:rPr>
              <w:t>Pod placement</w:t>
            </w:r>
          </w:p>
        </w:tc>
        <w:tc>
          <w:tcPr>
            <w:tcW w:type="dxa" w:w="7013"/>
          </w:tcPr>
          <w:p>
            <w:r/>
            <w:r>
              <w:rPr>
                <w:sz w:val="17"/>
              </w:rPr>
              <w:t>Hubble pods run only on hub-apps nodes, carry the hub-apps toleration and node affinity, and multi-replica services span ≥ 2 AZs</w:t>
            </w:r>
          </w:p>
        </w:tc>
      </w:tr>
      <w:tr>
        <w:tc>
          <w:tcPr>
            <w:tcW w:type="dxa" w:w="7013"/>
          </w:tcPr>
          <w:p>
            <w:r/>
            <w:r>
              <w:rPr>
                <w:sz w:val="17"/>
              </w:rPr>
              <w:t>Restarts</w:t>
            </w:r>
          </w:p>
        </w:tc>
        <w:tc>
          <w:tcPr>
            <w:tcW w:type="dxa" w:w="7013"/>
          </w:tcPr>
          <w:p>
            <w:r/>
            <w:r>
              <w:rPr>
                <w:sz w:val="17"/>
              </w:rPr>
              <w:t>Restart count 0 at start; no OOMKilled or CrashLoopBackOff</w:t>
            </w:r>
          </w:p>
        </w:tc>
      </w:tr>
      <w:tr>
        <w:tc>
          <w:tcPr>
            <w:tcW w:type="dxa" w:w="7013"/>
          </w:tcPr>
          <w:p>
            <w:r/>
            <w:r>
              <w:rPr>
                <w:sz w:val="17"/>
              </w:rPr>
              <w:t>Requests / limits</w:t>
            </w:r>
          </w:p>
        </w:tc>
        <w:tc>
          <w:tcPr>
            <w:tcW w:type="dxa" w:w="7013"/>
          </w:tcPr>
          <w:p>
            <w:r/>
            <w:r>
              <w:rPr>
                <w:sz w:val="17"/>
              </w:rPr>
              <w:t>Set on every container and equal to the Service Resource Limits page</w:t>
            </w:r>
          </w:p>
        </w:tc>
      </w:tr>
      <w:tr>
        <w:tc>
          <w:tcPr>
            <w:tcW w:type="dxa" w:w="7013"/>
          </w:tcPr>
          <w:p>
            <w:r/>
            <w:r>
              <w:rPr>
                <w:sz w:val="17"/>
              </w:rPr>
              <w:t>Config and secrets</w:t>
            </w:r>
          </w:p>
        </w:tc>
        <w:tc>
          <w:tcPr>
            <w:tcW w:type="dxa" w:w="7013"/>
          </w:tcPr>
          <w:p>
            <w:r/>
            <w:r>
              <w:rPr>
                <w:sz w:val="17"/>
              </w:rPr>
              <w:t>Config maps and secrets referenced by each pod exist; DB endpoint is the Aurora cluster endpoint (writer) and reader where designed</w:t>
            </w:r>
          </w:p>
        </w:tc>
      </w:tr>
      <w:tr>
        <w:tc>
          <w:tcPr>
            <w:tcW w:type="dxa" w:w="7013"/>
          </w:tcPr>
          <w:p>
            <w:r/>
            <w:r>
              <w:rPr>
                <w:sz w:val="17"/>
              </w:rPr>
              <w:t>Pod Identity</w:t>
            </w:r>
          </w:p>
        </w:tc>
        <w:tc>
          <w:tcPr>
            <w:tcW w:type="dxa" w:w="7013"/>
          </w:tcPr>
          <w:p>
            <w:r/>
            <w:r>
              <w:rPr>
                <w:sz w:val="17"/>
              </w:rPr>
              <w:t>Pods accessing S3 carry eks.amazonaws.com/pod-identity=enabled; no AWS keys in env or secrets</w:t>
            </w:r>
          </w:p>
        </w:tc>
      </w:tr>
      <w:tr>
        <w:tc>
          <w:tcPr>
            <w:tcW w:type="dxa" w:w="7013"/>
          </w:tcPr>
          <w:p>
            <w:r/>
            <w:r>
              <w:rPr>
                <w:sz w:val="17"/>
              </w:rPr>
              <w:t>Blue/green</w:t>
            </w:r>
          </w:p>
        </w:tc>
        <w:tc>
          <w:tcPr>
            <w:tcW w:type="dxa" w:w="7013"/>
          </w:tcPr>
          <w:p>
            <w:r/>
            <w:r>
              <w:rPr>
                <w:sz w:val="17"/>
              </w:rPr>
              <w:t>Exactly one of the blue/green clusters has active Hubble consumers for a given environment</w:t>
            </w:r>
          </w:p>
        </w:tc>
      </w:tr>
    </w:tbl>
    <w:p/>
    <w:p>
      <w:pPr>
        <w:pStyle w:val="Heading1"/>
      </w:pPr>
      <w:r>
        <w:t>9. Aurora (RDS) validation (features #7, #8, #21–#29, #34, #35, #54, #55)</w:t>
      </w:r>
    </w:p>
    <w:p>
      <w:pPr>
        <w:pStyle w:val="Heading2"/>
      </w:pPr>
      <w:r>
        <w:t>9.1 Database inventory and what SIT asserts</w:t>
      </w:r>
    </w:p>
    <w:tbl>
      <w:tblPr>
        <w:tblStyle w:val="TableGrid"/>
        <w:tblW w:type="auto" w:w="0"/>
        <w:tblLook w:firstColumn="1" w:firstRow="1" w:lastColumn="0" w:lastRow="0" w:noHBand="0" w:noVBand="1" w:val="04A0"/>
      </w:tblPr>
      <w:tblGrid>
        <w:gridCol w:w="4675"/>
        <w:gridCol w:w="4675"/>
        <w:gridCol w:w="4675"/>
      </w:tblGrid>
      <w:tr>
        <w:tc>
          <w:tcPr>
            <w:tcW w:type="dxa" w:w="4675"/>
            <w:shd w:val="clear" w:color="auto" w:fill="F4F5F7"/>
          </w:tcPr>
          <w:p>
            <w:r/>
            <w:r>
              <w:rPr>
                <w:b/>
                <w:sz w:val="17"/>
              </w:rPr>
              <w:t>Service DB</w:t>
            </w:r>
          </w:p>
        </w:tc>
        <w:tc>
          <w:tcPr>
            <w:tcW w:type="dxa" w:w="4675"/>
            <w:shd w:val="clear" w:color="auto" w:fill="F4F5F7"/>
          </w:tcPr>
          <w:p>
            <w:r/>
            <w:r>
              <w:rPr>
                <w:b/>
                <w:sz w:val="17"/>
              </w:rPr>
              <w:t>Key tables</w:t>
            </w:r>
          </w:p>
        </w:tc>
        <w:tc>
          <w:tcPr>
            <w:tcW w:type="dxa" w:w="4675"/>
            <w:shd w:val="clear" w:color="auto" w:fill="F4F5F7"/>
          </w:tcPr>
          <w:p>
            <w:r/>
            <w:r>
              <w:rPr>
                <w:b/>
                <w:sz w:val="17"/>
              </w:rPr>
              <w:t>SIT asserts</w:t>
            </w:r>
          </w:p>
        </w:tc>
      </w:tr>
      <w:tr>
        <w:tc>
          <w:tcPr>
            <w:tcW w:type="dxa" w:w="4675"/>
          </w:tcPr>
          <w:p>
            <w:r/>
            <w:r>
              <w:rPr>
                <w:sz w:val="17"/>
              </w:rPr>
              <w:t>HubbleScheduler</w:t>
            </w:r>
          </w:p>
        </w:tc>
        <w:tc>
          <w:tcPr>
            <w:tcW w:type="dxa" w:w="4675"/>
          </w:tcPr>
          <w:p>
            <w:r/>
            <w:r>
              <w:rPr>
                <w:sz w:val="17"/>
              </w:rPr>
              <w:t>ReportSchedule, ReportScheduleOverride, Schedule, ScheduleOverride, CalendarDay, lookups</w:t>
            </w:r>
          </w:p>
        </w:tc>
        <w:tc>
          <w:tcPr>
            <w:tcW w:type="dxa" w:w="4675"/>
          </w:tcPr>
          <w:p>
            <w:r/>
            <w:r>
              <w:rPr>
                <w:sz w:val="17"/>
              </w:rPr>
              <w:t>Overrides and calendar drive report timing (#31, #46)</w:t>
            </w:r>
          </w:p>
        </w:tc>
      </w:tr>
      <w:tr>
        <w:tc>
          <w:tcPr>
            <w:tcW w:type="dxa" w:w="4675"/>
          </w:tcPr>
          <w:p>
            <w:r/>
            <w:r>
              <w:rPr>
                <w:sz w:val="17"/>
              </w:rPr>
              <w:t>HubbleQuoteCapture</w:t>
            </w:r>
          </w:p>
        </w:tc>
        <w:tc>
          <w:tcPr>
            <w:tcW w:type="dxa" w:w="4675"/>
          </w:tcPr>
          <w:p>
            <w:r/>
            <w:r>
              <w:rPr>
                <w:sz w:val="17"/>
              </w:rPr>
              <w:t>Quote, PartitionOffset, InstrumentEnrichment</w:t>
            </w:r>
          </w:p>
        </w:tc>
        <w:tc>
          <w:tcPr>
            <w:tcW w:type="dxa" w:w="4675"/>
          </w:tcPr>
          <w:p>
            <w:r/>
            <w:r>
              <w:rPr>
                <w:sz w:val="17"/>
              </w:rPr>
              <w:t>Quotes from TOB + stats; offset resume (#18, #29)</w:t>
            </w:r>
          </w:p>
        </w:tc>
      </w:tr>
      <w:tr>
        <w:tc>
          <w:tcPr>
            <w:tcW w:type="dxa" w:w="4675"/>
          </w:tcPr>
          <w:p>
            <w:r/>
            <w:r>
              <w:rPr>
                <w:sz w:val="17"/>
              </w:rPr>
              <w:t>HubbleValuationPrice</w:t>
            </w:r>
          </w:p>
        </w:tc>
        <w:tc>
          <w:tcPr>
            <w:tcW w:type="dxa" w:w="4675"/>
          </w:tcPr>
          <w:p>
            <w:r/>
            <w:r>
              <w:rPr>
                <w:sz w:val="17"/>
              </w:rPr>
              <w:t>QuoteSummary, BusinessDay, PartitionOffset, InstrumentEnrichment</w:t>
            </w:r>
          </w:p>
        </w:tc>
        <w:tc>
          <w:tcPr>
            <w:tcW w:type="dxa" w:w="4675"/>
          </w:tcPr>
          <w:p>
            <w:r/>
            <w:r>
              <w:rPr>
                <w:sz w:val="17"/>
              </w:rPr>
              <w:t>Valuation rows; business-day roll; offset resume (#18, #19, #30)</w:t>
            </w:r>
          </w:p>
        </w:tc>
      </w:tr>
      <w:tr>
        <w:tc>
          <w:tcPr>
            <w:tcW w:type="dxa" w:w="4675"/>
          </w:tcPr>
          <w:p>
            <w:r/>
            <w:r>
              <w:rPr>
                <w:sz w:val="17"/>
              </w:rPr>
              <w:t>HubbleNTQuoteEnrichment / HubbleTradeEnrichment</w:t>
            </w:r>
          </w:p>
        </w:tc>
        <w:tc>
          <w:tcPr>
            <w:tcW w:type="dxa" w:w="4675"/>
          </w:tcPr>
          <w:p>
            <w:r/>
            <w:r>
              <w:rPr>
                <w:sz w:val="17"/>
              </w:rPr>
              <w:t>InstrumentEnrichment</w:t>
            </w:r>
          </w:p>
        </w:tc>
        <w:tc>
          <w:tcPr>
            <w:tcW w:type="dxa" w:w="4675"/>
          </w:tcPr>
          <w:p>
            <w:r/>
            <w:r>
              <w:rPr>
                <w:sz w:val="17"/>
              </w:rPr>
              <w:t>Enrichment reference loaded from SOD (#13, #17)</w:t>
            </w:r>
          </w:p>
        </w:tc>
      </w:tr>
      <w:tr>
        <w:tc>
          <w:tcPr>
            <w:tcW w:type="dxa" w:w="4675"/>
          </w:tcPr>
          <w:p>
            <w:r/>
            <w:r>
              <w:rPr>
                <w:sz w:val="17"/>
              </w:rPr>
              <w:t>HubbleSecurityStreaming</w:t>
            </w:r>
          </w:p>
        </w:tc>
        <w:tc>
          <w:tcPr>
            <w:tcW w:type="dxa" w:w="4675"/>
          </w:tcPr>
          <w:p>
            <w:r/>
            <w:r>
              <w:rPr>
                <w:sz w:val="17"/>
              </w:rPr>
              <w:t>TradeAndQuoteData, PartitionOffset</w:t>
            </w:r>
          </w:p>
        </w:tc>
        <w:tc>
          <w:tcPr>
            <w:tcW w:type="dxa" w:w="4675"/>
          </w:tcPr>
          <w:p>
            <w:r/>
            <w:r>
              <w:rPr>
                <w:sz w:val="17"/>
              </w:rPr>
              <w:t>QK/QY/QX/QZ stream state (#22–#24)</w:t>
            </w:r>
          </w:p>
        </w:tc>
      </w:tr>
      <w:tr>
        <w:tc>
          <w:tcPr>
            <w:tcW w:type="dxa" w:w="4675"/>
          </w:tcPr>
          <w:p>
            <w:r/>
            <w:r>
              <w:rPr>
                <w:sz w:val="17"/>
              </w:rPr>
              <w:t>HubbleIndexStreaming</w:t>
            </w:r>
          </w:p>
        </w:tc>
        <w:tc>
          <w:tcPr>
            <w:tcW w:type="dxa" w:w="4675"/>
          </w:tcPr>
          <w:p>
            <w:r/>
            <w:r>
              <w:rPr>
                <w:sz w:val="17"/>
              </w:rPr>
              <w:t>IndexPriceSumCapture</w:t>
            </w:r>
          </w:p>
        </w:tc>
        <w:tc>
          <w:tcPr>
            <w:tcW w:type="dxa" w:w="4675"/>
          </w:tcPr>
          <w:p>
            <w:r/>
            <w:r>
              <w:rPr>
                <w:sz w:val="17"/>
              </w:rPr>
              <w:t>IB/MI capture (#25)</w:t>
            </w:r>
          </w:p>
        </w:tc>
      </w:tr>
      <w:tr>
        <w:tc>
          <w:tcPr>
            <w:tcW w:type="dxa" w:w="4675"/>
          </w:tcPr>
          <w:p>
            <w:r/>
            <w:r>
              <w:rPr>
                <w:sz w:val="17"/>
              </w:rPr>
              <w:t>HubbleEquitySnapshot / FixedInterestSnapshot / IndexSnapshot / FutureContractSnapshot / DerivatixPriceSumSnapshot</w:t>
            </w:r>
          </w:p>
        </w:tc>
        <w:tc>
          <w:tcPr>
            <w:tcW w:type="dxa" w:w="4675"/>
          </w:tcPr>
          <w:p>
            <w:r/>
            <w:r>
              <w:rPr>
                <w:sz w:val="17"/>
              </w:rPr>
              <w:t>*PriceSumSnapshot / *SumSnapshot, PriceSumFlushOffset</w:t>
            </w:r>
          </w:p>
        </w:tc>
        <w:tc>
          <w:tcPr>
            <w:tcW w:type="dxa" w:w="4675"/>
          </w:tcPr>
          <w:p>
            <w:r/>
            <w:r>
              <w:rPr>
                <w:sz w:val="17"/>
              </w:rPr>
              <w:t>Snapshot rows and flush offsets (#22–#25, #28, #29)</w:t>
            </w:r>
          </w:p>
        </w:tc>
      </w:tr>
      <w:tr>
        <w:tc>
          <w:tcPr>
            <w:tcW w:type="dxa" w:w="4675"/>
          </w:tcPr>
          <w:p>
            <w:r/>
            <w:r>
              <w:rPr>
                <w:sz w:val="17"/>
              </w:rPr>
              <w:t>HubbleTradeAggregation{AsxCode, Custom, IndexComposition, InstType, InstTypeCustom, Option, SectorCode}</w:t>
            </w:r>
          </w:p>
        </w:tc>
        <w:tc>
          <w:tcPr>
            <w:tcW w:type="dxa" w:w="4675"/>
          </w:tcPr>
          <w:p>
            <w:r/>
            <w:r>
              <w:rPr>
                <w:sz w:val="17"/>
              </w:rPr>
              <w:t>InstrumentTypeList, InstrumentTypeListMapping</w:t>
            </w:r>
          </w:p>
        </w:tc>
        <w:tc>
          <w:tcPr>
            <w:tcW w:type="dxa" w:w="4675"/>
          </w:tcPr>
          <w:p>
            <w:r/>
            <w:r>
              <w:rPr>
                <w:sz w:val="17"/>
              </w:rPr>
              <w:t>Config lists seeded and consistent (#8, #20)</w:t>
            </w:r>
          </w:p>
        </w:tc>
      </w:tr>
      <w:tr>
        <w:tc>
          <w:tcPr>
            <w:tcW w:type="dxa" w:w="4675"/>
          </w:tcPr>
          <w:p>
            <w:r/>
            <w:r>
              <w:rPr>
                <w:sz w:val="17"/>
              </w:rPr>
              <w:t>HubbleTradeAggregation{Custom, IndexComposition, Option, SectorCode}Snapshot</w:t>
            </w:r>
          </w:p>
        </w:tc>
        <w:tc>
          <w:tcPr>
            <w:tcW w:type="dxa" w:w="4675"/>
          </w:tcPr>
          <w:p>
            <w:r/>
            <w:r>
              <w:rPr>
                <w:sz w:val="17"/>
              </w:rPr>
              <w:t>TradeAggregation*Snapshot, PriceSumFlushOffset</w:t>
            </w:r>
          </w:p>
        </w:tc>
        <w:tc>
          <w:tcPr>
            <w:tcW w:type="dxa" w:w="4675"/>
          </w:tcPr>
          <w:p>
            <w:r/>
            <w:r>
              <w:rPr>
                <w:sz w:val="17"/>
              </w:rPr>
              <w:t>Aggregates per criterion (#20, #26)</w:t>
            </w:r>
          </w:p>
        </w:tc>
      </w:tr>
      <w:tr>
        <w:tc>
          <w:tcPr>
            <w:tcW w:type="dxa" w:w="4675"/>
          </w:tcPr>
          <w:p>
            <w:r/>
            <w:r>
              <w:rPr>
                <w:sz w:val="17"/>
              </w:rPr>
              <w:t>HubbleMarketTradeSummarySnapshot</w:t>
            </w:r>
          </w:p>
        </w:tc>
        <w:tc>
          <w:tcPr>
            <w:tcW w:type="dxa" w:w="4675"/>
          </w:tcPr>
          <w:p>
            <w:r/>
            <w:r>
              <w:rPr>
                <w:sz w:val="17"/>
              </w:rPr>
              <w:t>MarketTradeSummarySnapshot, PriceSumFlushOffset</w:t>
            </w:r>
          </w:p>
        </w:tc>
        <w:tc>
          <w:tcPr>
            <w:tcW w:type="dxa" w:w="4675"/>
          </w:tcPr>
          <w:p>
            <w:r/>
            <w:r>
              <w:rPr>
                <w:sz w:val="17"/>
              </w:rPr>
              <w:t>Trade summary for Signal B (#26)</w:t>
            </w:r>
          </w:p>
        </w:tc>
      </w:tr>
      <w:tr>
        <w:tc>
          <w:tcPr>
            <w:tcW w:type="dxa" w:w="4675"/>
          </w:tcPr>
          <w:p>
            <w:r/>
            <w:r>
              <w:rPr>
                <w:sz w:val="17"/>
              </w:rPr>
              <w:t>HubbleQuoteSummaryEnrichmentSnapshot</w:t>
            </w:r>
          </w:p>
        </w:tc>
        <w:tc>
          <w:tcPr>
            <w:tcW w:type="dxa" w:w="4675"/>
          </w:tcPr>
          <w:p>
            <w:r/>
            <w:r>
              <w:rPr>
                <w:sz w:val="17"/>
              </w:rPr>
              <w:t>QuoteSummaryEnrichmentSnapshot, PriceSumFlushOffset</w:t>
            </w:r>
          </w:p>
        </w:tc>
        <w:tc>
          <w:tcPr>
            <w:tcW w:type="dxa" w:w="4675"/>
          </w:tcPr>
          <w:p>
            <w:r/>
            <w:r>
              <w:rPr>
                <w:sz w:val="17"/>
              </w:rPr>
              <w:t>Market movers for D06 (#42)</w:t>
            </w:r>
          </w:p>
        </w:tc>
      </w:tr>
      <w:tr>
        <w:tc>
          <w:tcPr>
            <w:tcW w:type="dxa" w:w="4675"/>
          </w:tcPr>
          <w:p>
            <w:r/>
            <w:r>
              <w:rPr>
                <w:sz w:val="17"/>
              </w:rPr>
              <w:t>HubbleODSPreProd</w:t>
            </w:r>
          </w:p>
        </w:tc>
        <w:tc>
          <w:tcPr>
            <w:tcW w:type="dxa" w:w="4675"/>
          </w:tcPr>
          <w:p>
            <w:r/>
            <w:r>
              <w:rPr>
                <w:sz w:val="17"/>
              </w:rPr>
              <w:t>CalendarDay, CorporateAction, CumAggrTrade, CumAggrTradeIntraday*, asx_trade_extract, AsxMissingTrade, reference lookups</w:t>
            </w:r>
          </w:p>
        </w:tc>
        <w:tc>
          <w:tcPr>
            <w:tcW w:type="dxa" w:w="4675"/>
          </w:tcPr>
          <w:p>
            <w:r/>
            <w:r>
              <w:rPr>
                <w:sz w:val="17"/>
              </w:rPr>
              <w:t>Reference and aggregates reconcile (#27)</w:t>
            </w:r>
          </w:p>
        </w:tc>
      </w:tr>
      <w:tr>
        <w:tc>
          <w:tcPr>
            <w:tcW w:type="dxa" w:w="4675"/>
          </w:tcPr>
          <w:p>
            <w:r/>
            <w:r>
              <w:rPr>
                <w:sz w:val="17"/>
              </w:rPr>
              <w:t>All DBs</w:t>
            </w:r>
          </w:p>
        </w:tc>
        <w:tc>
          <w:tcPr>
            <w:tcW w:type="dxa" w:w="4675"/>
          </w:tcPr>
          <w:p>
            <w:r/>
            <w:r>
              <w:rPr>
                <w:sz w:val="17"/>
              </w:rPr>
              <w:t>DATABASECHANGELOG, DATABASECHANGELOGLOCK</w:t>
            </w:r>
          </w:p>
        </w:tc>
        <w:tc>
          <w:tcPr>
            <w:tcW w:type="dxa" w:w="4675"/>
          </w:tcPr>
          <w:p>
            <w:r/>
            <w:r>
              <w:rPr>
                <w:sz w:val="17"/>
              </w:rPr>
              <w:t>Schema version and no stale lock (#8)</w:t>
            </w:r>
          </w:p>
        </w:tc>
      </w:tr>
    </w:tbl>
    <w:p/>
    <w:p>
      <w:pPr>
        <w:pStyle w:val="Heading2"/>
      </w:pPr>
      <w:r>
        <w:t>9.2 Key scenarios</w:t>
      </w:r>
    </w:p>
    <w:p>
      <w:pPr>
        <w:pStyle w:val="ListBullet"/>
      </w:pPr>
      <w:r>
        <w:rPr>
          <w:b/>
        </w:rPr>
        <w:t>Roles (#7).</w:t>
      </w:r>
      <w:r>
        <w:t xml:space="preserve"> Each service's session uses </w:t>
      </w:r>
      <w:r>
        <w:rPr>
          <w:rFonts w:ascii="Consolas" w:hAnsi="Consolas"/>
          <w:sz w:val="17"/>
        </w:rPr>
        <w:t>…_app_user</w:t>
      </w:r>
      <w:r>
        <w:t xml:space="preserve"> on its own database. The app user can't run DDL. The recon user can SELECT only. No runtime session uses </w:t>
      </w:r>
      <w:r>
        <w:rPr>
          <w:rFonts w:ascii="Consolas" w:hAnsi="Consolas"/>
          <w:sz w:val="17"/>
        </w:rPr>
        <w:t>…_deploy_user</w:t>
      </w:r>
      <w:r>
        <w:t>.</w:t>
      </w:r>
    </w:p>
    <w:p>
      <w:pPr>
        <w:pStyle w:val="ListBullet"/>
      </w:pPr>
      <w:r>
        <w:rPr>
          <w:b/>
        </w:rPr>
        <w:t>Schema (#8).</w:t>
      </w:r>
      <w:r>
        <w:t xml:space="preserve"> DATABASECHANGELOG matches the release changeset list in every database. DATABASECHANGELOGLOCK isn't held. No tables outside an approved list, such as </w:t>
      </w:r>
      <w:r>
        <w:rPr>
          <w:rFonts w:ascii="Consolas" w:hAnsi="Consolas"/>
          <w:sz w:val="17"/>
        </w:rPr>
        <w:t>Schedule_CHG0073369</w:t>
      </w:r>
      <w:r>
        <w:t xml:space="preserve">, </w:t>
      </w:r>
      <w:r>
        <w:rPr>
          <w:rFonts w:ascii="Consolas" w:hAnsi="Consolas"/>
          <w:sz w:val="17"/>
        </w:rPr>
        <w:t>CalendarDay_CHG0075327</w:t>
      </w:r>
      <w:r>
        <w:t xml:space="preserve"> or </w:t>
      </w:r>
      <w:r>
        <w:rPr>
          <w:rFonts w:ascii="Consolas" w:hAnsi="Consolas"/>
          <w:sz w:val="17"/>
        </w:rPr>
        <w:t>AsxMissingTrade_Backup_2026Mar02</w:t>
      </w:r>
      <w:r>
        <w:t>.</w:t>
      </w:r>
    </w:p>
    <w:p>
      <w:pPr>
        <w:pStyle w:val="ListBullet"/>
      </w:pPr>
      <w:r>
        <w:rPr>
          <w:b/>
        </w:rPr>
        <w:t>Persistence (#21–#28).</w:t>
      </w:r>
      <w:r>
        <w:t xml:space="preserve"> For each flow, the expected rows appear in the service table and the snapshot table within the flush window, and the values match the baseline.</w:t>
      </w:r>
    </w:p>
    <w:p>
      <w:pPr>
        <w:pStyle w:val="ListBullet"/>
      </w:pPr>
      <w:r>
        <w:rPr>
          <w:b/>
        </w:rPr>
        <w:t>Offsets (#29).</w:t>
      </w:r>
      <w:r>
        <w:t xml:space="preserve"> A pod is deleted mid-flow and resumes from PartitionOffset / PriceSumFlushOffset. Row counts and values equal a baseline run with no restart.</w:t>
      </w:r>
    </w:p>
    <w:p>
      <w:pPr>
        <w:pStyle w:val="ListBullet"/>
      </w:pPr>
      <w:r>
        <w:rPr>
          <w:b/>
        </w:rPr>
        <w:t>Failover (#34).</w:t>
      </w:r>
      <w:r>
        <w:t xml:space="preserve"> An Aurora writer failover during a live flow: services reconnect without a manual restart and tables equal the baseline.</w:t>
      </w:r>
    </w:p>
    <w:p>
      <w:pPr>
        <w:pStyle w:val="ListBullet"/>
      </w:pPr>
      <w:r>
        <w:rPr>
          <w:b/>
        </w:rPr>
        <w:t>Recon (#55).</w:t>
      </w:r>
      <w:r>
        <w:t xml:space="preserve"> Recon runs as the recon user against the reader. Results equal a writer query once replica lag has settled.</w:t>
      </w:r>
    </w:p>
    <w:p>
      <w:pPr>
        <w:pStyle w:val="Heading1"/>
      </w:pPr>
      <w:r>
        <w:t>10. Example scenarios</w:t>
      </w:r>
    </w:p>
    <w:p>
      <w:r>
        <w:rPr>
          <w:rFonts w:ascii="Consolas" w:hAnsi="Consolas"/>
          <w:sz w:val="16"/>
        </w:rPr>
        <w:t>@L1 @smoke @HUBES-xxxx</w:t>
        <w:br/>
        <w:t>Scenario Outline: Hubble EKS node group matches the design</w:t>
        <w:br/>
        <w:t xml:space="preserve">  Given the SIT EKS cluster "&lt;cluster&gt;" and namespace "hubble"</w:t>
        <w:br/>
        <w:t xml:space="preserve">  Then node group "&lt;nodegroup&gt;" has 2 Ready nodes in zone "&lt;zone&gt;"</w:t>
        <w:br/>
        <w:t xml:space="preserve">  And each node has instance type "m7g.2xlarge" and architecture "arm64"</w:t>
        <w:br/>
        <w:t xml:space="preserve">  And each node has taint "node-group=hub-apps:NoSchedule"</w:t>
        <w:br/>
        <w:t xml:space="preserve">  And each node has labels "app=hubble-applications" and "node-az=&lt;nodegroup&gt;"</w:t>
        <w:br/>
        <w:t xml:space="preserve">  Examples:</w:t>
        <w:br/>
        <w:t xml:space="preserve">    | cluster          | nodegroup    | zone            |</w:t>
        <w:br/>
        <w:t xml:space="preserve">    | hubble-npd-green | hub-apps-az1 | ap-southeast-2a |</w:t>
        <w:br/>
        <w:t xml:space="preserve">    | hubble-npd-green | hub-apps-az2 | ap-southeast-2b |</w:t>
        <w:br/>
        <w:t xml:space="preserve">    | hubble-npd-green | hub-apps-az3 | ap-southeast-2c |</w:t>
        <w:br/>
        <w:br/>
        <w:t>@L2 @resilience @serial @HUBES-xxxx</w:t>
        <w:br/>
        <w:t>Scenario: Equity snapshot resumes from its flush offset after a pod restart</w:t>
        <w:br/>
        <w:t xml:space="preserve">  Given business date is Day 1</w:t>
        <w:br/>
        <w:t xml:space="preserve">  And the "HubbleEquitySnapshot.PriceSumFlushOffset" value is recorded</w:t>
        <w:br/>
        <w:t xml:space="preserve">  When 500 ASX Trade TOB and trade messages are published for 20 equities</w:t>
        <w:br/>
        <w:t xml:space="preserve">  And the "equity-snapshot" pod is deleted after 250 messages</w:t>
        <w:br/>
        <w:t xml:space="preserve">  And the "equity-snapshot" pod is Ready again</w:t>
        <w:br/>
        <w:t xml:space="preserve">  Then "PriceSumFlushOffset" is greater than the recorded value</w:t>
        <w:br/>
        <w:t xml:space="preserve">  And "EquityPriceSumSnapshot" matches the baseline run with no duplicates</w:t>
        <w:br/>
        <w:br/>
        <w:t>@L3 @resilience @serial @HUBES-xxxx</w:t>
        <w:br/>
        <w:t>Scenario: Blue/green cutover during the trading day does not double-process</w:t>
        <w:br/>
        <w:t xml:space="preserve">  Given Hubble is active on cluster "hubble-npd-blue"</w:t>
        <w:br/>
        <w:t xml:space="preserve">  And intraday ASX Trade flow is running</w:t>
        <w:br/>
        <w:t xml:space="preserve">  When traffic is cut over to cluster "hubble-npd-green"</w:t>
        <w:br/>
        <w:t xml:space="preserve">  Then only "hubble-npd-green" consumer groups are active</w:t>
        <w:br/>
        <w:t xml:space="preserve">  And no Aurora snapshot table has duplicate rows for the same instrument and snapshot time</w:t>
        <w:br/>
        <w:t xml:space="preserve">  And the EOD D01, D04 and E03 match the baseline run</w:t>
      </w:r>
    </w:p>
    <w:p>
      <w:pPr>
        <w:pStyle w:val="Heading1"/>
      </w:pPr>
      <w:r>
        <w:t>11. Test environment and access requirements</w:t>
      </w:r>
    </w:p>
    <w:tbl>
      <w:tblPr>
        <w:tblStyle w:val="TableGrid"/>
        <w:tblW w:type="auto" w:w="0"/>
        <w:tblLook w:firstColumn="1" w:firstRow="1" w:lastColumn="0" w:lastRow="0" w:noHBand="0" w:noVBand="1" w:val="04A0"/>
      </w:tblPr>
      <w:tblGrid>
        <w:gridCol w:w="4675"/>
        <w:gridCol w:w="4675"/>
        <w:gridCol w:w="4675"/>
      </w:tblGrid>
      <w:tr>
        <w:tc>
          <w:tcPr>
            <w:tcW w:type="dxa" w:w="4675"/>
            <w:shd w:val="clear" w:color="auto" w:fill="F4F5F7"/>
          </w:tcPr>
          <w:p>
            <w:r/>
            <w:r>
              <w:rPr>
                <w:b/>
                <w:sz w:val="17"/>
              </w:rPr>
              <w:t>Need</w:t>
            </w:r>
          </w:p>
        </w:tc>
        <w:tc>
          <w:tcPr>
            <w:tcW w:type="dxa" w:w="4675"/>
            <w:shd w:val="clear" w:color="auto" w:fill="F4F5F7"/>
          </w:tcPr>
          <w:p>
            <w:r/>
            <w:r>
              <w:rPr>
                <w:b/>
                <w:sz w:val="17"/>
              </w:rPr>
              <w:t>Detail</w:t>
            </w:r>
          </w:p>
        </w:tc>
        <w:tc>
          <w:tcPr>
            <w:tcW w:type="dxa" w:w="4675"/>
            <w:shd w:val="clear" w:color="auto" w:fill="F4F5F7"/>
          </w:tcPr>
          <w:p>
            <w:r/>
            <w:r>
              <w:rPr>
                <w:b/>
                <w:sz w:val="17"/>
              </w:rPr>
              <w:t>From</w:t>
            </w:r>
          </w:p>
        </w:tc>
      </w:tr>
      <w:tr>
        <w:tc>
          <w:tcPr>
            <w:tcW w:type="dxa" w:w="4675"/>
          </w:tcPr>
          <w:p>
            <w:r/>
            <w:r>
              <w:rPr>
                <w:sz w:val="17"/>
              </w:rPr>
              <w:t>SIT EKS cluster</w:t>
            </w:r>
          </w:p>
        </w:tc>
        <w:tc>
          <w:tcPr>
            <w:tcW w:type="dxa" w:w="4675"/>
          </w:tcPr>
          <w:p>
            <w:r/>
            <w:r>
              <w:rPr>
                <w:sz w:val="17"/>
              </w:rPr>
              <w:t>Dedicated blue/green pair in the SIT account, namespace hubble, same topology as prod-like design</w:t>
            </w:r>
          </w:p>
        </w:tc>
        <w:tc>
          <w:tcPr>
            <w:tcW w:type="dxa" w:w="4675"/>
          </w:tcPr>
          <w:p>
            <w:r/>
            <w:r>
              <w:rPr>
                <w:sz w:val="17"/>
              </w:rPr>
              <w:t>Platform</w:t>
            </w:r>
          </w:p>
        </w:tc>
      </w:tr>
      <w:tr>
        <w:tc>
          <w:tcPr>
            <w:tcW w:type="dxa" w:w="4675"/>
          </w:tcPr>
          <w:p>
            <w:r/>
            <w:r>
              <w:rPr>
                <w:sz w:val="17"/>
              </w:rPr>
              <w:t>kubectl access from the test runner</w:t>
            </w:r>
          </w:p>
        </w:tc>
        <w:tc>
          <w:tcPr>
            <w:tcW w:type="dxa" w:w="4675"/>
          </w:tcPr>
          <w:p>
            <w:r/>
            <w:r>
              <w:rPr>
                <w:sz w:val="17"/>
              </w:rPr>
              <w:t>kubeconfig / IAM role for the SIT cluster; proxy settings as per the AWS EKS Cluster access page (zproxy:8083)</w:t>
            </w:r>
          </w:p>
        </w:tc>
        <w:tc>
          <w:tcPr>
            <w:tcW w:type="dxa" w:w="4675"/>
          </w:tcPr>
          <w:p>
            <w:r/>
            <w:r>
              <w:rPr>
                <w:sz w:val="17"/>
              </w:rPr>
              <w:t>Platform</w:t>
            </w:r>
          </w:p>
        </w:tc>
      </w:tr>
      <w:tr>
        <w:tc>
          <w:tcPr>
            <w:tcW w:type="dxa" w:w="4675"/>
          </w:tcPr>
          <w:p>
            <w:r/>
            <w:r>
              <w:rPr>
                <w:sz w:val="17"/>
              </w:rPr>
              <w:t>Aurora access</w:t>
            </w:r>
          </w:p>
        </w:tc>
        <w:tc>
          <w:tcPr>
            <w:tcW w:type="dxa" w:w="4675"/>
          </w:tcPr>
          <w:p>
            <w:r/>
            <w:r>
              <w:rPr>
                <w:sz w:val="17"/>
              </w:rPr>
              <w:t xml:space="preserve">Cluster writer and reader endpoints; recon user for assertions; </w:t>
            </w:r>
            <w:r>
              <w:rPr>
                <w:b/>
                <w:sz w:val="17"/>
              </w:rPr>
              <w:t>dedicated SIT test user</w:t>
            </w:r>
            <w:r>
              <w:rPr>
                <w:sz w:val="17"/>
              </w:rPr>
              <w:t xml:space="preserve"> with DML on reset tables only (not the deploy user); credentials from AWS Secrets Manager</w:t>
            </w:r>
          </w:p>
        </w:tc>
        <w:tc>
          <w:tcPr>
            <w:tcW w:type="dxa" w:w="4675"/>
          </w:tcPr>
          <w:p>
            <w:r/>
            <w:r>
              <w:rPr>
                <w:sz w:val="17"/>
              </w:rPr>
              <w:t>DBA</w:t>
            </w:r>
          </w:p>
        </w:tc>
      </w:tr>
      <w:tr>
        <w:tc>
          <w:tcPr>
            <w:tcW w:type="dxa" w:w="4675"/>
          </w:tcPr>
          <w:p>
            <w:r/>
            <w:r>
              <w:rPr>
                <w:sz w:val="17"/>
              </w:rPr>
              <w:t>AWS permissions (SIT account only)</w:t>
            </w:r>
          </w:p>
        </w:tc>
        <w:tc>
          <w:tcPr>
            <w:tcW w:type="dxa" w:w="4675"/>
          </w:tcPr>
          <w:p>
            <w:r/>
            <w:r>
              <w:rPr>
                <w:sz w:val="17"/>
              </w:rPr>
              <w:t xml:space="preserve">Aurora </w:t>
            </w:r>
            <w:r>
              <w:rPr>
                <w:rFonts w:ascii="Consolas" w:hAnsi="Consolas"/>
                <w:sz w:val="17"/>
              </w:rPr>
              <w:t>failover-db-cluster</w:t>
            </w:r>
            <w:r>
              <w:rPr>
                <w:sz w:val="17"/>
              </w:rPr>
              <w:t>, node cordon/drain, S3 read/write on the SIT bucket</w:t>
            </w:r>
          </w:p>
        </w:tc>
        <w:tc>
          <w:tcPr>
            <w:tcW w:type="dxa" w:w="4675"/>
          </w:tcPr>
          <w:p>
            <w:r/>
            <w:r>
              <w:rPr>
                <w:sz w:val="17"/>
              </w:rPr>
              <w:t>Platform + Security</w:t>
            </w:r>
          </w:p>
        </w:tc>
      </w:tr>
      <w:tr>
        <w:tc>
          <w:tcPr>
            <w:tcW w:type="dxa" w:w="4675"/>
          </w:tcPr>
          <w:p>
            <w:r/>
            <w:r>
              <w:rPr>
                <w:sz w:val="17"/>
              </w:rPr>
              <w:t>Enterprise Kafka AWS</w:t>
            </w:r>
          </w:p>
        </w:tc>
        <w:tc>
          <w:tcPr>
            <w:tcW w:type="dxa" w:w="4675"/>
          </w:tcPr>
          <w:p>
            <w:r/>
            <w:r>
              <w:rPr>
                <w:sz w:val="17"/>
              </w:rPr>
              <w:t>SIT topics, consumer-group ACLs for the test producer/consumer, schema registry access</w:t>
            </w:r>
          </w:p>
        </w:tc>
        <w:tc>
          <w:tcPr>
            <w:tcW w:type="dxa" w:w="4675"/>
          </w:tcPr>
          <w:p>
            <w:r/>
            <w:r>
              <w:rPr>
                <w:sz w:val="17"/>
              </w:rPr>
              <w:t>Kafka platform</w:t>
            </w:r>
          </w:p>
        </w:tc>
      </w:tr>
      <w:tr>
        <w:tc>
          <w:tcPr>
            <w:tcW w:type="dxa" w:w="4675"/>
          </w:tcPr>
          <w:p>
            <w:r/>
            <w:r>
              <w:rPr>
                <w:sz w:val="17"/>
              </w:rPr>
              <w:t>Network</w:t>
            </w:r>
          </w:p>
        </w:tc>
        <w:tc>
          <w:tcPr>
            <w:tcW w:type="dxa" w:w="4675"/>
          </w:tcPr>
          <w:p>
            <w:r/>
            <w:r>
              <w:rPr>
                <w:sz w:val="17"/>
              </w:rPr>
              <w:t>Test runner → EKS API, Aurora 5432, Kafka 9092/9094, S3, ES, SFTP, EMS; the Hubble flows in section 4.5 opened for SIT</w:t>
            </w:r>
          </w:p>
        </w:tc>
        <w:tc>
          <w:tcPr>
            <w:tcW w:type="dxa" w:w="4675"/>
          </w:tcPr>
          <w:p>
            <w:r/>
            <w:r>
              <w:rPr>
                <w:sz w:val="17"/>
              </w:rPr>
              <w:t>Network</w:t>
            </w:r>
          </w:p>
        </w:tc>
      </w:tr>
      <w:tr>
        <w:tc>
          <w:tcPr>
            <w:tcW w:type="dxa" w:w="4675"/>
          </w:tcPr>
          <w:p>
            <w:r/>
            <w:r>
              <w:rPr>
                <w:sz w:val="17"/>
              </w:rPr>
              <w:t>Simulators</w:t>
            </w:r>
          </w:p>
        </w:tc>
        <w:tc>
          <w:tcPr>
            <w:tcW w:type="dxa" w:w="4675"/>
          </w:tcPr>
          <w:p>
            <w:r/>
            <w:r>
              <w:rPr>
                <w:sz w:val="17"/>
              </w:rPr>
              <w:t>S&amp;P/GRIP, MorningStar, OIIP, DCS/DPS file fixtures, Daytona test endpoints</w:t>
            </w:r>
          </w:p>
        </w:tc>
        <w:tc>
          <w:tcPr>
            <w:tcW w:type="dxa" w:w="4675"/>
          </w:tcPr>
          <w:p>
            <w:r/>
            <w:r>
              <w:rPr>
                <w:sz w:val="17"/>
              </w:rPr>
              <w:t>SIT team</w:t>
            </w:r>
          </w:p>
        </w:tc>
      </w:tr>
      <w:tr>
        <w:tc>
          <w:tcPr>
            <w:tcW w:type="dxa" w:w="4675"/>
          </w:tcPr>
          <w:p>
            <w:r/>
            <w:r>
              <w:rPr>
                <w:sz w:val="17"/>
              </w:rPr>
              <w:t>Test data</w:t>
            </w:r>
          </w:p>
        </w:tc>
        <w:tc>
          <w:tcPr>
            <w:tcW w:type="dxa" w:w="4675"/>
          </w:tcPr>
          <w:p>
            <w:r/>
            <w:r>
              <w:rPr>
                <w:sz w:val="17"/>
              </w:rPr>
              <w:t>Golden datasets per asset class; calendar with a holiday and a half-day; BA-signed expected values</w:t>
            </w:r>
          </w:p>
        </w:tc>
        <w:tc>
          <w:tcPr>
            <w:tcW w:type="dxa" w:w="4675"/>
          </w:tcPr>
          <w:p>
            <w:r/>
            <w:r>
              <w:rPr>
                <w:sz w:val="17"/>
              </w:rPr>
              <w:t>SIT team + BA</w:t>
            </w:r>
          </w:p>
        </w:tc>
      </w:tr>
      <w:tr>
        <w:tc>
          <w:tcPr>
            <w:tcW w:type="dxa" w:w="4675"/>
          </w:tcPr>
          <w:p>
            <w:r/>
            <w:r>
              <w:rPr>
                <w:sz w:val="17"/>
              </w:rPr>
              <w:t>Legacy comparison</w:t>
            </w:r>
          </w:p>
        </w:tc>
        <w:tc>
          <w:tcPr>
            <w:tcW w:type="dxa" w:w="4675"/>
          </w:tcPr>
          <w:p>
            <w:r/>
            <w:r>
              <w:rPr>
                <w:sz w:val="17"/>
              </w:rPr>
              <w:t>Read access to on-prem Hubble outputs and QHUBDB221 for parity (#58, #59)</w:t>
            </w:r>
          </w:p>
        </w:tc>
        <w:tc>
          <w:tcPr>
            <w:tcW w:type="dxa" w:w="4675"/>
          </w:tcPr>
          <w:p>
            <w:r/>
            <w:r>
              <w:rPr>
                <w:sz w:val="17"/>
              </w:rPr>
              <w:t>Legacy Hubble team</w:t>
            </w:r>
          </w:p>
        </w:tc>
      </w:tr>
    </w:tbl>
    <w:p/>
    <w:p>
      <w:pPr>
        <w:pStyle w:val="Heading1"/>
      </w:pPr>
      <w:r>
        <w:t>12. Framework changes (enablers)</w:t>
      </w:r>
    </w:p>
    <w:tbl>
      <w:tblPr>
        <w:tblStyle w:val="TableGrid"/>
        <w:tblW w:type="auto" w:w="0"/>
        <w:tblLook w:firstColumn="1" w:firstRow="1" w:lastColumn="0" w:lastRow="0" w:noHBand="0" w:noVBand="1" w:val="04A0"/>
      </w:tblPr>
      <w:tblGrid>
        <w:gridCol w:w="4675"/>
        <w:gridCol w:w="4675"/>
        <w:gridCol w:w="4675"/>
      </w:tblGrid>
      <w:tr>
        <w:tc>
          <w:tcPr>
            <w:tcW w:type="dxa" w:w="4675"/>
            <w:shd w:val="clear" w:color="auto" w:fill="F4F5F7"/>
          </w:tcPr>
          <w:p>
            <w:r/>
            <w:r>
              <w:rPr>
                <w:b/>
                <w:sz w:val="17"/>
              </w:rPr>
              <w:t>Enabler</w:t>
            </w:r>
          </w:p>
        </w:tc>
        <w:tc>
          <w:tcPr>
            <w:tcW w:type="dxa" w:w="4675"/>
            <w:shd w:val="clear" w:color="auto" w:fill="F4F5F7"/>
          </w:tcPr>
          <w:p>
            <w:r/>
            <w:r>
              <w:rPr>
                <w:b/>
                <w:sz w:val="17"/>
              </w:rPr>
              <w:t>What</w:t>
            </w:r>
          </w:p>
        </w:tc>
        <w:tc>
          <w:tcPr>
            <w:tcW w:type="dxa" w:w="4675"/>
            <w:shd w:val="clear" w:color="auto" w:fill="F4F5F7"/>
          </w:tcPr>
          <w:p>
            <w:r/>
            <w:r>
              <w:rPr>
                <w:b/>
                <w:sz w:val="17"/>
              </w:rPr>
              <w:t>Needed by</w:t>
            </w:r>
          </w:p>
        </w:tc>
      </w:tr>
      <w:tr>
        <w:tc>
          <w:tcPr>
            <w:tcW w:type="dxa" w:w="4675"/>
          </w:tcPr>
          <w:p>
            <w:r/>
            <w:r>
              <w:rPr>
                <w:sz w:val="17"/>
              </w:rPr>
              <w:t>Postgres in DatabaseUtil</w:t>
            </w:r>
          </w:p>
        </w:tc>
        <w:tc>
          <w:tcPr>
            <w:tcW w:type="dxa" w:w="4675"/>
          </w:tcPr>
          <w:p>
            <w:r/>
            <w:r>
              <w:rPr>
                <w:sz w:val="17"/>
              </w:rPr>
              <w:t>Add PostgreSQL JDBC driver; per-service DB config on the Aurora cluster endpoint; keep MSSQL for legacy parity</w:t>
            </w:r>
          </w:p>
        </w:tc>
        <w:tc>
          <w:tcPr>
            <w:tcW w:type="dxa" w:w="4675"/>
          </w:tcPr>
          <w:p>
            <w:r/>
            <w:r>
              <w:rPr>
                <w:sz w:val="17"/>
              </w:rPr>
              <w:t>#7, #8, #21–#29, #54, #55</w:t>
            </w:r>
          </w:p>
        </w:tc>
      </w:tr>
      <w:tr>
        <w:tc>
          <w:tcPr>
            <w:tcW w:type="dxa" w:w="4675"/>
          </w:tcPr>
          <w:p>
            <w:r/>
            <w:r>
              <w:rPr>
                <w:sz w:val="17"/>
              </w:rPr>
              <w:t>Cluster validation integration</w:t>
            </w:r>
          </w:p>
        </w:tc>
        <w:tc>
          <w:tcPr>
            <w:tcW w:type="dxa" w:w="4675"/>
          </w:tcPr>
          <w:p>
            <w:r/>
            <w:r>
              <w:rPr>
                <w:sz w:val="17"/>
              </w:rPr>
              <w:t>Wrap the reused script as a Cucumber step and G1 gate; expected-values file per environment; attach the report</w:t>
            </w:r>
          </w:p>
        </w:tc>
        <w:tc>
          <w:tcPr>
            <w:tcW w:type="dxa" w:w="4675"/>
          </w:tcPr>
          <w:p>
            <w:r/>
            <w:r>
              <w:rPr>
                <w:sz w:val="17"/>
              </w:rPr>
              <w:t>#5, #6, #37</w:t>
            </w:r>
          </w:p>
        </w:tc>
      </w:tr>
      <w:tr>
        <w:tc>
          <w:tcPr>
            <w:tcW w:type="dxa" w:w="4675"/>
          </w:tcPr>
          <w:p>
            <w:r/>
            <w:r>
              <w:rPr>
                <w:sz w:val="17"/>
              </w:rPr>
              <w:t>KubeSteps for EKS</w:t>
            </w:r>
          </w:p>
        </w:tc>
        <w:tc>
          <w:tcPr>
            <w:tcW w:type="dxa" w:w="4675"/>
          </w:tcPr>
          <w:p>
            <w:r/>
            <w:r>
              <w:rPr>
                <w:sz w:val="17"/>
              </w:rPr>
              <w:t>Pod delete, node cordon/drain, rollout restart, image/arch check, blue/green consumer check</w:t>
            </w:r>
          </w:p>
        </w:tc>
        <w:tc>
          <w:tcPr>
            <w:tcW w:type="dxa" w:w="4675"/>
          </w:tcPr>
          <w:p>
            <w:r/>
            <w:r>
              <w:rPr>
                <w:sz w:val="17"/>
              </w:rPr>
              <w:t>#32, #33, #37, #57</w:t>
            </w:r>
          </w:p>
        </w:tc>
      </w:tr>
      <w:tr>
        <w:tc>
          <w:tcPr>
            <w:tcW w:type="dxa" w:w="4675"/>
          </w:tcPr>
          <w:p>
            <w:r/>
            <w:r>
              <w:rPr>
                <w:sz w:val="17"/>
              </w:rPr>
              <w:t>AWS SDK steps</w:t>
            </w:r>
          </w:p>
        </w:tc>
        <w:tc>
          <w:tcPr>
            <w:tcW w:type="dxa" w:w="4675"/>
          </w:tcPr>
          <w:p>
            <w:r/>
            <w:r>
              <w:rPr>
                <w:sz w:val="17"/>
              </w:rPr>
              <w:t>Aurora failover, Pod Identity checks, S3 via role</w:t>
            </w:r>
          </w:p>
        </w:tc>
        <w:tc>
          <w:tcPr>
            <w:tcW w:type="dxa" w:w="4675"/>
          </w:tcPr>
          <w:p>
            <w:r/>
            <w:r>
              <w:rPr>
                <w:sz w:val="17"/>
              </w:rPr>
              <w:t>#11, #34</w:t>
            </w:r>
          </w:p>
        </w:tc>
      </w:tr>
      <w:tr>
        <w:tc>
          <w:tcPr>
            <w:tcW w:type="dxa" w:w="4675"/>
          </w:tcPr>
          <w:p>
            <w:r/>
            <w:r>
              <w:rPr>
                <w:sz w:val="17"/>
              </w:rPr>
              <w:t>Network and TLS probes</w:t>
            </w:r>
          </w:p>
        </w:tc>
        <w:tc>
          <w:tcPr>
            <w:tcW w:type="dxa" w:w="4675"/>
          </w:tcPr>
          <w:p>
            <w:r/>
            <w:r>
              <w:rPr>
                <w:sz w:val="17"/>
              </w:rPr>
              <w:t>Port reachability from inside a pod (ephemeral debug pod); TLS SAN and expiry check</w:t>
            </w:r>
          </w:p>
        </w:tc>
        <w:tc>
          <w:tcPr>
            <w:tcW w:type="dxa" w:w="4675"/>
          </w:tcPr>
          <w:p>
            <w:r/>
            <w:r>
              <w:rPr>
                <w:sz w:val="17"/>
              </w:rPr>
              <w:t>#9, #10</w:t>
            </w:r>
          </w:p>
        </w:tc>
      </w:tr>
      <w:tr>
        <w:tc>
          <w:tcPr>
            <w:tcW w:type="dxa" w:w="4675"/>
          </w:tcPr>
          <w:p>
            <w:r/>
            <w:r>
              <w:rPr>
                <w:sz w:val="17"/>
              </w:rPr>
              <w:t>Business-date control</w:t>
            </w:r>
          </w:p>
        </w:tc>
        <w:tc>
          <w:tcPr>
            <w:tcW w:type="dxa" w:w="4675"/>
          </w:tcPr>
          <w:p>
            <w:r/>
            <w:r>
              <w:rPr>
                <w:sz w:val="17"/>
              </w:rPr>
              <w:t xml:space="preserve">Reusable </w:t>
            </w:r>
            <w:r>
              <w:rPr>
                <w:rFonts w:ascii="Consolas" w:hAnsi="Consolas"/>
                <w:sz w:val="17"/>
              </w:rPr>
              <w:t>Given business date is Day N</w:t>
            </w:r>
            <w:r>
              <w:rPr>
                <w:sz w:val="17"/>
              </w:rPr>
              <w:t xml:space="preserve"> step (calendar + metadata + scheduler)</w:t>
            </w:r>
          </w:p>
        </w:tc>
        <w:tc>
          <w:tcPr>
            <w:tcW w:type="dxa" w:w="4675"/>
          </w:tcPr>
          <w:p>
            <w:r/>
            <w:r>
              <w:rPr>
                <w:sz w:val="17"/>
              </w:rPr>
              <w:t>#16, #30, multi-day</w:t>
            </w:r>
          </w:p>
        </w:tc>
      </w:tr>
      <w:tr>
        <w:tc>
          <w:tcPr>
            <w:tcW w:type="dxa" w:w="4675"/>
          </w:tcPr>
          <w:p>
            <w:r/>
            <w:r>
              <w:rPr>
                <w:sz w:val="17"/>
              </w:rPr>
              <w:t>Scheduler override steps</w:t>
            </w:r>
          </w:p>
        </w:tc>
        <w:tc>
          <w:tcPr>
            <w:tcW w:type="dxa" w:w="4675"/>
          </w:tcPr>
          <w:p>
            <w:r/>
            <w:r>
              <w:rPr>
                <w:sz w:val="17"/>
              </w:rPr>
              <w:t>Write ScheduleOverride / ReportScheduleOverride instead of wall-clock waits</w:t>
            </w:r>
          </w:p>
        </w:tc>
        <w:tc>
          <w:tcPr>
            <w:tcW w:type="dxa" w:w="4675"/>
          </w:tcPr>
          <w:p>
            <w:r/>
            <w:r>
              <w:rPr>
                <w:sz w:val="17"/>
              </w:rPr>
              <w:t>#31, #46, manual → CI</w:t>
            </w:r>
          </w:p>
        </w:tc>
      </w:tr>
      <w:tr>
        <w:tc>
          <w:tcPr>
            <w:tcW w:type="dxa" w:w="4675"/>
          </w:tcPr>
          <w:p>
            <w:r/>
            <w:r>
              <w:rPr>
                <w:sz w:val="17"/>
              </w:rPr>
              <w:t>File injection</w:t>
            </w:r>
          </w:p>
        </w:tc>
        <w:tc>
          <w:tcPr>
            <w:tcW w:type="dxa" w:w="4675"/>
          </w:tcPr>
          <w:p>
            <w:r/>
            <w:r>
              <w:rPr>
                <w:sz w:val="17"/>
              </w:rPr>
              <w:t>Upload fixtures to S3/SFTP and await ingestion</w:t>
            </w:r>
          </w:p>
        </w:tc>
        <w:tc>
          <w:tcPr>
            <w:tcW w:type="dxa" w:w="4675"/>
          </w:tcPr>
          <w:p>
            <w:r/>
            <w:r>
              <w:rPr>
                <w:sz w:val="17"/>
              </w:rPr>
              <w:t>#3, #15</w:t>
            </w:r>
          </w:p>
        </w:tc>
      </w:tr>
      <w:tr>
        <w:tc>
          <w:tcPr>
            <w:tcW w:type="dxa" w:w="4675"/>
          </w:tcPr>
          <w:p>
            <w:r/>
            <w:r>
              <w:rPr>
                <w:sz w:val="17"/>
              </w:rPr>
              <w:t>Golden-file and DB-to-report diff</w:t>
            </w:r>
          </w:p>
        </w:tc>
        <w:tc>
          <w:tcPr>
            <w:tcW w:type="dxa" w:w="4675"/>
          </w:tcPr>
          <w:p>
            <w:r/>
            <w:r>
              <w:rPr>
                <w:sz w:val="17"/>
              </w:rPr>
              <w:t>Field-level XML/CSV diff; product-vs-snapshot comparison</w:t>
            </w:r>
          </w:p>
        </w:tc>
        <w:tc>
          <w:tcPr>
            <w:tcW w:type="dxa" w:w="4675"/>
          </w:tcPr>
          <w:p>
            <w:r/>
            <w:r>
              <w:rPr>
                <w:sz w:val="17"/>
              </w:rPr>
              <w:t>#40–#45, #54, #58</w:t>
            </w:r>
          </w:p>
        </w:tc>
      </w:tr>
      <w:tr>
        <w:tc>
          <w:tcPr>
            <w:tcW w:type="dxa" w:w="4675"/>
          </w:tcPr>
          <w:p>
            <w:r/>
            <w:r>
              <w:rPr>
                <w:sz w:val="17"/>
              </w:rPr>
              <w:t>RTM and tag lint</w:t>
            </w:r>
          </w:p>
        </w:tc>
        <w:tc>
          <w:tcPr>
            <w:tcW w:type="dxa" w:w="4675"/>
          </w:tcPr>
          <w:p>
            <w:r/>
            <w:r>
              <w:rPr>
                <w:sz w:val="17"/>
              </w:rPr>
              <w:t>RTM from Cucumber JSON; CI fails a Scenario without @L1/@L2/@L3 and @HUBES tags</w:t>
            </w:r>
          </w:p>
        </w:tc>
        <w:tc>
          <w:tcPr>
            <w:tcW w:type="dxa" w:w="4675"/>
          </w:tcPr>
          <w:p>
            <w:r/>
            <w:r>
              <w:rPr>
                <w:sz w:val="17"/>
              </w:rPr>
              <w:t>G2, G4</w:t>
            </w:r>
          </w:p>
        </w:tc>
      </w:tr>
    </w:tbl>
    <w:p/>
    <w:p>
      <w:pPr>
        <w:pStyle w:val="Heading1"/>
      </w:pPr>
      <w:r>
        <w:t>13. Execution model and tags</w:t>
      </w:r>
    </w:p>
    <w:tbl>
      <w:tblPr>
        <w:tblStyle w:val="TableGrid"/>
        <w:tblW w:type="auto" w:w="0"/>
        <w:tblLook w:firstColumn="1" w:firstRow="1" w:lastColumn="0" w:lastRow="0" w:noHBand="0" w:noVBand="1" w:val="04A0"/>
      </w:tblPr>
      <w:tblGrid>
        <w:gridCol w:w="3506"/>
        <w:gridCol w:w="3506"/>
        <w:gridCol w:w="3506"/>
        <w:gridCol w:w="3506"/>
      </w:tblGrid>
      <w:tr>
        <w:tc>
          <w:tcPr>
            <w:tcW w:type="dxa" w:w="3506"/>
            <w:shd w:val="clear" w:color="auto" w:fill="F4F5F7"/>
          </w:tcPr>
          <w:p>
            <w:r/>
            <w:r>
              <w:rPr>
                <w:b/>
                <w:sz w:val="17"/>
              </w:rPr>
              <w:t>Pack</w:t>
            </w:r>
          </w:p>
        </w:tc>
        <w:tc>
          <w:tcPr>
            <w:tcW w:type="dxa" w:w="3506"/>
            <w:shd w:val="clear" w:color="auto" w:fill="F4F5F7"/>
          </w:tcPr>
          <w:p>
            <w:r/>
            <w:r>
              <w:rPr>
                <w:b/>
                <w:sz w:val="17"/>
              </w:rPr>
              <w:t>Tag expression</w:t>
            </w:r>
          </w:p>
        </w:tc>
        <w:tc>
          <w:tcPr>
            <w:tcW w:type="dxa" w:w="3506"/>
            <w:shd w:val="clear" w:color="auto" w:fill="F4F5F7"/>
          </w:tcPr>
          <w:p>
            <w:r/>
            <w:r>
              <w:rPr>
                <w:b/>
                <w:sz w:val="17"/>
              </w:rPr>
              <w:t>When</w:t>
            </w:r>
          </w:p>
        </w:tc>
        <w:tc>
          <w:tcPr>
            <w:tcW w:type="dxa" w:w="3506"/>
            <w:shd w:val="clear" w:color="auto" w:fill="F4F5F7"/>
          </w:tcPr>
          <w:p>
            <w:r/>
            <w:r>
              <w:rPr>
                <w:b/>
                <w:sz w:val="17"/>
              </w:rPr>
              <w:t>Budget</w:t>
            </w:r>
          </w:p>
        </w:tc>
      </w:tr>
      <w:tr>
        <w:tc>
          <w:tcPr>
            <w:tcW w:type="dxa" w:w="3506"/>
          </w:tcPr>
          <w:p>
            <w:r/>
            <w:r>
              <w:rPr>
                <w:sz w:val="17"/>
              </w:rPr>
              <w:t>Platform gate</w:t>
            </w:r>
          </w:p>
        </w:tc>
        <w:tc>
          <w:tcPr>
            <w:tcW w:type="dxa" w:w="3506"/>
          </w:tcPr>
          <w:p>
            <w:r/>
            <w:r>
              <w:rPr>
                <w:rFonts w:ascii="Consolas" w:hAnsi="Consolas"/>
                <w:sz w:val="17"/>
              </w:rPr>
              <w:t>@L1 and @platform</w:t>
            </w:r>
            <w:r>
              <w:rPr>
                <w:sz w:val="17"/>
              </w:rPr>
              <w:t xml:space="preserve"> (cluster validation, Aurora roles/schema, network, TLS)</w:t>
            </w:r>
          </w:p>
        </w:tc>
        <w:tc>
          <w:tcPr>
            <w:tcW w:type="dxa" w:w="3506"/>
          </w:tcPr>
          <w:p>
            <w:r/>
            <w:r>
              <w:rPr>
                <w:sz w:val="17"/>
              </w:rPr>
              <w:t>Every deploy (G1)</w:t>
            </w:r>
          </w:p>
        </w:tc>
        <w:tc>
          <w:tcPr>
            <w:tcW w:type="dxa" w:w="3506"/>
          </w:tcPr>
          <w:p>
            <w:r/>
            <w:r>
              <w:rPr>
                <w:sz w:val="17"/>
              </w:rPr>
              <w:t>≤ 10 min</w:t>
            </w:r>
          </w:p>
        </w:tc>
      </w:tr>
      <w:tr>
        <w:tc>
          <w:tcPr>
            <w:tcW w:type="dxa" w:w="3506"/>
          </w:tcPr>
          <w:p>
            <w:r/>
            <w:r>
              <w:rPr>
                <w:sz w:val="17"/>
              </w:rPr>
              <w:t>Smoke</w:t>
            </w:r>
          </w:p>
        </w:tc>
        <w:tc>
          <w:tcPr>
            <w:tcW w:type="dxa" w:w="3506"/>
          </w:tcPr>
          <w:p>
            <w:r/>
            <w:r>
              <w:rPr>
                <w:rFonts w:ascii="Consolas" w:hAnsi="Consolas"/>
                <w:sz w:val="17"/>
              </w:rPr>
              <w:t>@smoke</w:t>
            </w:r>
          </w:p>
        </w:tc>
        <w:tc>
          <w:tcPr>
            <w:tcW w:type="dxa" w:w="3506"/>
          </w:tcPr>
          <w:p>
            <w:r/>
            <w:r>
              <w:rPr>
                <w:sz w:val="17"/>
              </w:rPr>
              <w:t>Every deploy (G1)</w:t>
            </w:r>
          </w:p>
        </w:tc>
        <w:tc>
          <w:tcPr>
            <w:tcW w:type="dxa" w:w="3506"/>
          </w:tcPr>
          <w:p>
            <w:r/>
            <w:r>
              <w:rPr>
                <w:sz w:val="17"/>
              </w:rPr>
              <w:t>≤ 20 min</w:t>
            </w:r>
          </w:p>
        </w:tc>
      </w:tr>
      <w:tr>
        <w:tc>
          <w:tcPr>
            <w:tcW w:type="dxa" w:w="3506"/>
          </w:tcPr>
          <w:p>
            <w:r/>
            <w:r>
              <w:rPr>
                <w:sz w:val="17"/>
              </w:rPr>
              <w:t>Regression</w:t>
            </w:r>
          </w:p>
        </w:tc>
        <w:tc>
          <w:tcPr>
            <w:tcW w:type="dxa" w:w="3506"/>
          </w:tcPr>
          <w:p>
            <w:r/>
            <w:r>
              <w:rPr>
                <w:rFonts w:ascii="Consolas" w:hAnsi="Consolas"/>
                <w:sz w:val="17"/>
              </w:rPr>
              <w:t>not @manual and not @multiday and not @resilience</w:t>
            </w:r>
          </w:p>
        </w:tc>
        <w:tc>
          <w:tcPr>
            <w:tcW w:type="dxa" w:w="3506"/>
          </w:tcPr>
          <w:p>
            <w:r/>
            <w:r>
              <w:rPr>
                <w:sz w:val="17"/>
              </w:rPr>
              <w:t>Nightly (G3)</w:t>
            </w:r>
          </w:p>
        </w:tc>
        <w:tc>
          <w:tcPr>
            <w:tcW w:type="dxa" w:w="3506"/>
          </w:tcPr>
          <w:p>
            <w:r/>
            <w:r>
              <w:rPr>
                <w:sz w:val="17"/>
              </w:rPr>
              <w:t>≤ 3 h</w:t>
            </w:r>
          </w:p>
        </w:tc>
      </w:tr>
      <w:tr>
        <w:tc>
          <w:tcPr>
            <w:tcW w:type="dxa" w:w="3506"/>
          </w:tcPr>
          <w:p>
            <w:r/>
            <w:r>
              <w:rPr>
                <w:sz w:val="17"/>
              </w:rPr>
              <w:t>Multi-day</w:t>
            </w:r>
          </w:p>
        </w:tc>
        <w:tc>
          <w:tcPr>
            <w:tcW w:type="dxa" w:w="3506"/>
          </w:tcPr>
          <w:p>
            <w:r/>
            <w:r>
              <w:rPr>
                <w:rFonts w:ascii="Consolas" w:hAnsi="Consolas"/>
                <w:sz w:val="17"/>
              </w:rPr>
              <w:t>@multiday</w:t>
            </w:r>
          </w:p>
        </w:tc>
        <w:tc>
          <w:tcPr>
            <w:tcW w:type="dxa" w:w="3506"/>
          </w:tcPr>
          <w:p>
            <w:r/>
            <w:r>
              <w:rPr>
                <w:sz w:val="17"/>
              </w:rPr>
              <w:t>Scheduled chain, twice weekly</w:t>
            </w:r>
          </w:p>
        </w:tc>
        <w:tc>
          <w:tcPr>
            <w:tcW w:type="dxa" w:w="3506"/>
          </w:tcPr>
          <w:p>
            <w:r/>
            <w:r>
              <w:rPr>
                <w:sz w:val="17"/>
              </w:rPr>
              <w:t>Overnight</w:t>
            </w:r>
          </w:p>
        </w:tc>
      </w:tr>
      <w:tr>
        <w:tc>
          <w:tcPr>
            <w:tcW w:type="dxa" w:w="3506"/>
          </w:tcPr>
          <w:p>
            <w:r/>
            <w:r>
              <w:rPr>
                <w:sz w:val="17"/>
              </w:rPr>
              <w:t>Resilience</w:t>
            </w:r>
          </w:p>
        </w:tc>
        <w:tc>
          <w:tcPr>
            <w:tcW w:type="dxa" w:w="3506"/>
          </w:tcPr>
          <w:p>
            <w:r/>
            <w:r>
              <w:rPr>
                <w:rFonts w:ascii="Consolas" w:hAnsi="Consolas"/>
                <w:sz w:val="17"/>
              </w:rPr>
              <w:t>@resilience</w:t>
            </w:r>
            <w:r>
              <w:rPr>
                <w:sz w:val="17"/>
              </w:rPr>
              <w:t xml:space="preserve"> (pod, node, rollout, Aurora failover, blue/green)</w:t>
            </w:r>
          </w:p>
        </w:tc>
        <w:tc>
          <w:tcPr>
            <w:tcW w:type="dxa" w:w="3506"/>
          </w:tcPr>
          <w:p>
            <w:r/>
            <w:r>
              <w:rPr>
                <w:sz w:val="17"/>
              </w:rPr>
              <w:t>Weekly and before release</w:t>
            </w:r>
          </w:p>
        </w:tc>
        <w:tc>
          <w:tcPr>
            <w:tcW w:type="dxa" w:w="3506"/>
          </w:tcPr>
          <w:p>
            <w:r/>
            <w:r>
              <w:rPr>
                <w:sz w:val="17"/>
              </w:rPr>
              <w:t>≤ 2 h</w:t>
            </w:r>
          </w:p>
        </w:tc>
      </w:tr>
      <w:tr>
        <w:tc>
          <w:tcPr>
            <w:tcW w:type="dxa" w:w="3506"/>
          </w:tcPr>
          <w:p>
            <w:r/>
            <w:r>
              <w:rPr>
                <w:sz w:val="17"/>
              </w:rPr>
              <w:t>Migration parity</w:t>
            </w:r>
          </w:p>
        </w:tc>
        <w:tc>
          <w:tcPr>
            <w:tcW w:type="dxa" w:w="3506"/>
          </w:tcPr>
          <w:p>
            <w:r/>
            <w:r>
              <w:rPr>
                <w:rFonts w:ascii="Consolas" w:hAnsi="Consolas"/>
                <w:sz w:val="17"/>
              </w:rPr>
              <w:t>@parity</w:t>
            </w:r>
          </w:p>
        </w:tc>
        <w:tc>
          <w:tcPr>
            <w:tcW w:type="dxa" w:w="3506"/>
          </w:tcPr>
          <w:p>
            <w:r/>
            <w:r>
              <w:rPr>
                <w:sz w:val="17"/>
              </w:rPr>
              <w:t>Each migration rehearsal and before cutover</w:t>
            </w:r>
          </w:p>
        </w:tc>
        <w:tc>
          <w:tcPr>
            <w:tcW w:type="dxa" w:w="3506"/>
          </w:tcPr>
          <w:p>
            <w:r/>
            <w:r>
              <w:rPr>
                <w:sz w:val="17"/>
              </w:rPr>
              <w:t>Per run</w:t>
            </w:r>
          </w:p>
        </w:tc>
      </w:tr>
      <w:tr>
        <w:tc>
          <w:tcPr>
            <w:tcW w:type="dxa" w:w="3506"/>
          </w:tcPr>
          <w:p>
            <w:r/>
            <w:r>
              <w:rPr>
                <w:sz w:val="17"/>
              </w:rPr>
              <w:t>Signal B</w:t>
            </w:r>
          </w:p>
        </w:tc>
        <w:tc>
          <w:tcPr>
            <w:tcW w:type="dxa" w:w="3506"/>
          </w:tcPr>
          <w:p>
            <w:r/>
            <w:r>
              <w:rPr>
                <w:rFonts w:ascii="Consolas" w:hAnsi="Consolas"/>
                <w:sz w:val="17"/>
              </w:rPr>
              <w:t>@signalb and not @manual</w:t>
            </w:r>
            <w:r>
              <w:rPr>
                <w:sz w:val="17"/>
              </w:rPr>
              <w:t xml:space="preserve"> (includes E2E)</w:t>
            </w:r>
          </w:p>
        </w:tc>
        <w:tc>
          <w:tcPr>
            <w:tcW w:type="dxa" w:w="3506"/>
          </w:tcPr>
          <w:p>
            <w:r/>
            <w:r>
              <w:rPr>
                <w:sz w:val="17"/>
              </w:rPr>
              <w:t>Nightly with regression</w:t>
            </w:r>
          </w:p>
        </w:tc>
        <w:tc>
          <w:tcPr>
            <w:tcW w:type="dxa" w:w="3506"/>
          </w:tcPr>
          <w:p>
            <w:r/>
            <w:r>
              <w:rPr>
                <w:sz w:val="17"/>
              </w:rPr>
              <w:t>≤ 45 min</w:t>
            </w:r>
          </w:p>
        </w:tc>
      </w:tr>
      <w:tr>
        <w:tc>
          <w:tcPr>
            <w:tcW w:type="dxa" w:w="3506"/>
          </w:tcPr>
          <w:p>
            <w:r/>
            <w:r>
              <w:rPr>
                <w:sz w:val="17"/>
              </w:rPr>
              <w:t>HUBDAM archive</w:t>
            </w:r>
          </w:p>
        </w:tc>
        <w:tc>
          <w:tcPr>
            <w:tcW w:type="dxa" w:w="3506"/>
          </w:tcPr>
          <w:p>
            <w:r/>
            <w:r>
              <w:rPr>
                <w:rFonts w:ascii="Consolas" w:hAnsi="Consolas"/>
                <w:sz w:val="17"/>
              </w:rPr>
              <w:t>@hubdam-data-archive and not @performance</w:t>
            </w:r>
          </w:p>
        </w:tc>
        <w:tc>
          <w:tcPr>
            <w:tcW w:type="dxa" w:w="3506"/>
          </w:tcPr>
          <w:p>
            <w:r/>
            <w:r>
              <w:rPr>
                <w:sz w:val="17"/>
              </w:rPr>
              <w:t>Nightly, separate lane</w:t>
            </w:r>
          </w:p>
        </w:tc>
        <w:tc>
          <w:tcPr>
            <w:tcW w:type="dxa" w:w="3506"/>
          </w:tcPr>
          <w:p>
            <w:r/>
            <w:r>
              <w:rPr>
                <w:sz w:val="17"/>
              </w:rPr>
              <w:t>≤ 1 h</w:t>
            </w:r>
          </w:p>
        </w:tc>
      </w:tr>
    </w:tbl>
    <w:p/>
    <w:p>
      <w:r>
        <w:t xml:space="preserve">Mandatory tags on every Scenario: </w:t>
      </w:r>
      <w:r>
        <w:rPr>
          <w:rFonts w:ascii="Consolas" w:hAnsi="Consolas"/>
          <w:sz w:val="17"/>
        </w:rPr>
        <w:t>@L1|@L2|@L3</w:t>
      </w:r>
      <w:r>
        <w:t xml:space="preserve">, </w:t>
      </w:r>
      <w:r>
        <w:rPr>
          <w:rFonts w:ascii="Consolas" w:hAnsi="Consolas"/>
          <w:sz w:val="17"/>
        </w:rPr>
        <w:t>@HUBES-nnn</w:t>
      </w:r>
      <w:r>
        <w:t xml:space="preserve">, </w:t>
      </w:r>
      <w:r>
        <w:rPr>
          <w:rFonts w:ascii="Consolas" w:hAnsi="Consolas"/>
          <w:sz w:val="17"/>
        </w:rPr>
        <w:t>@p1|@p2|@p3</w:t>
      </w:r>
      <w:r>
        <w:t xml:space="preserve">. Stateful or destructive scenarios also carry </w:t>
      </w:r>
      <w:r>
        <w:rPr>
          <w:rFonts w:ascii="Consolas" w:hAnsi="Consolas"/>
          <w:sz w:val="17"/>
        </w:rPr>
        <w:t>@serial</w:t>
      </w:r>
      <w:r>
        <w:t>.</w:t>
      </w:r>
    </w:p>
    <w:p>
      <w:pPr>
        <w:pStyle w:val="Heading1"/>
      </w:pPr>
      <w:r>
        <w:t>14. Entry and exit criteria</w:t>
      </w:r>
    </w:p>
    <w:p>
      <w:r>
        <w:rPr>
          <w:b/>
        </w:rPr>
        <w:t>Entry</w:t>
      </w:r>
    </w:p>
    <w:p>
      <w:pPr>
        <w:pStyle w:val="ListBullet"/>
      </w:pPr>
      <w:r>
        <w:t>Build deployed to SIT; image versions recorded; SLFT green for every changed service</w:t>
      </w:r>
    </w:p>
    <w:p>
      <w:pPr>
        <w:pStyle w:val="ListBullet"/>
      </w:pPr>
      <w:r>
        <w:t>EKS cluster validation, Aurora role and schema checks, and L1 pack green</w:t>
      </w:r>
    </w:p>
    <w:p>
      <w:pPr>
        <w:pStyle w:val="ListBullet"/>
      </w:pPr>
      <w:r>
        <w:t>Test data, simulators and BA-signed expected values available</w:t>
      </w:r>
    </w:p>
    <w:p>
      <w:r>
        <w:rPr>
          <w:b/>
        </w:rPr>
        <w:t>Exit</w:t>
      </w:r>
    </w:p>
    <w:p>
      <w:pPr>
        <w:pStyle w:val="ListBullet"/>
      </w:pPr>
      <w:r>
        <w:t>100% of P1 features executed; ≥ 95% passing; no open Sev 1/2</w:t>
      </w:r>
    </w:p>
    <w:p>
      <w:pPr>
        <w:pStyle w:val="ListBullet"/>
      </w:pPr>
      <w:r>
        <w:t>Resilience pack, blue/green cutover and migration parity passed, or signed waiver</w:t>
      </w:r>
    </w:p>
    <w:p>
      <w:pPr>
        <w:pStyle w:val="ListBullet"/>
      </w:pPr>
      <w:r>
        <w:t>Horizontal recon clean for every product</w:t>
      </w:r>
    </w:p>
    <w:p>
      <w:pPr>
        <w:pStyle w:val="ListBullet"/>
      </w:pPr>
      <w:r>
        <w:t>RTM published with SLFT + SIT evidence; SPT/OAT evidence linked for out-of-scope items</w:t>
      </w:r>
    </w:p>
    <w:p>
      <w:pPr>
        <w:pStyle w:val="Heading1"/>
      </w:pPr>
      <w:r>
        <w:t>15. Defect management</w:t>
      </w:r>
    </w:p>
    <w:tbl>
      <w:tblPr>
        <w:tblStyle w:val="TableGrid"/>
        <w:tblW w:type="auto" w:w="0"/>
        <w:tblLook w:firstColumn="1" w:firstRow="1" w:lastColumn="0" w:lastRow="0" w:noHBand="0" w:noVBand="1" w:val="04A0"/>
      </w:tblPr>
      <w:tblGrid>
        <w:gridCol w:w="4675"/>
        <w:gridCol w:w="4675"/>
        <w:gridCol w:w="4675"/>
      </w:tblGrid>
      <w:tr>
        <w:tc>
          <w:tcPr>
            <w:tcW w:type="dxa" w:w="4675"/>
            <w:shd w:val="clear" w:color="auto" w:fill="F4F5F7"/>
          </w:tcPr>
          <w:p>
            <w:r/>
            <w:r>
              <w:rPr>
                <w:b/>
                <w:sz w:val="17"/>
              </w:rPr>
              <w:t>Severity</w:t>
            </w:r>
          </w:p>
        </w:tc>
        <w:tc>
          <w:tcPr>
            <w:tcW w:type="dxa" w:w="4675"/>
            <w:shd w:val="clear" w:color="auto" w:fill="F4F5F7"/>
          </w:tcPr>
          <w:p>
            <w:r/>
            <w:r>
              <w:rPr>
                <w:b/>
                <w:sz w:val="17"/>
              </w:rPr>
              <w:t>Definition (SIT)</w:t>
            </w:r>
          </w:p>
        </w:tc>
        <w:tc>
          <w:tcPr>
            <w:tcW w:type="dxa" w:w="4675"/>
            <w:shd w:val="clear" w:color="auto" w:fill="F4F5F7"/>
          </w:tcPr>
          <w:p>
            <w:r/>
            <w:r>
              <w:rPr>
                <w:b/>
                <w:sz w:val="17"/>
              </w:rPr>
              <w:t>Example</w:t>
            </w:r>
          </w:p>
        </w:tc>
      </w:tr>
      <w:tr>
        <w:tc>
          <w:tcPr>
            <w:tcW w:type="dxa" w:w="4675"/>
          </w:tcPr>
          <w:p>
            <w:r/>
            <w:r>
              <w:rPr>
                <w:sz w:val="17"/>
              </w:rPr>
              <w:t>Sev 1</w:t>
            </w:r>
          </w:p>
        </w:tc>
        <w:tc>
          <w:tcPr>
            <w:tcW w:type="dxa" w:w="4675"/>
          </w:tcPr>
          <w:p>
            <w:r/>
            <w:r>
              <w:rPr>
                <w:sz w:val="17"/>
              </w:rPr>
              <w:t>Wrong or missing published product, data loss or duplication, platform unusable</w:t>
            </w:r>
          </w:p>
        </w:tc>
        <w:tc>
          <w:tcPr>
            <w:tcW w:type="dxa" w:w="4675"/>
          </w:tcPr>
          <w:p>
            <w:r/>
            <w:r>
              <w:rPr>
                <w:sz w:val="17"/>
              </w:rPr>
              <w:t>D01 missing instruments; duplicates after pod restart</w:t>
            </w:r>
          </w:p>
        </w:tc>
      </w:tr>
      <w:tr>
        <w:tc>
          <w:tcPr>
            <w:tcW w:type="dxa" w:w="4675"/>
          </w:tcPr>
          <w:p>
            <w:r/>
            <w:r>
              <w:rPr>
                <w:sz w:val="17"/>
              </w:rPr>
              <w:t>Sev 2</w:t>
            </w:r>
          </w:p>
        </w:tc>
        <w:tc>
          <w:tcPr>
            <w:tcW w:type="dxa" w:w="4675"/>
          </w:tcPr>
          <w:p>
            <w:r/>
            <w:r>
              <w:rPr>
                <w:sz w:val="17"/>
              </w:rPr>
              <w:t>Integration failure with a workaround, or a failed resilience or security control</w:t>
            </w:r>
          </w:p>
        </w:tc>
        <w:tc>
          <w:tcPr>
            <w:tcW w:type="dxa" w:w="4675"/>
          </w:tcPr>
          <w:p>
            <w:r/>
            <w:r>
              <w:rPr>
                <w:sz w:val="17"/>
              </w:rPr>
              <w:t>Service connects as the deploy user; Warning events on start</w:t>
            </w:r>
          </w:p>
        </w:tc>
      </w:tr>
      <w:tr>
        <w:tc>
          <w:tcPr>
            <w:tcW w:type="dxa" w:w="4675"/>
          </w:tcPr>
          <w:p>
            <w:r/>
            <w:r>
              <w:rPr>
                <w:sz w:val="17"/>
              </w:rPr>
              <w:t>Sev 3</w:t>
            </w:r>
          </w:p>
        </w:tc>
        <w:tc>
          <w:tcPr>
            <w:tcW w:type="dxa" w:w="4675"/>
          </w:tcPr>
          <w:p>
            <w:r/>
            <w:r>
              <w:rPr>
                <w:sz w:val="17"/>
              </w:rPr>
              <w:t>Minor data or format issue with no customer impact</w:t>
            </w:r>
          </w:p>
        </w:tc>
        <w:tc>
          <w:tcPr>
            <w:tcW w:type="dxa" w:w="4675"/>
          </w:tcPr>
          <w:p>
            <w:r/>
            <w:r>
              <w:rPr>
                <w:sz w:val="17"/>
              </w:rPr>
              <w:t>Log field missing</w:t>
            </w:r>
          </w:p>
        </w:tc>
      </w:tr>
      <w:tr>
        <w:tc>
          <w:tcPr>
            <w:tcW w:type="dxa" w:w="4675"/>
          </w:tcPr>
          <w:p>
            <w:r/>
            <w:r>
              <w:rPr>
                <w:sz w:val="17"/>
              </w:rPr>
              <w:t>Env</w:t>
            </w:r>
          </w:p>
        </w:tc>
        <w:tc>
          <w:tcPr>
            <w:tcW w:type="dxa" w:w="4675"/>
          </w:tcPr>
          <w:p>
            <w:r/>
            <w:r>
              <w:rPr>
                <w:sz w:val="17"/>
              </w:rPr>
              <w:t>Environment or configuration issue, not a product defect</w:t>
            </w:r>
          </w:p>
        </w:tc>
        <w:tc>
          <w:tcPr>
            <w:tcW w:type="dxa" w:w="4675"/>
          </w:tcPr>
          <w:p>
            <w:r/>
            <w:r>
              <w:rPr>
                <w:sz w:val="17"/>
              </w:rPr>
              <w:t>Firewall rule missing in SIT</w:t>
            </w:r>
          </w:p>
        </w:tc>
      </w:tr>
    </w:tbl>
    <w:p/>
    <w:p>
      <w:r>
        <w:t>Each nightly failure is triaged by 10:00 as defect, environment or test issue.</w:t>
      </w:r>
    </w:p>
    <w:p>
      <w:pPr>
        <w:pStyle w:val="Heading1"/>
      </w:pPr>
      <w:r>
        <w:t>16. Roles and responsibilities</w:t>
      </w:r>
    </w:p>
    <w:tbl>
      <w:tblPr>
        <w:tblStyle w:val="TableGrid"/>
        <w:tblW w:type="auto" w:w="0"/>
        <w:tblLook w:firstColumn="1" w:firstRow="1" w:lastColumn="0" w:lastRow="0" w:noHBand="0" w:noVBand="1" w:val="04A0"/>
      </w:tblPr>
      <w:tblGrid>
        <w:gridCol w:w="2338"/>
        <w:gridCol w:w="2338"/>
        <w:gridCol w:w="2338"/>
        <w:gridCol w:w="2338"/>
        <w:gridCol w:w="2338"/>
        <w:gridCol w:w="2338"/>
      </w:tblGrid>
      <w:tr>
        <w:tc>
          <w:tcPr>
            <w:tcW w:type="dxa" w:w="2338"/>
            <w:shd w:val="clear" w:color="auto" w:fill="F4F5F7"/>
          </w:tcPr>
          <w:p>
            <w:r/>
            <w:r>
              <w:rPr>
                <w:b/>
                <w:sz w:val="17"/>
              </w:rPr>
              <w:t>Activity</w:t>
            </w:r>
          </w:p>
        </w:tc>
        <w:tc>
          <w:tcPr>
            <w:tcW w:type="dxa" w:w="2338"/>
            <w:shd w:val="clear" w:color="auto" w:fill="F4F5F7"/>
          </w:tcPr>
          <w:p>
            <w:r/>
            <w:r>
              <w:rPr>
                <w:b/>
                <w:sz w:val="17"/>
              </w:rPr>
              <w:t>Service squads</w:t>
            </w:r>
          </w:p>
        </w:tc>
        <w:tc>
          <w:tcPr>
            <w:tcW w:type="dxa" w:w="2338"/>
            <w:shd w:val="clear" w:color="auto" w:fill="F4F5F7"/>
          </w:tcPr>
          <w:p>
            <w:r/>
            <w:r>
              <w:rPr>
                <w:b/>
                <w:sz w:val="17"/>
              </w:rPr>
              <w:t>SIT team</w:t>
            </w:r>
          </w:p>
        </w:tc>
        <w:tc>
          <w:tcPr>
            <w:tcW w:type="dxa" w:w="2338"/>
            <w:shd w:val="clear" w:color="auto" w:fill="F4F5F7"/>
          </w:tcPr>
          <w:p>
            <w:r/>
            <w:r>
              <w:rPr>
                <w:b/>
                <w:sz w:val="17"/>
              </w:rPr>
              <w:t>BA</w:t>
            </w:r>
          </w:p>
        </w:tc>
        <w:tc>
          <w:tcPr>
            <w:tcW w:type="dxa" w:w="2338"/>
            <w:shd w:val="clear" w:color="auto" w:fill="F4F5F7"/>
          </w:tcPr>
          <w:p>
            <w:r/>
            <w:r>
              <w:rPr>
                <w:b/>
                <w:sz w:val="17"/>
              </w:rPr>
              <w:t>Platform (EKS)</w:t>
            </w:r>
          </w:p>
        </w:tc>
        <w:tc>
          <w:tcPr>
            <w:tcW w:type="dxa" w:w="2338"/>
            <w:shd w:val="clear" w:color="auto" w:fill="F4F5F7"/>
          </w:tcPr>
          <w:p>
            <w:r/>
            <w:r>
              <w:rPr>
                <w:b/>
                <w:sz w:val="17"/>
              </w:rPr>
              <w:t>DBA (Aurora)</w:t>
            </w:r>
          </w:p>
        </w:tc>
      </w:tr>
      <w:tr>
        <w:tc>
          <w:tcPr>
            <w:tcW w:type="dxa" w:w="2338"/>
          </w:tcPr>
          <w:p>
            <w:r/>
            <w:r>
              <w:rPr>
                <w:sz w:val="17"/>
              </w:rPr>
              <w:t>SLFT</w:t>
            </w:r>
          </w:p>
        </w:tc>
        <w:tc>
          <w:tcPr>
            <w:tcW w:type="dxa" w:w="2338"/>
          </w:tcPr>
          <w:p>
            <w:r/>
            <w:r>
              <w:rPr>
                <w:b/>
                <w:sz w:val="17"/>
              </w:rPr>
              <w:t>Own</w:t>
            </w:r>
          </w:p>
        </w:tc>
        <w:tc>
          <w:tcPr>
            <w:tcW w:type="dxa" w:w="2338"/>
          </w:tcPr>
          <w:p>
            <w:r/>
            <w:r>
              <w:rPr>
                <w:sz w:val="17"/>
              </w:rPr>
              <w:t>Review</w:t>
            </w:r>
          </w:p>
        </w:tc>
        <w:tc>
          <w:tcPr>
            <w:tcW w:type="dxa" w:w="2338"/>
          </w:tcPr>
          <w:p>
            <w:r/>
            <w:r>
              <w:rPr>
                <w:sz w:val="17"/>
              </w:rPr>
              <w:t>Sign values</w:t>
            </w:r>
          </w:p>
        </w:tc>
        <w:tc>
          <w:tcPr>
            <w:tcW w:type="dxa" w:w="2338"/>
          </w:tcPr>
          <w:p>
            <w:r/>
            <w:r>
              <w:rPr>
                <w:sz w:val="17"/>
              </w:rPr>
              <w:t>—</w:t>
            </w:r>
          </w:p>
        </w:tc>
        <w:tc>
          <w:tcPr>
            <w:tcW w:type="dxa" w:w="2338"/>
          </w:tcPr>
          <w:p>
            <w:r/>
            <w:r>
              <w:rPr>
                <w:sz w:val="17"/>
              </w:rPr>
              <w:t>—</w:t>
            </w:r>
          </w:p>
        </w:tc>
      </w:tr>
      <w:tr>
        <w:tc>
          <w:tcPr>
            <w:tcW w:type="dxa" w:w="2338"/>
          </w:tcPr>
          <w:p>
            <w:r/>
            <w:r>
              <w:rPr>
                <w:sz w:val="17"/>
              </w:rPr>
              <w:t>L1 platform checks</w:t>
            </w:r>
          </w:p>
        </w:tc>
        <w:tc>
          <w:tcPr>
            <w:tcW w:type="dxa" w:w="2338"/>
          </w:tcPr>
          <w:p>
            <w:r/>
            <w:r>
              <w:rPr>
                <w:sz w:val="17"/>
              </w:rPr>
              <w:t>Consulted</w:t>
            </w:r>
          </w:p>
        </w:tc>
        <w:tc>
          <w:tcPr>
            <w:tcW w:type="dxa" w:w="2338"/>
          </w:tcPr>
          <w:p>
            <w:r/>
            <w:r>
              <w:rPr>
                <w:b/>
                <w:sz w:val="17"/>
              </w:rPr>
              <w:t>Own</w:t>
            </w:r>
          </w:p>
        </w:tc>
        <w:tc>
          <w:tcPr>
            <w:tcW w:type="dxa" w:w="2338"/>
          </w:tcPr>
          <w:p>
            <w:r/>
            <w:r>
              <w:rPr>
                <w:sz w:val="17"/>
              </w:rPr>
              <w:t>—</w:t>
            </w:r>
          </w:p>
        </w:tc>
        <w:tc>
          <w:tcPr>
            <w:tcW w:type="dxa" w:w="2338"/>
          </w:tcPr>
          <w:p>
            <w:r/>
            <w:r>
              <w:rPr>
                <w:sz w:val="17"/>
              </w:rPr>
              <w:t>Expected values, access</w:t>
            </w:r>
          </w:p>
        </w:tc>
        <w:tc>
          <w:tcPr>
            <w:tcW w:type="dxa" w:w="2338"/>
          </w:tcPr>
          <w:p>
            <w:r/>
            <w:r>
              <w:rPr>
                <w:sz w:val="17"/>
              </w:rPr>
              <w:t>Roles, schema list</w:t>
            </w:r>
          </w:p>
        </w:tc>
      </w:tr>
      <w:tr>
        <w:tc>
          <w:tcPr>
            <w:tcW w:type="dxa" w:w="2338"/>
          </w:tcPr>
          <w:p>
            <w:r/>
            <w:r>
              <w:rPr>
                <w:sz w:val="17"/>
              </w:rPr>
              <w:t>L2 flows and resilience</w:t>
            </w:r>
          </w:p>
        </w:tc>
        <w:tc>
          <w:tcPr>
            <w:tcW w:type="dxa" w:w="2338"/>
          </w:tcPr>
          <w:p>
            <w:r/>
            <w:r>
              <w:rPr>
                <w:sz w:val="17"/>
              </w:rPr>
              <w:t>Consulted</w:t>
            </w:r>
          </w:p>
        </w:tc>
        <w:tc>
          <w:tcPr>
            <w:tcW w:type="dxa" w:w="2338"/>
          </w:tcPr>
          <w:p>
            <w:r/>
            <w:r>
              <w:rPr>
                <w:b/>
                <w:sz w:val="17"/>
              </w:rPr>
              <w:t>Own</w:t>
            </w:r>
          </w:p>
        </w:tc>
        <w:tc>
          <w:tcPr>
            <w:tcW w:type="dxa" w:w="2338"/>
          </w:tcPr>
          <w:p>
            <w:r/>
            <w:r>
              <w:rPr>
                <w:sz w:val="17"/>
              </w:rPr>
              <w:t>Consulted</w:t>
            </w:r>
          </w:p>
        </w:tc>
        <w:tc>
          <w:tcPr>
            <w:tcW w:type="dxa" w:w="2338"/>
          </w:tcPr>
          <w:p>
            <w:r/>
            <w:r>
              <w:rPr>
                <w:sz w:val="17"/>
              </w:rPr>
              <w:t>Fault-injection support</w:t>
            </w:r>
          </w:p>
        </w:tc>
        <w:tc>
          <w:tcPr>
            <w:tcW w:type="dxa" w:w="2338"/>
          </w:tcPr>
          <w:p>
            <w:r/>
            <w:r>
              <w:rPr>
                <w:sz w:val="17"/>
              </w:rPr>
              <w:t>Failover support</w:t>
            </w:r>
          </w:p>
        </w:tc>
      </w:tr>
      <w:tr>
        <w:tc>
          <w:tcPr>
            <w:tcW w:type="dxa" w:w="2338"/>
          </w:tcPr>
          <w:p>
            <w:r/>
            <w:r>
              <w:rPr>
                <w:sz w:val="17"/>
              </w:rPr>
              <w:t>L3 products, parity, blue/green</w:t>
            </w:r>
          </w:p>
        </w:tc>
        <w:tc>
          <w:tcPr>
            <w:tcW w:type="dxa" w:w="2338"/>
          </w:tcPr>
          <w:p>
            <w:r/>
            <w:r>
              <w:rPr>
                <w:sz w:val="17"/>
              </w:rPr>
              <w:t>—</w:t>
            </w:r>
          </w:p>
        </w:tc>
        <w:tc>
          <w:tcPr>
            <w:tcW w:type="dxa" w:w="2338"/>
          </w:tcPr>
          <w:p>
            <w:r/>
            <w:r>
              <w:rPr>
                <w:b/>
                <w:sz w:val="17"/>
              </w:rPr>
              <w:t>Own</w:t>
            </w:r>
          </w:p>
        </w:tc>
        <w:tc>
          <w:tcPr>
            <w:tcW w:type="dxa" w:w="2338"/>
          </w:tcPr>
          <w:p>
            <w:r/>
            <w:r>
              <w:rPr>
                <w:sz w:val="17"/>
              </w:rPr>
              <w:t>Golden files</w:t>
            </w:r>
          </w:p>
        </w:tc>
        <w:tc>
          <w:tcPr>
            <w:tcW w:type="dxa" w:w="2338"/>
          </w:tcPr>
          <w:p>
            <w:r/>
            <w:r>
              <w:rPr>
                <w:sz w:val="17"/>
              </w:rPr>
              <w:t>Cutover support</w:t>
            </w:r>
          </w:p>
        </w:tc>
        <w:tc>
          <w:tcPr>
            <w:tcW w:type="dxa" w:w="2338"/>
          </w:tcPr>
          <w:p>
            <w:r/>
            <w:r>
              <w:rPr>
                <w:sz w:val="17"/>
              </w:rPr>
              <w:t>—</w:t>
            </w:r>
          </w:p>
        </w:tc>
      </w:tr>
      <w:tr>
        <w:tc>
          <w:tcPr>
            <w:tcW w:type="dxa" w:w="2338"/>
          </w:tcPr>
          <w:p>
            <w:r/>
            <w:r>
              <w:rPr>
                <w:sz w:val="17"/>
              </w:rPr>
              <w:t>Framework and RTM</w:t>
            </w:r>
          </w:p>
        </w:tc>
        <w:tc>
          <w:tcPr>
            <w:tcW w:type="dxa" w:w="2338"/>
          </w:tcPr>
          <w:p>
            <w:r/>
            <w:r>
              <w:rPr>
                <w:sz w:val="17"/>
              </w:rPr>
              <w:t>Contribute</w:t>
            </w:r>
          </w:p>
        </w:tc>
        <w:tc>
          <w:tcPr>
            <w:tcW w:type="dxa" w:w="2338"/>
          </w:tcPr>
          <w:p>
            <w:r/>
            <w:r>
              <w:rPr>
                <w:b/>
                <w:sz w:val="17"/>
              </w:rPr>
              <w:t>Own</w:t>
            </w:r>
          </w:p>
        </w:tc>
        <w:tc>
          <w:tcPr>
            <w:tcW w:type="dxa" w:w="2338"/>
          </w:tcPr>
          <w:p>
            <w:r/>
            <w:r>
              <w:rPr>
                <w:sz w:val="17"/>
              </w:rPr>
              <w:t>—</w:t>
            </w:r>
          </w:p>
        </w:tc>
        <w:tc>
          <w:tcPr>
            <w:tcW w:type="dxa" w:w="2338"/>
          </w:tcPr>
          <w:p>
            <w:r/>
            <w:r>
              <w:rPr>
                <w:sz w:val="17"/>
              </w:rPr>
              <w:t>—</w:t>
            </w:r>
          </w:p>
        </w:tc>
        <w:tc>
          <w:tcPr>
            <w:tcW w:type="dxa" w:w="2338"/>
          </w:tcPr>
          <w:p>
            <w:r/>
            <w:r>
              <w:rPr>
                <w:sz w:val="17"/>
              </w:rPr>
              <w:t>—</w:t>
            </w:r>
          </w:p>
        </w:tc>
      </w:tr>
      <w:tr>
        <w:tc>
          <w:tcPr>
            <w:tcW w:type="dxa" w:w="2338"/>
          </w:tcPr>
          <w:p>
            <w:r/>
            <w:r>
              <w:rPr>
                <w:sz w:val="17"/>
              </w:rPr>
              <w:t>Gate sign-off</w:t>
            </w:r>
          </w:p>
        </w:tc>
        <w:tc>
          <w:tcPr>
            <w:tcW w:type="dxa" w:w="2338"/>
          </w:tcPr>
          <w:p>
            <w:r/>
            <w:r>
              <w:rPr>
                <w:sz w:val="17"/>
              </w:rPr>
              <w:t>G1 (SLFT)</w:t>
            </w:r>
          </w:p>
        </w:tc>
        <w:tc>
          <w:tcPr>
            <w:tcW w:type="dxa" w:w="2338"/>
          </w:tcPr>
          <w:p>
            <w:r/>
            <w:r>
              <w:rPr>
                <w:sz w:val="17"/>
              </w:rPr>
              <w:t>G2–G4</w:t>
            </w:r>
          </w:p>
        </w:tc>
        <w:tc>
          <w:tcPr>
            <w:tcW w:type="dxa" w:w="2338"/>
          </w:tcPr>
          <w:p>
            <w:r/>
            <w:r>
              <w:rPr>
                <w:sz w:val="17"/>
              </w:rPr>
              <w:t>G0</w:t>
            </w:r>
          </w:p>
        </w:tc>
        <w:tc>
          <w:tcPr>
            <w:tcW w:type="dxa" w:w="2338"/>
          </w:tcPr>
          <w:p>
            <w:r/>
            <w:r>
              <w:rPr>
                <w:sz w:val="17"/>
              </w:rPr>
              <w:t>G1 (env)</w:t>
            </w:r>
          </w:p>
        </w:tc>
        <w:tc>
          <w:tcPr>
            <w:tcW w:type="dxa" w:w="2338"/>
          </w:tcPr>
          <w:p>
            <w:r/>
            <w:r>
              <w:rPr>
                <w:sz w:val="17"/>
              </w:rPr>
              <w:t>G1 (DB)</w:t>
            </w:r>
          </w:p>
        </w:tc>
      </w:tr>
    </w:tbl>
    <w:p/>
    <w:p>
      <w:pPr>
        <w:pStyle w:val="Heading1"/>
      </w:pPr>
      <w:r>
        <w:t>17. Risks and assumptions</w:t>
      </w:r>
    </w:p>
    <w:tbl>
      <w:tblPr>
        <w:tblStyle w:val="TableGrid"/>
        <w:tblW w:type="auto" w:w="0"/>
        <w:tblLook w:firstColumn="1" w:firstRow="1" w:lastColumn="0" w:lastRow="0" w:noHBand="0" w:noVBand="1" w:val="04A0"/>
      </w:tblPr>
      <w:tblGrid>
        <w:gridCol w:w="4675"/>
        <w:gridCol w:w="4675"/>
        <w:gridCol w:w="4675"/>
      </w:tblGrid>
      <w:tr>
        <w:tc>
          <w:tcPr>
            <w:tcW w:type="dxa" w:w="4675"/>
            <w:shd w:val="clear" w:color="auto" w:fill="F4F5F7"/>
          </w:tcPr>
          <w:p>
            <w:r/>
            <w:r>
              <w:rPr>
                <w:b/>
                <w:sz w:val="17"/>
              </w:rPr>
              <w:t>Risk / assumption</w:t>
            </w:r>
          </w:p>
        </w:tc>
        <w:tc>
          <w:tcPr>
            <w:tcW w:type="dxa" w:w="4675"/>
            <w:shd w:val="clear" w:color="auto" w:fill="F4F5F7"/>
          </w:tcPr>
          <w:p>
            <w:r/>
            <w:r>
              <w:rPr>
                <w:b/>
                <w:sz w:val="17"/>
              </w:rPr>
              <w:t>Impact</w:t>
            </w:r>
          </w:p>
        </w:tc>
        <w:tc>
          <w:tcPr>
            <w:tcW w:type="dxa" w:w="4675"/>
            <w:shd w:val="clear" w:color="auto" w:fill="F4F5F7"/>
          </w:tcPr>
          <w:p>
            <w:r/>
            <w:r>
              <w:rPr>
                <w:b/>
                <w:sz w:val="17"/>
              </w:rPr>
              <w:t>Mitigation</w:t>
            </w:r>
          </w:p>
        </w:tc>
      </w:tr>
      <w:tr>
        <w:tc>
          <w:tcPr>
            <w:tcW w:type="dxa" w:w="4675"/>
          </w:tcPr>
          <w:p>
            <w:r/>
            <w:r>
              <w:rPr>
                <w:sz w:val="17"/>
              </w:rPr>
              <w:t>SIT account and cluster not yet defined (only Dev/Devdmz documented)</w:t>
            </w:r>
          </w:p>
        </w:tc>
        <w:tc>
          <w:tcPr>
            <w:tcW w:type="dxa" w:w="4675"/>
          </w:tcPr>
          <w:p>
            <w:r/>
            <w:r>
              <w:rPr>
                <w:sz w:val="17"/>
              </w:rPr>
              <w:t>Can't build the platform checks</w:t>
            </w:r>
          </w:p>
        </w:tc>
        <w:tc>
          <w:tcPr>
            <w:tcW w:type="dxa" w:w="4675"/>
          </w:tcPr>
          <w:p>
            <w:r/>
            <w:r>
              <w:rPr>
                <w:sz w:val="17"/>
              </w:rPr>
              <w:t>Agree the SIT environment design (section 18) in Phase 0</w:t>
            </w:r>
          </w:p>
        </w:tc>
      </w:tr>
      <w:tr>
        <w:tc>
          <w:tcPr>
            <w:tcW w:type="dxa" w:w="4675"/>
          </w:tcPr>
          <w:p>
            <w:r/>
            <w:r>
              <w:rPr>
                <w:sz w:val="17"/>
              </w:rPr>
              <w:t>Destructive tests (drain, failover, cutover) not permitted in the shared SIT environment</w:t>
            </w:r>
          </w:p>
        </w:tc>
        <w:tc>
          <w:tcPr>
            <w:tcW w:type="dxa" w:w="4675"/>
          </w:tcPr>
          <w:p>
            <w:r/>
            <w:r>
              <w:rPr>
                <w:sz w:val="17"/>
              </w:rPr>
              <w:t>Resilience coverage blocked</w:t>
            </w:r>
          </w:p>
        </w:tc>
        <w:tc>
          <w:tcPr>
            <w:tcW w:type="dxa" w:w="4675"/>
          </w:tcPr>
          <w:p>
            <w:r/>
            <w:r>
              <w:rPr>
                <w:sz w:val="17"/>
              </w:rPr>
              <w:t>Agree a window and approvals; otherwise run jointly with OAT</w:t>
            </w:r>
          </w:p>
        </w:tc>
      </w:tr>
      <w:tr>
        <w:tc>
          <w:tcPr>
            <w:tcW w:type="dxa" w:w="4675"/>
          </w:tcPr>
          <w:p>
            <w:r/>
            <w:r>
              <w:rPr>
                <w:sz w:val="17"/>
              </w:rPr>
              <w:t>Blue/green clusters both consuming at once</w:t>
            </w:r>
          </w:p>
        </w:tc>
        <w:tc>
          <w:tcPr>
            <w:tcW w:type="dxa" w:w="4675"/>
          </w:tcPr>
          <w:p>
            <w:r/>
            <w:r>
              <w:rPr>
                <w:sz w:val="17"/>
              </w:rPr>
              <w:t>Double processing into Aurora</w:t>
            </w:r>
          </w:p>
        </w:tc>
        <w:tc>
          <w:tcPr>
            <w:tcW w:type="dxa" w:w="4675"/>
          </w:tcPr>
          <w:p>
            <w:r/>
            <w:r>
              <w:rPr>
                <w:sz w:val="17"/>
              </w:rPr>
              <w:t>Feature #57; consumer-group check in cluster validation</w:t>
            </w:r>
          </w:p>
        </w:tc>
      </w:tr>
      <w:tr>
        <w:tc>
          <w:tcPr>
            <w:tcW w:type="dxa" w:w="4675"/>
          </w:tcPr>
          <w:p>
            <w:r/>
            <w:r>
              <w:rPr>
                <w:sz w:val="17"/>
              </w:rPr>
              <w:t>arm64 (Graviton) nodes with non-multi-arch images</w:t>
            </w:r>
          </w:p>
        </w:tc>
        <w:tc>
          <w:tcPr>
            <w:tcW w:type="dxa" w:w="4675"/>
          </w:tcPr>
          <w:p>
            <w:r/>
            <w:r>
              <w:rPr>
                <w:sz w:val="17"/>
              </w:rPr>
              <w:t>Pods fail to start</w:t>
            </w:r>
          </w:p>
        </w:tc>
        <w:tc>
          <w:tcPr>
            <w:tcW w:type="dxa" w:w="4675"/>
          </w:tcPr>
          <w:p>
            <w:r/>
            <w:r>
              <w:rPr>
                <w:sz w:val="17"/>
              </w:rPr>
              <w:t>Architecture check in G1</w:t>
            </w:r>
          </w:p>
        </w:tc>
      </w:tr>
      <w:tr>
        <w:tc>
          <w:tcPr>
            <w:tcW w:type="dxa" w:w="4675"/>
          </w:tcPr>
          <w:p>
            <w:r/>
            <w:r>
              <w:rPr>
                <w:sz w:val="17"/>
              </w:rPr>
              <w:t>Framework is MSSQL-only</w:t>
            </w:r>
          </w:p>
        </w:tc>
        <w:tc>
          <w:tcPr>
            <w:tcW w:type="dxa" w:w="4675"/>
          </w:tcPr>
          <w:p>
            <w:r/>
            <w:r>
              <w:rPr>
                <w:sz w:val="17"/>
              </w:rPr>
              <w:t>No Aurora assertions</w:t>
            </w:r>
          </w:p>
        </w:tc>
        <w:tc>
          <w:tcPr>
            <w:tcW w:type="dxa" w:w="4675"/>
          </w:tcPr>
          <w:p>
            <w:r/>
            <w:r>
              <w:rPr>
                <w:sz w:val="17"/>
              </w:rPr>
              <w:t>Postgres enabler in Phase 0</w:t>
            </w:r>
          </w:p>
        </w:tc>
      </w:tr>
      <w:tr>
        <w:tc>
          <w:tcPr>
            <w:tcW w:type="dxa" w:w="4675"/>
          </w:tcPr>
          <w:p>
            <w:r/>
            <w:r>
              <w:rPr>
                <w:sz w:val="17"/>
              </w:rPr>
              <w:t>The shared EKS validation script forks between the Kafka and Hubble projects</w:t>
            </w:r>
          </w:p>
        </w:tc>
        <w:tc>
          <w:tcPr>
            <w:tcW w:type="dxa" w:w="4675"/>
          </w:tcPr>
          <w:p>
            <w:r/>
            <w:r>
              <w:rPr>
                <w:sz w:val="17"/>
              </w:rPr>
              <w:t>Double maintenance; the two drift apart</w:t>
            </w:r>
          </w:p>
        </w:tc>
        <w:tc>
          <w:tcPr>
            <w:tcW w:type="dxa" w:w="4675"/>
          </w:tcPr>
          <w:p>
            <w:r/>
            <w:r>
              <w:rPr>
                <w:sz w:val="17"/>
              </w:rPr>
              <w:t>One shared script with per-project expected-values files; Kafka owner reviews changes</w:t>
            </w:r>
          </w:p>
        </w:tc>
      </w:tr>
      <w:tr>
        <w:tc>
          <w:tcPr>
            <w:tcW w:type="dxa" w:w="4675"/>
          </w:tcPr>
          <w:p>
            <w:r/>
            <w:r>
              <w:rPr>
                <w:sz w:val="17"/>
              </w:rPr>
              <w:t>Expected values for pricing and TAS not signed</w:t>
            </w:r>
          </w:p>
        </w:tc>
        <w:tc>
          <w:tcPr>
            <w:tcW w:type="dxa" w:w="4675"/>
          </w:tcPr>
          <w:p>
            <w:r/>
            <w:r>
              <w:rPr>
                <w:sz w:val="17"/>
              </w:rPr>
              <w:t>Tests assert whatever the system produces</w:t>
            </w:r>
          </w:p>
        </w:tc>
        <w:tc>
          <w:tcPr>
            <w:tcW w:type="dxa" w:w="4675"/>
          </w:tcPr>
          <w:p>
            <w:r/>
            <w:r>
              <w:rPr>
                <w:sz w:val="17"/>
              </w:rPr>
              <w:t>BA sign-off at G0</w:t>
            </w:r>
          </w:p>
        </w:tc>
      </w:tr>
      <w:tr>
        <w:tc>
          <w:tcPr>
            <w:tcW w:type="dxa" w:w="4675"/>
          </w:tcPr>
          <w:p>
            <w:r/>
            <w:r>
              <w:rPr>
                <w:sz w:val="17"/>
              </w:rPr>
              <w:t>Coverage statuses inferred from feature names</w:t>
            </w:r>
          </w:p>
        </w:tc>
        <w:tc>
          <w:tcPr>
            <w:tcW w:type="dxa" w:w="4675"/>
          </w:tcPr>
          <w:p>
            <w:r/>
            <w:r>
              <w:rPr>
                <w:sz w:val="17"/>
              </w:rPr>
              <w:t>Over- or under-statement</w:t>
            </w:r>
          </w:p>
        </w:tc>
        <w:tc>
          <w:tcPr>
            <w:tcW w:type="dxa" w:w="4675"/>
          </w:tcPr>
          <w:p>
            <w:r/>
            <w:r>
              <w:rPr>
                <w:sz w:val="17"/>
              </w:rPr>
              <w:t>Confirm against step code in Phase 0</w:t>
            </w:r>
          </w:p>
        </w:tc>
      </w:tr>
    </w:tbl>
    <w:p/>
    <w:p>
      <w:pPr>
        <w:pStyle w:val="Heading1"/>
      </w:pPr>
      <w:r>
        <w:t>18. Design review findings and open questions</w:t>
      </w:r>
    </w:p>
    <w:p>
      <w:r>
        <w:rPr>
          <w:b/>
        </w:rPr>
        <w:t>Findings from the design pages</w:t>
      </w:r>
      <w:r>
        <w:t xml:space="preserve"> (raise with the owners):</w:t>
      </w:r>
    </w:p>
    <w:p>
      <w:pPr>
        <w:pStyle w:val="ListNumber"/>
      </w:pPr>
      <w:r>
        <w:rPr>
          <w:b/>
        </w:rPr>
        <w:t>Node label typo.</w:t>
      </w:r>
      <w:r>
        <w:t xml:space="preserve"> hub-apps-az3 is labelled </w:t>
      </w:r>
      <w:r>
        <w:rPr>
          <w:rFonts w:ascii="Consolas" w:hAnsi="Consolas"/>
          <w:sz w:val="17"/>
        </w:rPr>
        <w:t>app=hubble-application</w:t>
      </w:r>
      <w:r>
        <w:t xml:space="preserve">, not </w:t>
      </w:r>
      <w:r>
        <w:rPr>
          <w:rFonts w:ascii="Consolas" w:hAnsi="Consolas"/>
          <w:sz w:val="17"/>
        </w:rPr>
        <w:t>hubble-applications</w:t>
      </w:r>
      <w:r>
        <w:t>. If node affinity uses the plural form, no Hubble pods will schedule in AZ3.</w:t>
      </w:r>
    </w:p>
    <w:p>
      <w:pPr>
        <w:pStyle w:val="ListNumber"/>
      </w:pPr>
      <w:r>
        <w:rPr>
          <w:b/>
        </w:rPr>
        <w:t>Certificate SAN typo (Devdmz).</w:t>
      </w:r>
      <w:r>
        <w:t xml:space="preserve"> </w:t>
      </w:r>
      <w:r>
        <w:rPr>
          <w:rFonts w:ascii="Consolas" w:hAnsi="Consolas"/>
          <w:sz w:val="17"/>
        </w:rPr>
        <w:t>DNZ.2 = signalb-verification-service.devdmz…</w:t>
      </w:r>
      <w:r>
        <w:t xml:space="preserve"> should be </w:t>
      </w:r>
      <w:r>
        <w:rPr>
          <w:rFonts w:ascii="Consolas" w:hAnsi="Consolas"/>
          <w:sz w:val="17"/>
        </w:rPr>
        <w:t>DNS.2</w:t>
      </w:r>
      <w:r>
        <w:t>, otherwise that SAN is missing from the certificate.</w:t>
      </w:r>
    </w:p>
    <w:p>
      <w:pPr>
        <w:pStyle w:val="ListNumber"/>
      </w:pPr>
      <w:r>
        <w:rPr>
          <w:b/>
        </w:rPr>
        <w:t>Scaling model conflict.</w:t>
      </w:r>
      <w:r>
        <w:t xml:space="preserve"> The tag </w:t>
      </w:r>
      <w:r>
        <w:rPr>
          <w:rFonts w:ascii="Consolas" w:hAnsi="Consolas"/>
          <w:sz w:val="17"/>
        </w:rPr>
        <w:t>eks_karpenter=true</w:t>
      </w:r>
      <w:r>
        <w:t xml:space="preserve"> conflicts with the fixed ASG sizing (min=max=desired=2). Confirm which applies, because it changes node-drain behaviour.</w:t>
      </w:r>
    </w:p>
    <w:p>
      <w:pPr>
        <w:pStyle w:val="ListNumber"/>
      </w:pPr>
      <w:r>
        <w:rPr>
          <w:b/>
        </w:rPr>
        <w:t>Missing firewall rules.</w:t>
      </w:r>
      <w:r>
        <w:t xml:space="preserve"> No documented flow from Hubble Dev EKS to Enterprise Kafka, EMS, SFTP or Elasticsearch. Only Devdmz → Kafka is listed.</w:t>
      </w:r>
    </w:p>
    <w:p>
      <w:pPr>
        <w:pStyle w:val="ListNumber"/>
      </w:pPr>
      <w:r>
        <w:rPr>
          <w:b/>
        </w:rPr>
        <w:t>Leftover tables in live schemas.</w:t>
      </w:r>
      <w:r>
        <w:t xml:space="preserve"> </w:t>
      </w:r>
      <w:r>
        <w:rPr>
          <w:rFonts w:ascii="Consolas" w:hAnsi="Consolas"/>
          <w:sz w:val="17"/>
        </w:rPr>
        <w:t>Schedule_CHG0073369</w:t>
      </w:r>
      <w:r>
        <w:t xml:space="preserve">, </w:t>
      </w:r>
      <w:r>
        <w:rPr>
          <w:rFonts w:ascii="Consolas" w:hAnsi="Consolas"/>
          <w:sz w:val="17"/>
        </w:rPr>
        <w:t>CalendarDay_CHG0075327</w:t>
      </w:r>
      <w:r>
        <w:t xml:space="preserve"> and </w:t>
      </w:r>
      <w:r>
        <w:rPr>
          <w:rFonts w:ascii="Consolas" w:hAnsi="Consolas"/>
          <w:sz w:val="17"/>
        </w:rPr>
        <w:t>AsxMissingTrade_Backup_2026Mar02</w:t>
      </w:r>
      <w:r>
        <w:t xml:space="preserve"> should be cleaned up or added to an approved list.</w:t>
      </w:r>
    </w:p>
    <w:p>
      <w:pPr>
        <w:pStyle w:val="ListNumber"/>
      </w:pPr>
      <w:r>
        <w:rPr>
          <w:b/>
        </w:rPr>
        <w:t>No snapshot DB listed</w:t>
      </w:r>
      <w:r>
        <w:t xml:space="preserve"> for TradeAggregationAsxCode or TradeAggregationInstType. Confirm where these aggregates are persisted (ODS CumAggrTrade*?).</w:t>
      </w:r>
    </w:p>
    <w:p>
      <w:pPr>
        <w:pStyle w:val="ListNumber"/>
      </w:pPr>
      <w:r>
        <w:rPr>
          <w:b/>
        </w:rPr>
        <w:t>HubbleODSPreProd table list is truncated</w:t>
      </w:r>
      <w:r>
        <w:t xml:space="preserve"> in the design ("continued from source dataset"). The full list is needed for #27.</w:t>
      </w:r>
    </w:p>
    <w:p>
      <w:pPr>
        <w:pStyle w:val="ListNumber"/>
      </w:pPr>
      <w:r>
        <w:rPr>
          <w:b/>
        </w:rPr>
        <w:t>Enterprise Kafka validation passed despite a warning.</w:t>
      </w:r>
      <w:r>
        <w:t xml:space="preserve"> The report passed with a </w:t>
      </w:r>
      <w:r>
        <w:rPr>
          <w:rFonts w:ascii="Consolas" w:hAnsi="Consolas"/>
          <w:sz w:val="17"/>
        </w:rPr>
        <w:t>FailedToRetrieveImagePullSecret</w:t>
      </w:r>
      <w:r>
        <w:t xml:space="preserve"> warning. The Hubble version must fail on Warning events.</w:t>
      </w:r>
    </w:p>
    <w:p>
      <w:pPr>
        <w:pStyle w:val="ListNumber"/>
      </w:pPr>
      <w:r>
        <w:rPr>
          <w:b/>
        </w:rPr>
        <w:t>Signal B poison-topic assertion is commented out</w:t>
      </w:r>
      <w:r>
        <w:t xml:space="preserve"> because of a schema mismatch. Invalid MTS handling is untested until the schema is fixed and the assertion restored.</w:t>
      </w:r>
    </w:p>
    <w:p>
      <w:pPr>
        <w:pStyle w:val="ListNumber"/>
      </w:pPr>
      <w:r>
        <w:rPr>
          <w:b/>
        </w:rPr>
        <w:t>Signal B E2E is not in the CI run.</w:t>
      </w:r>
      <w:r>
        <w:t xml:space="preserve"> The only test of the real Hubble → Signal B chain never runs automatically.</w:t>
      </w:r>
    </w:p>
    <w:p>
      <w:pPr>
        <w:pStyle w:val="ListNumber"/>
      </w:pPr>
      <w:r>
        <w:rPr>
          <w:b/>
        </w:rPr>
        <w:t>HUBDAM suite is excluded from the default run.</w:t>
      </w:r>
      <w:r>
        <w:t xml:space="preserve"> The runner filter </w:t>
      </w:r>
      <w:r>
        <w:rPr>
          <w:rFonts w:ascii="Consolas" w:hAnsi="Consolas"/>
          <w:sz w:val="17"/>
        </w:rPr>
        <w:t>not @manual and not @hubdam-data-archive</w:t>
      </w:r>
      <w:r>
        <w:t xml:space="preserve"> means 22 archive features don't run in CI. Give them their own scheduled pack instead.</w:t>
      </w:r>
    </w:p>
    <w:p>
      <w:r>
        <w:rPr>
          <w:b/>
        </w:rPr>
        <w:t>Open questions</w:t>
      </w:r>
    </w:p>
    <w:tbl>
      <w:tblPr>
        <w:tblStyle w:val="TableGrid"/>
        <w:tblW w:type="auto" w:w="0"/>
        <w:tblLook w:firstColumn="1" w:firstRow="1" w:lastColumn="0" w:lastRow="0" w:noHBand="0" w:noVBand="1" w:val="04A0"/>
      </w:tblPr>
      <w:tblGrid>
        <w:gridCol w:w="4675"/>
        <w:gridCol w:w="4675"/>
        <w:gridCol w:w="4675"/>
      </w:tblGrid>
      <w:tr>
        <w:tc>
          <w:tcPr>
            <w:tcW w:type="dxa" w:w="4675"/>
            <w:shd w:val="clear" w:color="auto" w:fill="F4F5F7"/>
          </w:tcPr>
          <w:p>
            <w:r/>
            <w:r>
              <w:rPr>
                <w:b/>
                <w:sz w:val="17"/>
              </w:rPr>
              <w:t>#</w:t>
            </w:r>
          </w:p>
        </w:tc>
        <w:tc>
          <w:tcPr>
            <w:tcW w:type="dxa" w:w="4675"/>
            <w:shd w:val="clear" w:color="auto" w:fill="F4F5F7"/>
          </w:tcPr>
          <w:p>
            <w:r/>
            <w:r>
              <w:rPr>
                <w:b/>
                <w:sz w:val="17"/>
              </w:rPr>
              <w:t>Question</w:t>
            </w:r>
          </w:p>
        </w:tc>
        <w:tc>
          <w:tcPr>
            <w:tcW w:type="dxa" w:w="4675"/>
            <w:shd w:val="clear" w:color="auto" w:fill="F4F5F7"/>
          </w:tcPr>
          <w:p>
            <w:r/>
            <w:r>
              <w:rPr>
                <w:b/>
                <w:sz w:val="17"/>
              </w:rPr>
              <w:t>Owner</w:t>
            </w:r>
          </w:p>
        </w:tc>
      </w:tr>
      <w:tr>
        <w:tc>
          <w:tcPr>
            <w:tcW w:type="dxa" w:w="4675"/>
          </w:tcPr>
          <w:p>
            <w:r/>
            <w:r>
              <w:rPr>
                <w:sz w:val="17"/>
              </w:rPr>
              <w:t>Q1</w:t>
            </w:r>
          </w:p>
        </w:tc>
        <w:tc>
          <w:tcPr>
            <w:tcW w:type="dxa" w:w="4675"/>
          </w:tcPr>
          <w:p>
            <w:r/>
            <w:r>
              <w:rPr>
                <w:sz w:val="17"/>
              </w:rPr>
              <w:t>Which AWS account, EKS cluster and Aurora cluster host SIT (npd?), and is it blue/green?</w:t>
            </w:r>
          </w:p>
        </w:tc>
        <w:tc>
          <w:tcPr>
            <w:tcW w:type="dxa" w:w="4675"/>
          </w:tcPr>
          <w:p>
            <w:r/>
            <w:r>
              <w:rPr>
                <w:sz w:val="17"/>
              </w:rPr>
              <w:t>Platform</w:t>
            </w:r>
          </w:p>
        </w:tc>
      </w:tr>
      <w:tr>
        <w:tc>
          <w:tcPr>
            <w:tcW w:type="dxa" w:w="4675"/>
          </w:tcPr>
          <w:p>
            <w:r/>
            <w:r>
              <w:rPr>
                <w:sz w:val="17"/>
              </w:rPr>
              <w:t>Q2</w:t>
            </w:r>
          </w:p>
        </w:tc>
        <w:tc>
          <w:tcPr>
            <w:tcW w:type="dxa" w:w="4675"/>
          </w:tcPr>
          <w:p>
            <w:r/>
            <w:r>
              <w:rPr>
                <w:sz w:val="17"/>
              </w:rPr>
              <w:t>Are pod delete, node drain, Aurora failover and blue/green cutover allowed in SIT, and in which window?</w:t>
            </w:r>
          </w:p>
        </w:tc>
        <w:tc>
          <w:tcPr>
            <w:tcW w:type="dxa" w:w="4675"/>
          </w:tcPr>
          <w:p>
            <w:r/>
            <w:r>
              <w:rPr>
                <w:sz w:val="17"/>
              </w:rPr>
              <w:t>Platform / DBA</w:t>
            </w:r>
          </w:p>
        </w:tc>
      </w:tr>
      <w:tr>
        <w:tc>
          <w:tcPr>
            <w:tcW w:type="dxa" w:w="4675"/>
          </w:tcPr>
          <w:p>
            <w:r/>
            <w:r>
              <w:rPr>
                <w:sz w:val="17"/>
              </w:rPr>
              <w:t>Q3</w:t>
            </w:r>
          </w:p>
        </w:tc>
        <w:tc>
          <w:tcPr>
            <w:tcW w:type="dxa" w:w="4675"/>
          </w:tcPr>
          <w:p>
            <w:r/>
            <w:r>
              <w:rPr>
                <w:sz w:val="17"/>
              </w:rPr>
              <w:t>Does any Hubble workload use PVCs, or is all state in Aurora?</w:t>
            </w:r>
          </w:p>
        </w:tc>
        <w:tc>
          <w:tcPr>
            <w:tcW w:type="dxa" w:w="4675"/>
          </w:tcPr>
          <w:p>
            <w:r/>
            <w:r>
              <w:rPr>
                <w:sz w:val="17"/>
              </w:rPr>
              <w:t>Platform / squads</w:t>
            </w:r>
          </w:p>
        </w:tc>
      </w:tr>
      <w:tr>
        <w:tc>
          <w:tcPr>
            <w:tcW w:type="dxa" w:w="4675"/>
          </w:tcPr>
          <w:p>
            <w:r/>
            <w:r>
              <w:rPr>
                <w:sz w:val="17"/>
              </w:rPr>
              <w:t>Q4</w:t>
            </w:r>
          </w:p>
        </w:tc>
        <w:tc>
          <w:tcPr>
            <w:tcW w:type="dxa" w:w="4675"/>
          </w:tcPr>
          <w:p>
            <w:r/>
            <w:r>
              <w:rPr>
                <w:sz w:val="17"/>
              </w:rPr>
              <w:t>Which services should use the Aurora reader endpoint (recon only?)</w:t>
            </w:r>
          </w:p>
        </w:tc>
        <w:tc>
          <w:tcPr>
            <w:tcW w:type="dxa" w:w="4675"/>
          </w:tcPr>
          <w:p>
            <w:r/>
            <w:r>
              <w:rPr>
                <w:sz w:val="17"/>
              </w:rPr>
              <w:t>DBA / squads</w:t>
            </w:r>
          </w:p>
        </w:tc>
      </w:tr>
      <w:tr>
        <w:tc>
          <w:tcPr>
            <w:tcW w:type="dxa" w:w="4675"/>
          </w:tcPr>
          <w:p>
            <w:r/>
            <w:r>
              <w:rPr>
                <w:sz w:val="17"/>
              </w:rPr>
              <w:t>Q5</w:t>
            </w:r>
          </w:p>
        </w:tc>
        <w:tc>
          <w:tcPr>
            <w:tcW w:type="dxa" w:w="4675"/>
          </w:tcPr>
          <w:p>
            <w:r/>
            <w:r>
              <w:rPr>
                <w:sz w:val="17"/>
              </w:rPr>
              <w:t>Can the DBA provide a SIT test user with DML on reset tables only?</w:t>
            </w:r>
          </w:p>
        </w:tc>
        <w:tc>
          <w:tcPr>
            <w:tcW w:type="dxa" w:w="4675"/>
          </w:tcPr>
          <w:p>
            <w:r/>
            <w:r>
              <w:rPr>
                <w:sz w:val="17"/>
              </w:rPr>
              <w:t>DBA</w:t>
            </w:r>
          </w:p>
        </w:tc>
      </w:tr>
      <w:tr>
        <w:tc>
          <w:tcPr>
            <w:tcW w:type="dxa" w:w="4675"/>
          </w:tcPr>
          <w:p>
            <w:r/>
            <w:r>
              <w:rPr>
                <w:sz w:val="17"/>
              </w:rPr>
              <w:t>Q6</w:t>
            </w:r>
          </w:p>
        </w:tc>
        <w:tc>
          <w:tcPr>
            <w:tcW w:type="dxa" w:w="4675"/>
          </w:tcPr>
          <w:p>
            <w:r/>
            <w:r>
              <w:rPr>
                <w:sz w:val="17"/>
              </w:rPr>
              <w:t>Is Daytona (qfixflyer221 / qtxfly201) the FIX participant simulator for Signal B, and which environments can SIT use?</w:t>
            </w:r>
          </w:p>
        </w:tc>
        <w:tc>
          <w:tcPr>
            <w:tcW w:type="dxa" w:w="4675"/>
          </w:tcPr>
          <w:p>
            <w:r/>
            <w:r>
              <w:rPr>
                <w:sz w:val="17"/>
              </w:rPr>
              <w:t>Architecture</w:t>
            </w:r>
          </w:p>
        </w:tc>
      </w:tr>
      <w:tr>
        <w:tc>
          <w:tcPr>
            <w:tcW w:type="dxa" w:w="4675"/>
          </w:tcPr>
          <w:p>
            <w:r/>
            <w:r>
              <w:rPr>
                <w:sz w:val="17"/>
              </w:rPr>
              <w:t>Q9</w:t>
            </w:r>
          </w:p>
        </w:tc>
        <w:tc>
          <w:tcPr>
            <w:tcW w:type="dxa" w:w="4675"/>
          </w:tcPr>
          <w:p>
            <w:r/>
            <w:r>
              <w:rPr>
                <w:sz w:val="17"/>
              </w:rPr>
              <w:t>Which Signal B participants and entitlements exist in SIT, and who owns their ForgeRock test credentials?</w:t>
            </w:r>
          </w:p>
        </w:tc>
        <w:tc>
          <w:tcPr>
            <w:tcW w:type="dxa" w:w="4675"/>
          </w:tcPr>
          <w:p>
            <w:r/>
            <w:r>
              <w:rPr>
                <w:sz w:val="17"/>
              </w:rPr>
              <w:t>Signal B team</w:t>
            </w:r>
          </w:p>
        </w:tc>
      </w:tr>
      <w:tr>
        <w:tc>
          <w:tcPr>
            <w:tcW w:type="dxa" w:w="4675"/>
          </w:tcPr>
          <w:p>
            <w:r/>
            <w:r>
              <w:rPr>
                <w:sz w:val="17"/>
              </w:rPr>
              <w:t>Q10</w:t>
            </w:r>
          </w:p>
        </w:tc>
        <w:tc>
          <w:tcPr>
            <w:tcW w:type="dxa" w:w="4675"/>
          </w:tcPr>
          <w:p>
            <w:r/>
            <w:r>
              <w:rPr>
                <w:sz w:val="17"/>
              </w:rPr>
              <w:t>Is the Signal B test suite in the same repo and runner as hubble-e2e-test?</w:t>
            </w:r>
          </w:p>
        </w:tc>
        <w:tc>
          <w:tcPr>
            <w:tcW w:type="dxa" w:w="4675"/>
          </w:tcPr>
          <w:p>
            <w:r/>
            <w:r>
              <w:rPr>
                <w:sz w:val="17"/>
              </w:rPr>
              <w:t>Signal B team</w:t>
            </w:r>
          </w:p>
        </w:tc>
      </w:tr>
      <w:tr>
        <w:tc>
          <w:tcPr>
            <w:tcW w:type="dxa" w:w="4675"/>
          </w:tcPr>
          <w:p>
            <w:r/>
            <w:r>
              <w:rPr>
                <w:sz w:val="17"/>
              </w:rPr>
              <w:t>Q7</w:t>
            </w:r>
          </w:p>
        </w:tc>
        <w:tc>
          <w:tcPr>
            <w:tcW w:type="dxa" w:w="4675"/>
          </w:tcPr>
          <w:p>
            <w:r/>
            <w:r>
              <w:rPr>
                <w:sz w:val="17"/>
              </w:rPr>
              <w:t>What is the parity window and comparison scope for AWS vs on-prem (products, days, tolerances)?</w:t>
            </w:r>
          </w:p>
        </w:tc>
        <w:tc>
          <w:tcPr>
            <w:tcW w:type="dxa" w:w="4675"/>
          </w:tcPr>
          <w:p>
            <w:r/>
            <w:r>
              <w:rPr>
                <w:sz w:val="17"/>
              </w:rPr>
              <w:t>Migration lead</w:t>
            </w:r>
          </w:p>
        </w:tc>
      </w:tr>
      <w:tr>
        <w:tc>
          <w:tcPr>
            <w:tcW w:type="dxa" w:w="4675"/>
          </w:tcPr>
          <w:p>
            <w:r/>
            <w:r>
              <w:rPr>
                <w:sz w:val="17"/>
              </w:rPr>
              <w:t>Q8</w:t>
            </w:r>
          </w:p>
        </w:tc>
        <w:tc>
          <w:tcPr>
            <w:tcW w:type="dxa" w:w="4675"/>
          </w:tcPr>
          <w:p>
            <w:r/>
            <w:r>
              <w:rPr>
                <w:sz w:val="17"/>
              </w:rPr>
              <w:t>Does SLFT already cover the rule matrices (TAS criteria, valuation rules)? If not, these are SLFT gaps.</w:t>
            </w:r>
          </w:p>
        </w:tc>
        <w:tc>
          <w:tcPr>
            <w:tcW w:type="dxa" w:w="4675"/>
          </w:tcPr>
          <w:p>
            <w:r/>
            <w:r>
              <w:rPr>
                <w:sz w:val="17"/>
              </w:rPr>
              <w:t>Squad leads</w:t>
            </w:r>
          </w:p>
        </w:tc>
      </w:tr>
    </w:tbl>
    <w:p/>
    <w:p>
      <w:pPr>
        <w:pStyle w:val="Heading1"/>
      </w:pPr>
      <w:r>
        <w:t>19. Roadmap</w:t>
      </w:r>
    </w:p>
    <w:tbl>
      <w:tblPr>
        <w:tblStyle w:val="TableGrid"/>
        <w:tblW w:type="auto" w:w="0"/>
        <w:tblLook w:firstColumn="1" w:firstRow="1" w:lastColumn="0" w:lastRow="0" w:noHBand="0" w:noVBand="1" w:val="04A0"/>
      </w:tblPr>
      <w:tblGrid>
        <w:gridCol w:w="4675"/>
        <w:gridCol w:w="4675"/>
        <w:gridCol w:w="4675"/>
      </w:tblGrid>
      <w:tr>
        <w:tc>
          <w:tcPr>
            <w:tcW w:type="dxa" w:w="4675"/>
            <w:shd w:val="clear" w:color="auto" w:fill="F4F5F7"/>
          </w:tcPr>
          <w:p>
            <w:r/>
            <w:r>
              <w:rPr>
                <w:b/>
                <w:sz w:val="17"/>
              </w:rPr>
              <w:t>Phase</w:t>
            </w:r>
          </w:p>
        </w:tc>
        <w:tc>
          <w:tcPr>
            <w:tcW w:type="dxa" w:w="4675"/>
            <w:shd w:val="clear" w:color="auto" w:fill="F4F5F7"/>
          </w:tcPr>
          <w:p>
            <w:r/>
            <w:r>
              <w:rPr>
                <w:b/>
                <w:sz w:val="17"/>
              </w:rPr>
              <w:t>Delivers</w:t>
            </w:r>
          </w:p>
        </w:tc>
        <w:tc>
          <w:tcPr>
            <w:tcW w:type="dxa" w:w="4675"/>
            <w:shd w:val="clear" w:color="auto" w:fill="F4F5F7"/>
          </w:tcPr>
          <w:p>
            <w:r/>
            <w:r>
              <w:rPr>
                <w:b/>
                <w:sz w:val="17"/>
              </w:rPr>
              <w:t>Gate switched on</w:t>
            </w:r>
          </w:p>
        </w:tc>
      </w:tr>
      <w:tr>
        <w:tc>
          <w:tcPr>
            <w:tcW w:type="dxa" w:w="4675"/>
          </w:tcPr>
          <w:p>
            <w:r/>
            <w:r>
              <w:rPr>
                <w:sz w:val="17"/>
              </w:rPr>
              <w:t>Phase 0 · sprint 1</w:t>
            </w:r>
          </w:p>
        </w:tc>
        <w:tc>
          <w:tcPr>
            <w:tcW w:type="dxa" w:w="4675"/>
          </w:tcPr>
          <w:p>
            <w:r/>
            <w:r>
              <w:rPr>
                <w:sz w:val="17"/>
              </w:rPr>
              <w:t>Answer Q1–Q5; SLFT/SIT split per requirement; Postgres support; cluster validation adapted for Hubble; Aurora roles and schema checks; tag lint and RTM</w:t>
            </w:r>
          </w:p>
        </w:tc>
        <w:tc>
          <w:tcPr>
            <w:tcW w:type="dxa" w:w="4675"/>
          </w:tcPr>
          <w:p>
            <w:r/>
            <w:r>
              <w:rPr>
                <w:sz w:val="17"/>
              </w:rPr>
              <w:t>G0, G1 (report-only)</w:t>
            </w:r>
          </w:p>
        </w:tc>
      </w:tr>
      <w:tr>
        <w:tc>
          <w:tcPr>
            <w:tcW w:type="dxa" w:w="4675"/>
          </w:tcPr>
          <w:p>
            <w:r/>
            <w:r>
              <w:rPr>
                <w:sz w:val="17"/>
              </w:rPr>
              <w:t>Phase 1 · sprints 2–4</w:t>
            </w:r>
          </w:p>
        </w:tc>
        <w:tc>
          <w:tcPr>
            <w:tcW w:type="dxa" w:w="4675"/>
          </w:tcPr>
          <w:p>
            <w:r/>
            <w:r>
              <w:rPr>
                <w:sz w:val="17"/>
              </w:rPr>
              <w:t>Restore the Signal B poison assertion; add Signal B E2E and a HUBDAM pack to scheduled CI; L1 network/TLS/identity; L2 Aurora persistence (#21–#29), SOD, quote → valuation, trade → TAS, date roll; manual tests moved to CI</w:t>
            </w:r>
          </w:p>
        </w:tc>
        <w:tc>
          <w:tcPr>
            <w:tcW w:type="dxa" w:w="4675"/>
          </w:tcPr>
          <w:p>
            <w:r/>
            <w:r>
              <w:rPr>
                <w:sz w:val="17"/>
              </w:rPr>
              <w:t>G1 blocking, G2</w:t>
            </w:r>
          </w:p>
        </w:tc>
      </w:tr>
      <w:tr>
        <w:tc>
          <w:tcPr>
            <w:tcW w:type="dxa" w:w="4675"/>
          </w:tcPr>
          <w:p>
            <w:r/>
            <w:r>
              <w:rPr>
                <w:sz w:val="17"/>
              </w:rPr>
              <w:t>Phase 2 · sprints 5–7</w:t>
            </w:r>
          </w:p>
        </w:tc>
        <w:tc>
          <w:tcPr>
            <w:tcW w:type="dxa" w:w="4675"/>
          </w:tcPr>
          <w:p>
            <w:r/>
            <w:r>
              <w:rPr>
                <w:sz w:val="17"/>
              </w:rPr>
              <w:t>L2 platform events (#32–#37), ingestion and files; L3 delivery failure, product = database, D04/E03/CS-BT gaps, Signal B network path, lifecycle, recovery, trade corrections and traceability</w:t>
            </w:r>
          </w:p>
        </w:tc>
        <w:tc>
          <w:tcPr>
            <w:tcW w:type="dxa" w:w="4675"/>
          </w:tcPr>
          <w:p>
            <w:r/>
            <w:r>
              <w:rPr>
                <w:sz w:val="17"/>
              </w:rPr>
              <w:t>G3 blocking</w:t>
            </w:r>
          </w:p>
        </w:tc>
      </w:tr>
      <w:tr>
        <w:tc>
          <w:tcPr>
            <w:tcW w:type="dxa" w:w="4675"/>
          </w:tcPr>
          <w:p>
            <w:r/>
            <w:r>
              <w:rPr>
                <w:sz w:val="17"/>
              </w:rPr>
              <w:t>Phase 3 · sprint 8+</w:t>
            </w:r>
          </w:p>
        </w:tc>
        <w:tc>
          <w:tcPr>
            <w:tcW w:type="dxa" w:w="4675"/>
          </w:tcPr>
          <w:p>
            <w:r/>
            <w:r>
              <w:rPr>
                <w:sz w:val="17"/>
              </w:rPr>
              <w:t>Blue/green cutover, migration parity and data integrity, multi-day overnight, traceability, SPT/OAT hand-off evidence</w:t>
            </w:r>
          </w:p>
        </w:tc>
        <w:tc>
          <w:tcPr>
            <w:tcW w:type="dxa" w:w="4675"/>
          </w:tcPr>
          <w:p>
            <w:r/>
            <w:r>
              <w:rPr>
                <w:sz w:val="17"/>
              </w:rPr>
              <w:t>G4</w:t>
            </w:r>
          </w:p>
        </w:tc>
      </w:tr>
    </w:tbl>
    <w:p/>
    <w:p>
      <w:pPr>
        <w:pStyle w:val="Heading1"/>
      </w:pPr>
      <w:r>
        <w:t>20. References</w:t>
      </w:r>
    </w:p>
    <w:p>
      <w:pPr>
        <w:pStyle w:val="ListBullet"/>
      </w:pPr>
      <w:r>
        <w:t>Hubble AWS – Dev (EKS cluster, node groups, Aurora specs, S3, certificates, network firewalls)</w:t>
      </w:r>
    </w:p>
    <w:p>
      <w:pPr>
        <w:pStyle w:val="ListBullet"/>
      </w:pPr>
      <w:r>
        <w:t>Hubble AWS – Migration Plan</w:t>
      </w:r>
    </w:p>
    <w:p>
      <w:pPr>
        <w:pStyle w:val="ListBullet"/>
      </w:pPr>
      <w:r>
        <w:t>Hubble_Aurora_Design.xlsx (DB users, per-service databases and tables)</w:t>
      </w:r>
    </w:p>
    <w:p>
      <w:pPr>
        <w:pStyle w:val="ListBullet"/>
      </w:pPr>
      <w:r>
        <w:t>Service Resource Limits: https://asxo.atlassian.net/wiki/spaces/1CRDR/pages/1338021252/Service+Resource+Limits</w:t>
      </w:r>
    </w:p>
    <w:p>
      <w:pPr>
        <w:pStyle w:val="ListBullet"/>
      </w:pPr>
      <w:r>
        <w:t>Hubble to Daytona Connectivity: https://asxo.atlassian.net/wiki/spaces/1CRDR/pages/1337858778/Hubble+to+Daytona+Connectivity</w:t>
      </w:r>
    </w:p>
    <w:p>
      <w:pPr>
        <w:pStyle w:val="ListBullet"/>
      </w:pPr>
      <w:r>
        <w:t>AWS EKS Cluster access: https://asxo.atlassian.net/wiki/spaces/CV/pages/1123454742/AWS+EKS+Cluster+access</w:t>
      </w:r>
    </w:p>
    <w:p>
      <w:pPr>
        <w:pStyle w:val="ListBullet"/>
      </w:pPr>
      <w:r>
        <w:t>Enterprise Kafka AWS cluster validation script (ent-kafka-nft-green report, 7 Aug 2026: 73/73 passed), reused for features #5, #6, #37 and #61 (section 8.1)</w:t>
      </w:r>
    </w:p>
    <w:p>
      <w:pPr>
        <w:pStyle w:val="ListBullet"/>
      </w:pPr>
      <w:r>
        <w:t>hubble-e2e-test Cucumber framework (feature map, ~93 features)</w:t>
      </w:r>
    </w:p>
    <w:sectPr w:rsidR="00FC693F" w:rsidRPr="0006063C" w:rsidSect="00034616">
      <w:pgSz w:w="15840" w:h="12240"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